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Style w:val="6"/>
          <w:rFonts w:ascii="黑体" w:hAnsi="宋体" w:eastAsia="黑体"/>
          <w:kern w:val="0"/>
          <w:sz w:val="28"/>
          <w:szCs w:val="28"/>
          <w:lang w:val="en-US" w:eastAsia="zh-CN" w:bidi="ar-SA"/>
        </w:rPr>
      </w:pPr>
      <w:r>
        <w:rPr>
          <w:rStyle w:val="6"/>
          <w:rFonts w:ascii="黑体" w:hAnsi="宋体" w:eastAsia="黑体"/>
          <w:kern w:val="0"/>
          <w:sz w:val="28"/>
          <w:szCs w:val="28"/>
          <w:lang w:val="en-US" w:eastAsia="zh-CN" w:bidi="ar-SA"/>
        </w:rPr>
        <w:t>安徽省医疗服务信息社会公开内容（2020年第4季度）</w:t>
      </w:r>
    </w:p>
    <w:tbl>
      <w:tblPr>
        <w:tblStyle w:val="4"/>
        <w:tblW w:w="866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85"/>
        <w:gridCol w:w="3545"/>
        <w:gridCol w:w="415"/>
        <w:gridCol w:w="1080"/>
        <w:gridCol w:w="996"/>
        <w:gridCol w:w="1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医疗机构名称</w:t>
            </w:r>
          </w:p>
        </w:tc>
        <w:tc>
          <w:tcPr>
            <w:tcW w:w="7180"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萧县人民医院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信息分类</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指标项目</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本期数值</w:t>
            </w: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上期数值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485"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1.基本情况</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1.1医疗机构等级与综合/专科</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r>
              <w:rPr>
                <w:rStyle w:val="6"/>
                <w:rFonts w:ascii="仿宋_GB2312" w:hAnsi="宋体" w:eastAsia="仿宋_GB2312"/>
                <w:kern w:val="0"/>
                <w:sz w:val="18"/>
                <w:szCs w:val="18"/>
                <w:lang w:val="en-US" w:eastAsia="zh-CN" w:bidi="ar-SA"/>
              </w:rPr>
              <w:t>二甲</w:t>
            </w: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二甲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485" w:type="dxa"/>
            <w:vMerge w:val="continue"/>
            <w:tcBorders>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restart"/>
            <w:tcBorders>
              <w:top w:val="single" w:color="000000" w:sz="4" w:space="0"/>
              <w:left w:val="nil"/>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1.2 重点（特色）专科</w:t>
            </w: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国家级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485" w:type="dxa"/>
            <w:vMerge w:val="continue"/>
            <w:tcBorders>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left w:val="nil"/>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省  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485" w:type="dxa"/>
            <w:vMerge w:val="continue"/>
            <w:tcBorders>
              <w:left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left w:val="nil"/>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市  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妇产科、手术室、神经内科</w:t>
            </w: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妇产科、手术室、神经内科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485" w:type="dxa"/>
            <w:vMerge w:val="continue"/>
            <w:tcBorders>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院  级</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消化科、耳鼻喉科</w:t>
            </w: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消化科、耳鼻喉科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both"/>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2.医疗费用</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2.1 门诊患者人均医疗费用（元）</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260.81</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279.57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2.2 住院患者人均医疗费用（元）</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4370.53</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4398.09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2.3 药品占比（%）</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20.16</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2.3.1中药饮片占比（%）</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2.4 耗材占比（%）</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11.46</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7180"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2.5医疗机构住院患者单病种平均费用（见附件2）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54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2.6 医保及新农合实际报销比例（%）</w:t>
            </w:r>
          </w:p>
        </w:tc>
        <w:tc>
          <w:tcPr>
            <w:tcW w:w="1495"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城镇职工</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75.63</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72.74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5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495"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新 农 合</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54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495" w:type="dxa"/>
            <w:gridSpan w:val="2"/>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城镇居民</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hint="default" w:ascii="仿宋_GB2312" w:hAnsi="仿宋" w:eastAsia="仿宋_GB2312"/>
                <w:kern w:val="0"/>
                <w:sz w:val="18"/>
                <w:szCs w:val="18"/>
                <w:lang w:val="en-US" w:eastAsia="zh-CN" w:bidi="ar-SA"/>
              </w:rPr>
            </w:pPr>
            <w:r>
              <w:rPr>
                <w:rStyle w:val="6"/>
                <w:rFonts w:hint="eastAsia" w:ascii="仿宋_GB2312" w:hAnsi="仿宋" w:eastAsia="仿宋_GB2312"/>
                <w:kern w:val="0"/>
                <w:sz w:val="18"/>
                <w:szCs w:val="18"/>
                <w:lang w:val="en-US" w:eastAsia="zh-CN" w:bidi="ar-SA"/>
              </w:rPr>
              <w:t>75.16</w:t>
            </w:r>
            <w:bookmarkStart w:id="0" w:name="_GoBack"/>
            <w:bookmarkEnd w:id="0"/>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73.98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3.医疗质量</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3.1治愈好转率（%）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97.02</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3.2 入出院诊断符合率（%）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98.1</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3.3 手术前后诊断符合率（%）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98.3</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3.4 急诊抢救成功率（%）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96</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3.5大型设备检查阳性率（%）</w:t>
            </w: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彩超</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76.5</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CT</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85.3</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MRI</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95.03</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3.6抗菌药物使用强度</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43.15</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3.7门诊输液率（%）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6.15</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3.8无菌手术切口感染率（%）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0</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3.9 住院患者压疮发生率（%）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0</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85"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4.运行效率</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4.1 门诊挂号预约率（%）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4.2 术前待床日（天）</w:t>
            </w: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二类手术</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1-2</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三类手术</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2-3</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396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p>
        </w:tc>
        <w:tc>
          <w:tcPr>
            <w:tcW w:w="108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四类手术</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2-4</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4.3病床使用率（%）</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95.6</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textAlignment w:val="baseline"/>
              <w:rPr>
                <w:rStyle w:val="6"/>
                <w:rFonts w:ascii="仿宋_GB2312" w:hAnsi="宋体" w:eastAsia="仿宋_GB2312"/>
                <w:kern w:val="0"/>
                <w:sz w:val="18"/>
                <w:szCs w:val="18"/>
                <w:lang w:val="en-US" w:eastAsia="zh-CN" w:bidi="ar-SA"/>
              </w:rPr>
            </w:pP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4.4 出院者平均住院日（天）</w:t>
            </w:r>
          </w:p>
        </w:tc>
        <w:tc>
          <w:tcPr>
            <w:tcW w:w="996"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6.8</w:t>
            </w:r>
          </w:p>
        </w:tc>
        <w:tc>
          <w:tcPr>
            <w:tcW w:w="1144" w:type="dxa"/>
            <w:tcBorders>
              <w:top w:val="nil"/>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5.患者满意度</w:t>
            </w:r>
          </w:p>
        </w:tc>
        <w:tc>
          <w:tcPr>
            <w:tcW w:w="5040" w:type="dxa"/>
            <w:gridSpan w:val="3"/>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总体满意度（%）</w:t>
            </w:r>
          </w:p>
        </w:tc>
        <w:tc>
          <w:tcPr>
            <w:tcW w:w="996"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99.9</w:t>
            </w:r>
          </w:p>
        </w:tc>
        <w:tc>
          <w:tcPr>
            <w:tcW w:w="114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firstLine="90" w:firstLineChars="50"/>
              <w:jc w:val="both"/>
              <w:textAlignment w:val="baseline"/>
              <w:rPr>
                <w:rStyle w:val="6"/>
                <w:rFonts w:ascii="仿宋_GB2312" w:hAnsi="宋体" w:eastAsia="仿宋_GB2312"/>
                <w:kern w:val="0"/>
                <w:sz w:val="18"/>
                <w:szCs w:val="18"/>
                <w:lang w:val="en-US" w:eastAsia="zh-CN" w:bidi="ar-SA"/>
              </w:rPr>
            </w:pPr>
            <w:r>
              <w:rPr>
                <w:rStyle w:val="6"/>
                <w:rFonts w:ascii="仿宋_GB2312" w:hAnsi="宋体" w:eastAsia="仿宋_GB2312"/>
                <w:kern w:val="0"/>
                <w:sz w:val="18"/>
                <w:szCs w:val="18"/>
                <w:lang w:val="en-US" w:eastAsia="zh-CN" w:bidi="ar-SA"/>
              </w:rPr>
              <w:t>6.服务承诺</w:t>
            </w:r>
          </w:p>
        </w:tc>
        <w:tc>
          <w:tcPr>
            <w:tcW w:w="7180"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baseline"/>
              <w:rPr>
                <w:rStyle w:val="6"/>
                <w:rFonts w:ascii="仿宋_GB2312" w:hAnsi="仿宋" w:eastAsia="仿宋_GB2312"/>
                <w:kern w:val="0"/>
                <w:sz w:val="18"/>
                <w:szCs w:val="18"/>
                <w:lang w:val="en-US" w:eastAsia="zh-CN" w:bidi="ar-SA"/>
              </w:rPr>
            </w:pPr>
            <w:r>
              <w:rPr>
                <w:rStyle w:val="6"/>
                <w:rFonts w:ascii="仿宋_GB2312" w:hAnsi="仿宋" w:eastAsia="仿宋_GB2312"/>
                <w:kern w:val="0"/>
                <w:sz w:val="18"/>
                <w:szCs w:val="18"/>
                <w:lang w:val="en-US" w:eastAsia="zh-CN" w:bidi="ar-SA"/>
              </w:rPr>
              <w:t>医疗机构服务承诺内容（见附件3）</w:t>
            </w:r>
          </w:p>
        </w:tc>
      </w:tr>
    </w:tbl>
    <w:p>
      <w:pPr>
        <w:jc w:val="both"/>
        <w:textAlignment w:val="baseline"/>
        <w:rPr>
          <w:rStyle w:val="6"/>
          <w:rFonts w:ascii="黑体" w:hAnsi="宋体" w:eastAsia="黑体"/>
          <w:kern w:val="0"/>
          <w:sz w:val="28"/>
          <w:szCs w:val="28"/>
          <w:lang w:val="en-US" w:eastAsia="zh-CN" w:bidi="ar-SA"/>
        </w:rPr>
      </w:pPr>
    </w:p>
    <w:p>
      <w:pPr>
        <w:jc w:val="center"/>
        <w:textAlignment w:val="baseline"/>
        <w:rPr>
          <w:rStyle w:val="6"/>
          <w:rFonts w:ascii="黑体" w:hAnsi="宋体" w:eastAsia="黑体"/>
          <w:kern w:val="0"/>
          <w:sz w:val="28"/>
          <w:szCs w:val="28"/>
          <w:lang w:val="en-US" w:eastAsia="zh-CN" w:bidi="ar-SA"/>
        </w:rPr>
      </w:pPr>
      <w:r>
        <w:rPr>
          <w:rStyle w:val="6"/>
          <w:rFonts w:ascii="黑体" w:hAnsi="宋体" w:eastAsia="黑体"/>
          <w:kern w:val="0"/>
          <w:sz w:val="28"/>
          <w:szCs w:val="28"/>
          <w:lang w:val="en-US" w:eastAsia="zh-CN" w:bidi="ar-SA"/>
        </w:rPr>
        <w:t>医疗机构住院患者单病种平均费用</w:t>
      </w:r>
    </w:p>
    <w:p>
      <w:pPr>
        <w:jc w:val="both"/>
        <w:textAlignment w:val="baseline"/>
        <w:rPr>
          <w:rStyle w:val="6"/>
          <w:kern w:val="2"/>
          <w:sz w:val="21"/>
          <w:szCs w:val="24"/>
          <w:lang w:val="en-US" w:eastAsia="zh-CN" w:bidi="ar-SA"/>
        </w:rPr>
      </w:pPr>
    </w:p>
    <w:tbl>
      <w:tblPr>
        <w:tblStyle w:val="4"/>
        <w:tblW w:w="875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8"/>
        <w:gridCol w:w="3013"/>
        <w:gridCol w:w="709"/>
        <w:gridCol w:w="2126"/>
        <w:gridCol w:w="2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87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宋体" w:cs="宋体"/>
                <w:b/>
                <w:bCs/>
                <w:kern w:val="0"/>
                <w:sz w:val="20"/>
                <w:szCs w:val="20"/>
                <w:lang w:val="en-US" w:eastAsia="zh-CN" w:bidi="ar-SA"/>
              </w:rPr>
            </w:pPr>
            <w:r>
              <w:rPr>
                <w:rStyle w:val="6"/>
                <w:rFonts w:ascii="宋体" w:hAnsi="宋体" w:cs="宋体"/>
                <w:b/>
                <w:bCs/>
                <w:kern w:val="0"/>
                <w:sz w:val="20"/>
                <w:szCs w:val="20"/>
                <w:lang w:val="en-US" w:eastAsia="zh-CN" w:bidi="ar-SA"/>
              </w:rPr>
              <w:t>住院患者前20位单病种平均费用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序号</w:t>
            </w:r>
          </w:p>
        </w:tc>
        <w:tc>
          <w:tcPr>
            <w:tcW w:w="3013"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疾病名称 （按ICD-10编码分类）</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术式</w:t>
            </w:r>
          </w:p>
        </w:tc>
        <w:tc>
          <w:tcPr>
            <w:tcW w:w="2126"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本期平均费用（元）</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上期平均费用（元）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1</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支气管肺炎</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2378.41</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2194.27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2</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 xml:space="preserve">脑梗死(诊断组) </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4899.2</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4904.04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3</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慢性胃炎</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2875.35</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2671.63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慢阻肺加重期</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5083.74</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4758.32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5</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手足口病</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1867.3</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1893.79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6</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冠状动脉粥样硬化心脏病</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4701.21</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5043.21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7</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感染性发热</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2380.76</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2258.17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8</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高血压病</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4602.88</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4297.49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9</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脑血管病</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5062.8</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4927.73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10</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腔隙性脑梗死</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4914.23</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4968.22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11</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急性阑尾炎</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5190.94</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4946.06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12</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混合痔</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3097.73</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2972.11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13</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脑血管意外</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4864.27</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4843.24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14</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冠心病</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4656.26</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4401.55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15</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老年性白内障</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4415.51</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4455.18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16</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心绞痛</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4397.71</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4757.28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17</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心力衰竭</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5280.59</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5589.45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18</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肺部感染</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4701.01</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4911.26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19</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新生儿肺炎</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7226.63</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7789.39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688"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20</w:t>
            </w:r>
          </w:p>
        </w:tc>
        <w:tc>
          <w:tcPr>
            <w:tcW w:w="3013" w:type="dxa"/>
            <w:tcBorders>
              <w:top w:val="nil"/>
              <w:left w:val="nil"/>
              <w:bottom w:val="single" w:color="000000" w:sz="4" w:space="0"/>
              <w:right w:val="single" w:color="000000" w:sz="4" w:space="0"/>
            </w:tcBorders>
            <w:noWrap/>
            <w:vAlign w:val="center"/>
          </w:tcPr>
          <w:p>
            <w:pPr>
              <w:widowControl/>
              <w:jc w:val="left"/>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肺炎支原性肺炎</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2126" w:type="dxa"/>
            <w:tcBorders>
              <w:top w:val="nil"/>
              <w:left w:val="nil"/>
              <w:bottom w:val="single" w:color="000000" w:sz="4" w:space="0"/>
              <w:right w:val="single" w:color="000000" w:sz="4" w:space="0"/>
            </w:tcBorders>
            <w:noWrap/>
            <w:vAlign w:val="center"/>
          </w:tcPr>
          <w:p>
            <w:pPr>
              <w:widowControl/>
              <w:jc w:val="center"/>
              <w:textAlignment w:val="baseline"/>
              <w:rPr>
                <w:rStyle w:val="6"/>
                <w:rFonts w:hint="default" w:ascii="宋体" w:eastAsia="宋体"/>
                <w:kern w:val="0"/>
                <w:sz w:val="20"/>
                <w:szCs w:val="20"/>
                <w:lang w:val="en-US" w:eastAsia="zh-CN" w:bidi="ar-SA"/>
              </w:rPr>
            </w:pPr>
            <w:r>
              <w:rPr>
                <w:rStyle w:val="6"/>
                <w:rFonts w:hint="eastAsia" w:ascii="宋体"/>
                <w:kern w:val="0"/>
                <w:sz w:val="20"/>
                <w:szCs w:val="20"/>
                <w:lang w:val="en-US" w:eastAsia="zh-CN" w:bidi="ar-SA"/>
              </w:rPr>
              <w:t>2061.91</w:t>
            </w:r>
          </w:p>
        </w:tc>
        <w:tc>
          <w:tcPr>
            <w:tcW w:w="2222" w:type="dxa"/>
            <w:tcBorders>
              <w:top w:val="nil"/>
              <w:left w:val="nil"/>
              <w:bottom w:val="single" w:color="000000" w:sz="4" w:space="0"/>
              <w:right w:val="single" w:color="000000" w:sz="4" w:space="0"/>
            </w:tcBorders>
            <w:vAlign w:val="center"/>
          </w:tcPr>
          <w:p>
            <w:pPr>
              <w:widowControl/>
              <w:jc w:val="center"/>
              <w:textAlignment w:val="baseline"/>
              <w:rPr>
                <w:rStyle w:val="6"/>
                <w:rFonts w:hint="default" w:ascii="宋体"/>
                <w:kern w:val="0"/>
                <w:sz w:val="20"/>
                <w:szCs w:val="20"/>
                <w:lang w:val="en-US" w:eastAsia="zh-CN" w:bidi="ar-SA"/>
              </w:rPr>
            </w:pPr>
            <w:r>
              <w:rPr>
                <w:rStyle w:val="6"/>
                <w:rFonts w:hint="eastAsia" w:ascii="宋体"/>
                <w:kern w:val="0"/>
                <w:sz w:val="20"/>
                <w:szCs w:val="20"/>
                <w:lang w:val="en-US" w:eastAsia="zh-CN" w:bidi="ar-SA"/>
              </w:rPr>
              <w:t>2055.12</w:t>
            </w:r>
          </w:p>
        </w:tc>
      </w:tr>
    </w:tbl>
    <w:p>
      <w:pPr>
        <w:jc w:val="both"/>
        <w:textAlignment w:val="baseline"/>
        <w:rPr>
          <w:rStyle w:val="6"/>
          <w:kern w:val="2"/>
          <w:sz w:val="21"/>
          <w:szCs w:val="24"/>
          <w:lang w:val="en-US" w:eastAsia="zh-CN" w:bidi="ar-SA"/>
        </w:rPr>
      </w:pPr>
    </w:p>
    <w:p>
      <w:pPr>
        <w:jc w:val="both"/>
        <w:textAlignment w:val="baseline"/>
        <w:rPr>
          <w:rStyle w:val="6"/>
          <w:rFonts w:eastAsia="宋体"/>
          <w:kern w:val="2"/>
          <w:sz w:val="21"/>
          <w:szCs w:val="24"/>
          <w:lang w:val="en-US" w:eastAsia="zh-CN" w:bidi="ar-SA"/>
        </w:rPr>
      </w:pPr>
    </w:p>
    <w:tbl>
      <w:tblPr>
        <w:tblStyle w:val="4"/>
        <w:tblW w:w="875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14"/>
        <w:gridCol w:w="3054"/>
        <w:gridCol w:w="709"/>
        <w:gridCol w:w="1842"/>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87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宋体" w:cs="宋体"/>
                <w:b/>
                <w:bCs/>
                <w:kern w:val="0"/>
                <w:sz w:val="20"/>
                <w:szCs w:val="20"/>
                <w:lang w:val="en-US" w:eastAsia="zh-CN" w:bidi="ar-SA"/>
              </w:rPr>
            </w:pPr>
            <w:r>
              <w:rPr>
                <w:rStyle w:val="6"/>
                <w:rFonts w:ascii="宋体" w:hAnsi="宋体" w:cs="宋体"/>
                <w:b/>
                <w:bCs/>
                <w:kern w:val="0"/>
                <w:sz w:val="28"/>
                <w:szCs w:val="28"/>
                <w:lang w:val="en-US" w:eastAsia="zh-CN" w:bidi="ar-SA"/>
              </w:rPr>
              <w:t>医院特色专科住院患者前5位单病种平均费用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8" w:hRule="atLeast"/>
        </w:trPr>
        <w:tc>
          <w:tcPr>
            <w:tcW w:w="1214"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序号</w:t>
            </w:r>
          </w:p>
        </w:tc>
        <w:tc>
          <w:tcPr>
            <w:tcW w:w="3054"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疾病名称 （按ICD-10编码分类）</w:t>
            </w:r>
          </w:p>
        </w:tc>
        <w:tc>
          <w:tcPr>
            <w:tcW w:w="70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术式</w:t>
            </w:r>
          </w:p>
        </w:tc>
        <w:tc>
          <w:tcPr>
            <w:tcW w:w="1842"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本期平均费用（元）</w:t>
            </w:r>
          </w:p>
        </w:tc>
        <w:tc>
          <w:tcPr>
            <w:tcW w:w="193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ascii="宋体" w:hAnsi="宋体"/>
                <w:kern w:val="0"/>
                <w:sz w:val="20"/>
                <w:szCs w:val="20"/>
                <w:lang w:val="en-US" w:eastAsia="zh-CN" w:bidi="ar-SA"/>
              </w:rPr>
              <w:t>上期平均费用（元）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1</w:t>
            </w:r>
          </w:p>
        </w:tc>
        <w:tc>
          <w:tcPr>
            <w:tcW w:w="3054"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支气管肺炎</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2378.41</w:t>
            </w:r>
          </w:p>
        </w:tc>
        <w:tc>
          <w:tcPr>
            <w:tcW w:w="193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2194.27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2</w:t>
            </w:r>
          </w:p>
        </w:tc>
        <w:tc>
          <w:tcPr>
            <w:tcW w:w="3054"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 xml:space="preserve">脑梗死(诊断组) </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4899.2</w:t>
            </w:r>
          </w:p>
        </w:tc>
        <w:tc>
          <w:tcPr>
            <w:tcW w:w="193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4904.04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3</w:t>
            </w:r>
          </w:p>
        </w:tc>
        <w:tc>
          <w:tcPr>
            <w:tcW w:w="3054"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慢性胃炎</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2875.35</w:t>
            </w:r>
          </w:p>
        </w:tc>
        <w:tc>
          <w:tcPr>
            <w:tcW w:w="193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2671.63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4</w:t>
            </w:r>
          </w:p>
        </w:tc>
        <w:tc>
          <w:tcPr>
            <w:tcW w:w="3054"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慢阻肺加重期</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5083.74</w:t>
            </w:r>
          </w:p>
        </w:tc>
        <w:tc>
          <w:tcPr>
            <w:tcW w:w="193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4758.32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214" w:type="dxa"/>
            <w:tcBorders>
              <w:top w:val="nil"/>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5</w:t>
            </w:r>
          </w:p>
        </w:tc>
        <w:tc>
          <w:tcPr>
            <w:tcW w:w="3054" w:type="dxa"/>
            <w:tcBorders>
              <w:top w:val="nil"/>
              <w:left w:val="nil"/>
              <w:bottom w:val="single" w:color="000000" w:sz="4" w:space="0"/>
              <w:right w:val="single" w:color="000000" w:sz="4" w:space="0"/>
            </w:tcBorders>
            <w:noWrap/>
            <w:vAlign w:val="center"/>
          </w:tcPr>
          <w:p>
            <w:pPr>
              <w:widowControl/>
              <w:jc w:val="left"/>
              <w:textAlignment w:val="baseline"/>
              <w:rPr>
                <w:rStyle w:val="6"/>
                <w:rFonts w:ascii="宋体"/>
                <w:kern w:val="0"/>
                <w:sz w:val="20"/>
                <w:szCs w:val="20"/>
                <w:lang w:val="en-US" w:eastAsia="zh-CN" w:bidi="ar-SA"/>
              </w:rPr>
            </w:pPr>
            <w:r>
              <w:rPr>
                <w:rStyle w:val="6"/>
                <w:rFonts w:ascii="宋体"/>
                <w:kern w:val="0"/>
                <w:sz w:val="20"/>
                <w:szCs w:val="20"/>
                <w:lang w:val="en-US" w:eastAsia="zh-CN" w:bidi="ar-SA"/>
              </w:rPr>
              <w:t>手足口病</w:t>
            </w:r>
          </w:p>
        </w:tc>
        <w:tc>
          <w:tcPr>
            <w:tcW w:w="709"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p>
        </w:tc>
        <w:tc>
          <w:tcPr>
            <w:tcW w:w="1842" w:type="dxa"/>
            <w:tcBorders>
              <w:top w:val="nil"/>
              <w:left w:val="nil"/>
              <w:bottom w:val="single" w:color="000000" w:sz="4" w:space="0"/>
              <w:right w:val="single" w:color="000000" w:sz="4" w:space="0"/>
            </w:tcBorders>
            <w:noWrap/>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1867.3</w:t>
            </w:r>
          </w:p>
        </w:tc>
        <w:tc>
          <w:tcPr>
            <w:tcW w:w="1939" w:type="dxa"/>
            <w:tcBorders>
              <w:top w:val="nil"/>
              <w:left w:val="nil"/>
              <w:bottom w:val="single" w:color="000000" w:sz="4" w:space="0"/>
              <w:right w:val="single" w:color="000000" w:sz="4" w:space="0"/>
            </w:tcBorders>
            <w:vAlign w:val="center"/>
          </w:tcPr>
          <w:p>
            <w:pPr>
              <w:widowControl/>
              <w:jc w:val="center"/>
              <w:textAlignment w:val="baseline"/>
              <w:rPr>
                <w:rStyle w:val="6"/>
                <w:rFonts w:ascii="宋体"/>
                <w:kern w:val="0"/>
                <w:sz w:val="20"/>
                <w:szCs w:val="20"/>
                <w:lang w:val="en-US" w:eastAsia="zh-CN" w:bidi="ar-SA"/>
              </w:rPr>
            </w:pPr>
            <w:r>
              <w:rPr>
                <w:rStyle w:val="6"/>
                <w:rFonts w:hint="eastAsia" w:ascii="宋体"/>
                <w:kern w:val="0"/>
                <w:sz w:val="20"/>
                <w:szCs w:val="20"/>
                <w:lang w:val="en-US" w:eastAsia="zh-CN" w:bidi="ar-SA"/>
              </w:rPr>
              <w:t>1893.79</w:t>
            </w:r>
          </w:p>
        </w:tc>
      </w:tr>
    </w:tbl>
    <w:p>
      <w:pPr>
        <w:jc w:val="both"/>
        <w:textAlignment w:val="baseline"/>
        <w:rPr>
          <w:rStyle w:val="6"/>
          <w:kern w:val="2"/>
          <w:sz w:val="21"/>
          <w:szCs w:val="24"/>
          <w:lang w:val="en-US" w:eastAsia="zh-CN" w:bidi="ar-SA"/>
        </w:rPr>
      </w:pPr>
      <w:r>
        <w:rPr>
          <w:rStyle w:val="6"/>
          <w:kern w:val="2"/>
          <w:sz w:val="21"/>
          <w:szCs w:val="24"/>
          <w:lang w:val="en-US" w:eastAsia="zh-CN" w:bidi="ar-SA"/>
        </w:rPr>
        <w:br w:type="page"/>
      </w:r>
    </w:p>
    <w:p>
      <w:pPr>
        <w:jc w:val="both"/>
        <w:textAlignment w:val="baseline"/>
        <w:rPr>
          <w:rStyle w:val="6"/>
          <w:kern w:val="2"/>
          <w:sz w:val="21"/>
          <w:szCs w:val="24"/>
          <w:lang w:val="en-US" w:eastAsia="zh-CN" w:bidi="ar-SA"/>
        </w:rPr>
      </w:pPr>
    </w:p>
    <w:tbl>
      <w:tblPr>
        <w:tblStyle w:val="4"/>
        <w:tblW w:w="82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2"/>
        <w:gridCol w:w="6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8280" w:type="dxa"/>
            <w:gridSpan w:val="2"/>
            <w:tcBorders>
              <w:top w:val="nil"/>
              <w:left w:val="nil"/>
              <w:bottom w:val="nil"/>
              <w:right w:val="nil"/>
            </w:tcBorders>
            <w:noWrap/>
            <w:vAlign w:val="center"/>
          </w:tcPr>
          <w:p>
            <w:pPr>
              <w:widowControl/>
              <w:jc w:val="left"/>
              <w:textAlignment w:val="baseline"/>
              <w:rPr>
                <w:rStyle w:val="6"/>
                <w:rFonts w:ascii="宋体"/>
                <w:kern w:val="0"/>
                <w:sz w:val="24"/>
                <w:szCs w:val="24"/>
                <w:lang w:val="en-US" w:eastAsia="zh-CN" w:bidi="ar-SA"/>
              </w:rPr>
            </w:pPr>
            <w:r>
              <w:rPr>
                <w:rStyle w:val="6"/>
                <w:rFonts w:ascii="黑体" w:hAnsi="宋体" w:eastAsia="黑体" w:cs="宋体"/>
                <w:b/>
                <w:bCs/>
                <w:kern w:val="0"/>
                <w:sz w:val="28"/>
                <w:szCs w:val="28"/>
                <w:lang w:val="en-US" w:eastAsia="zh-CN" w:bidi="ar-SA"/>
              </w:rPr>
              <w:t>附件3-3             医疗机构服务承诺内容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8280" w:type="dxa"/>
            <w:gridSpan w:val="2"/>
            <w:tcBorders>
              <w:top w:val="nil"/>
              <w:left w:val="nil"/>
              <w:bottom w:val="nil"/>
              <w:right w:val="nil"/>
            </w:tcBorders>
            <w:noWrap/>
            <w:vAlign w:val="center"/>
          </w:tcPr>
          <w:p>
            <w:pPr>
              <w:widowControl/>
              <w:jc w:val="both"/>
              <w:textAlignment w:val="baseline"/>
              <w:rPr>
                <w:rStyle w:val="6"/>
                <w:rFonts w:ascii="黑体" w:hAnsi="宋体" w:eastAsia="黑体" w:cs="宋体"/>
                <w:b/>
                <w:bCs/>
                <w:kern w:val="0"/>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aseline"/>
              <w:rPr>
                <w:rStyle w:val="6"/>
                <w:rFonts w:ascii="宋体"/>
                <w:kern w:val="0"/>
                <w:sz w:val="24"/>
                <w:szCs w:val="24"/>
                <w:lang w:val="en-US" w:eastAsia="zh-CN" w:bidi="ar-SA"/>
              </w:rPr>
            </w:pPr>
            <w:r>
              <w:rPr>
                <w:rStyle w:val="6"/>
                <w:rFonts w:ascii="宋体" w:hAnsi="宋体"/>
                <w:kern w:val="0"/>
                <w:sz w:val="24"/>
                <w:szCs w:val="24"/>
                <w:lang w:val="en-US" w:eastAsia="zh-CN" w:bidi="ar-SA"/>
              </w:rPr>
              <w:t>序号</w:t>
            </w:r>
          </w:p>
        </w:tc>
        <w:tc>
          <w:tcPr>
            <w:tcW w:w="6378" w:type="dxa"/>
            <w:tcBorders>
              <w:top w:val="single" w:color="000000" w:sz="4" w:space="0"/>
              <w:left w:val="nil"/>
              <w:bottom w:val="single" w:color="000000" w:sz="4" w:space="0"/>
              <w:right w:val="single" w:color="000000" w:sz="4" w:space="0"/>
            </w:tcBorders>
            <w:noWrap/>
            <w:vAlign w:val="center"/>
          </w:tcPr>
          <w:p>
            <w:pPr>
              <w:widowControl/>
              <w:jc w:val="center"/>
              <w:textAlignment w:val="baseline"/>
              <w:rPr>
                <w:rStyle w:val="6"/>
                <w:rFonts w:ascii="宋体"/>
                <w:kern w:val="0"/>
                <w:sz w:val="24"/>
                <w:szCs w:val="24"/>
                <w:lang w:val="en-US" w:eastAsia="zh-CN" w:bidi="ar-SA"/>
              </w:rPr>
            </w:pPr>
            <w:r>
              <w:rPr>
                <w:rStyle w:val="6"/>
                <w:rFonts w:ascii="宋体" w:hAnsi="宋体"/>
                <w:kern w:val="0"/>
                <w:sz w:val="24"/>
                <w:szCs w:val="24"/>
                <w:lang w:val="en-US" w:eastAsia="zh-CN" w:bidi="ar-SA"/>
              </w:rPr>
              <w:t>承诺服务内容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1</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严格按照卫生行政部门批准的诊疗项目开展诊疗活动，坚决不使用非卫生技术人员执业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2</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坚持救死扶伤，全心全意为患者服务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3</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合理检查，合理用药，合理收费，提高医疗质量，强化医疗管理，融洽医患关系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4</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不接受患者及其亲友的吃请和馈赠的“红包”及物品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5</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不接受任何医药单位、人员给予的回扣、提成和其它不正当利益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6</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严格保护患者的合法权利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7</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不通过介绍病人到其他单位检查、治疗或购买药品、医疗器械等收取回扣或提成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8</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不向其他医疗单位转介病人获取不正当利益或私自在外开展有偿诊疗活动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9</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在医疗服务中不得出现“生、冷、硬、顶、推”等态度和行为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902" w:type="dxa"/>
            <w:tcBorders>
              <w:top w:val="nil"/>
              <w:left w:val="single" w:color="000000" w:sz="4" w:space="0"/>
              <w:bottom w:val="single" w:color="000000" w:sz="4" w:space="0"/>
              <w:right w:val="single" w:color="000000" w:sz="4" w:space="0"/>
            </w:tcBorders>
            <w:noWrap/>
            <w:vAlign w:val="center"/>
          </w:tcPr>
          <w:p>
            <w:pPr>
              <w:jc w:val="center"/>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10</w:t>
            </w:r>
          </w:p>
        </w:tc>
        <w:tc>
          <w:tcPr>
            <w:tcW w:w="6378" w:type="dxa"/>
            <w:tcBorders>
              <w:top w:val="nil"/>
              <w:left w:val="nil"/>
              <w:bottom w:val="single" w:color="000000" w:sz="4" w:space="0"/>
              <w:right w:val="single" w:color="000000" w:sz="4" w:space="0"/>
            </w:tcBorders>
            <w:noWrap/>
            <w:vAlign w:val="top"/>
          </w:tcPr>
          <w:p>
            <w:pPr>
              <w:jc w:val="both"/>
              <w:textAlignment w:val="baseline"/>
              <w:rPr>
                <w:rStyle w:val="6"/>
                <w:rFonts w:ascii="仿宋_GB2312" w:eastAsia="仿宋_GB2312"/>
                <w:kern w:val="2"/>
                <w:sz w:val="32"/>
                <w:szCs w:val="32"/>
                <w:lang w:val="en-US" w:eastAsia="zh-CN" w:bidi="ar-SA"/>
              </w:rPr>
            </w:pPr>
            <w:r>
              <w:rPr>
                <w:rStyle w:val="6"/>
                <w:rFonts w:ascii="仿宋_GB2312" w:eastAsia="仿宋_GB2312"/>
                <w:kern w:val="2"/>
                <w:sz w:val="32"/>
                <w:szCs w:val="32"/>
                <w:lang w:val="en-US" w:eastAsia="zh-CN" w:bidi="ar-SA"/>
              </w:rPr>
              <w:t>不向患者出具假证明、假诊断书，不隐瞒医疗缺陷和差错等</w:t>
            </w:r>
          </w:p>
        </w:tc>
      </w:tr>
    </w:tbl>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480" w:lineRule="exact"/>
        <w:jc w:val="both"/>
        <w:textAlignment w:val="baseline"/>
        <w:rPr>
          <w:rStyle w:val="6"/>
          <w:rFonts w:ascii="宋体" w:hAnsi="宋体"/>
          <w:kern w:val="2"/>
          <w:sz w:val="24"/>
          <w:szCs w:val="24"/>
          <w:lang w:val="en-US" w:eastAsia="zh-CN" w:bidi="ar-SA"/>
        </w:rPr>
      </w:pPr>
    </w:p>
    <w:p>
      <w:pPr>
        <w:pStyle w:val="10"/>
        <w:widowControl/>
        <w:shd w:val="clear" w:color="auto" w:fill="FFFFFF"/>
        <w:spacing w:before="0" w:after="0" w:line="560" w:lineRule="exact"/>
        <w:jc w:val="left"/>
        <w:textAlignment w:val="baseline"/>
        <w:rPr>
          <w:rStyle w:val="6"/>
          <w:rFonts w:ascii="宋体" w:hAnsi="宋体"/>
          <w:b/>
          <w:kern w:val="0"/>
          <w:sz w:val="28"/>
          <w:szCs w:val="28"/>
          <w:lang w:val="en-US" w:eastAsia="zh-CN" w:bidi="ar-SA"/>
        </w:rPr>
      </w:pPr>
      <w:r>
        <w:rPr>
          <w:rStyle w:val="6"/>
          <w:rFonts w:ascii="宋体" w:hAnsi="宋体"/>
          <w:b/>
          <w:kern w:val="0"/>
          <w:sz w:val="28"/>
          <w:szCs w:val="28"/>
          <w:lang w:val="en-US" w:eastAsia="zh-CN" w:bidi="ar-SA"/>
        </w:rPr>
        <w:t>附件3-4       安徽省医疗服务信息社会公开指标说明</w:t>
      </w:r>
    </w:p>
    <w:tbl>
      <w:tblPr>
        <w:tblStyle w:val="4"/>
        <w:tblpPr w:leftFromText="180" w:rightFromText="180" w:vertAnchor="text" w:horzAnchor="margin" w:tblpX="-102" w:tblpY="318"/>
        <w:tblW w:w="876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7"/>
        <w:gridCol w:w="1027"/>
        <w:gridCol w:w="72"/>
        <w:gridCol w:w="135"/>
        <w:gridCol w:w="67"/>
        <w:gridCol w:w="1202"/>
        <w:gridCol w:w="4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信息分类</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指标项目</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指标定义、计算公式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1.基本情况</w:t>
            </w:r>
          </w:p>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1.1医疗机构等级</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指经各级卫生行政部门评审，确定的医疗机构等级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1.2 重点（特色）专科</w:t>
            </w: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国家级</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列举经各级卫生行政部门评定的重点专科名称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tabs>
                <w:tab w:val="left" w:pos="870"/>
              </w:tabs>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省级</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tabs>
                <w:tab w:val="left" w:pos="870"/>
              </w:tabs>
              <w:spacing w:line="360" w:lineRule="exact"/>
              <w:jc w:val="both"/>
              <w:textAlignment w:val="baseline"/>
              <w:rPr>
                <w:rStyle w:val="6"/>
                <w:rFonts w:ascii="宋体" w:cs="Times New Roman"/>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市级</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23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26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院级</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列举</w:t>
            </w:r>
            <w:r>
              <w:rPr>
                <w:rStyle w:val="6"/>
                <w:rFonts w:ascii="宋体" w:hAnsi="宋体" w:cs="Times New Roman"/>
                <w:bCs/>
                <w:kern w:val="2"/>
                <w:sz w:val="24"/>
                <w:szCs w:val="24"/>
                <w:lang w:val="en-US" w:eastAsia="zh-CN" w:bidi="ar-SA"/>
              </w:rPr>
              <w:t>医疗机构自行评定的特色专科名称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2.医疗费用</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cs="Times New Roman"/>
                <w:bCs/>
                <w:kern w:val="2"/>
                <w:sz w:val="24"/>
                <w:szCs w:val="24"/>
                <w:lang w:val="en-US" w:eastAsia="zh-CN" w:bidi="ar-SA"/>
              </w:rPr>
              <w:t xml:space="preserve">2.1 </w:t>
            </w:r>
            <w:r>
              <w:rPr>
                <w:rStyle w:val="6"/>
                <w:rFonts w:ascii="宋体" w:hAnsi="宋体"/>
                <w:kern w:val="2"/>
                <w:sz w:val="24"/>
                <w:szCs w:val="24"/>
                <w:lang w:val="en-US" w:eastAsia="zh-CN" w:bidi="ar-SA"/>
              </w:rPr>
              <w:t>门诊患者人均医疗费用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=门诊收入/门诊诊疗人次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2.2 出院患者人均医疗费用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=住院收入/出院人次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2.3 药品占比</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=医疗机构药品收入/业务收入*100%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1"/>
                <w:szCs w:val="21"/>
                <w:lang w:val="en-US" w:eastAsia="zh-CN" w:bidi="ar-SA"/>
              </w:rPr>
            </w:pPr>
            <w:r>
              <w:rPr>
                <w:rStyle w:val="6"/>
                <w:rFonts w:ascii="宋体" w:hAnsi="宋体"/>
                <w:kern w:val="2"/>
                <w:sz w:val="24"/>
                <w:szCs w:val="24"/>
                <w:lang w:val="en-US" w:eastAsia="zh-CN" w:bidi="ar-SA"/>
              </w:rPr>
              <w:t xml:space="preserve"> </w:t>
            </w:r>
            <w:r>
              <w:rPr>
                <w:rStyle w:val="6"/>
                <w:rFonts w:ascii="宋体" w:hAnsi="宋体"/>
                <w:kern w:val="2"/>
                <w:sz w:val="21"/>
                <w:szCs w:val="21"/>
                <w:lang w:val="en-US" w:eastAsia="zh-CN" w:bidi="ar-SA"/>
              </w:rPr>
              <w:t>2.3.1中药饮片占比</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1"/>
                <w:szCs w:val="21"/>
                <w:lang w:val="en-US" w:eastAsia="zh-CN" w:bidi="ar-SA"/>
              </w:rPr>
              <w:t>=中药饮片收入（含院内制剂）/药品收入*100%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2.4 耗材占比</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=医疗机构耗材收入/业务收入*100%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2.5 住院患者前20位单病种平均费用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分别计算医疗机构住院患者前20位单病种的平均费用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2.6 医疗机构特色专科住院患者前5位单病种平均费用</w:t>
            </w:r>
          </w:p>
        </w:tc>
        <w:tc>
          <w:tcPr>
            <w:tcW w:w="482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分别计算医疗机构特色专科住院患者前5位单病种平均费用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 xml:space="preserve">2.7 </w:t>
            </w:r>
            <w:r>
              <w:rPr>
                <w:rStyle w:val="6"/>
                <w:rFonts w:ascii="宋体" w:hAnsi="宋体"/>
                <w:kern w:val="2"/>
                <w:sz w:val="24"/>
                <w:szCs w:val="24"/>
                <w:lang w:val="en-GB" w:eastAsia="zh-CN" w:bidi="ar-SA"/>
              </w:rPr>
              <w:t>医保及新农合实际报销比例</w:t>
            </w:r>
            <w:r>
              <w:rPr>
                <w:rStyle w:val="6"/>
                <w:rFonts w:ascii="宋体" w:hAnsi="宋体"/>
                <w:kern w:val="2"/>
                <w:sz w:val="24"/>
                <w:szCs w:val="24"/>
                <w:lang w:val="en-US" w:eastAsia="zh-CN" w:bidi="ar-SA"/>
              </w:rPr>
              <w:t>（%）</w:t>
            </w:r>
          </w:p>
        </w:tc>
        <w:tc>
          <w:tcPr>
            <w:tcW w:w="147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城镇职工</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分别计算三类医保住院患者平均实际报销比例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47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新农合</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476"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城镇居民</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3.医疗质量</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3.1治愈好转率（%）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=治愈好转人次/出院人次*100%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3.2 入出院诊断符合率（%）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=入出院诊断符合数</w:t>
            </w:r>
            <w:r>
              <w:rPr>
                <w:rStyle w:val="6"/>
                <w:rFonts w:ascii="宋体" w:hAnsi="宋体" w:cs="Times New Roman"/>
                <w:bCs/>
                <w:kern w:val="2"/>
                <w:sz w:val="24"/>
                <w:szCs w:val="24"/>
                <w:lang w:val="en-US" w:eastAsia="zh-CN" w:bidi="ar-SA"/>
              </w:rPr>
              <w:t>/出院人次*100%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3.3 手术前后诊断符合率（%）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=手术前后诊断符合数</w:t>
            </w:r>
            <w:r>
              <w:rPr>
                <w:rStyle w:val="6"/>
                <w:rFonts w:ascii="宋体" w:hAnsi="宋体" w:cs="Times New Roman"/>
                <w:bCs/>
                <w:kern w:val="2"/>
                <w:sz w:val="24"/>
                <w:szCs w:val="24"/>
                <w:lang w:val="en-US" w:eastAsia="zh-CN" w:bidi="ar-SA"/>
              </w:rPr>
              <w:t>/出院人次*100%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3.4 急诊抢救成功率（%）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=急诊抢救成功次数</w:t>
            </w:r>
            <w:r>
              <w:rPr>
                <w:rStyle w:val="6"/>
                <w:rFonts w:ascii="宋体" w:hAnsi="宋体" w:cs="Times New Roman"/>
                <w:bCs/>
                <w:kern w:val="2"/>
                <w:sz w:val="24"/>
                <w:szCs w:val="24"/>
                <w:lang w:val="en-US" w:eastAsia="zh-CN" w:bidi="ar-SA"/>
              </w:rPr>
              <w:t>/急诊抢救次数*100%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301"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3.5</w:t>
            </w:r>
            <w:r>
              <w:rPr>
                <w:rStyle w:val="6"/>
                <w:rFonts w:ascii="宋体" w:hAnsi="宋体"/>
                <w:kern w:val="2"/>
                <w:sz w:val="24"/>
                <w:szCs w:val="24"/>
                <w:lang w:val="en-US" w:eastAsia="zh-CN" w:bidi="ar-SA"/>
              </w:rPr>
              <w:t>大型设备检查阳性率（%）</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彩超</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=检查阳性结果数/检查人次数（三项检查分别计算）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30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CT</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30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MRI</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3.6抗菌药物使用强度</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cs="Times New Roman"/>
                <w:bCs/>
                <w:kern w:val="2"/>
                <w:sz w:val="24"/>
                <w:szCs w:val="24"/>
                <w:lang w:val="en-US" w:eastAsia="zh-CN" w:bidi="ar-SA"/>
              </w:rPr>
              <w:t>抗菌药物使用强度</w:t>
            </w:r>
            <w:r>
              <w:rPr>
                <w:rStyle w:val="6"/>
                <w:rFonts w:ascii="宋体" w:hAnsi="宋体"/>
                <w:kern w:val="2"/>
                <w:sz w:val="24"/>
                <w:szCs w:val="24"/>
                <w:lang w:val="en-US" w:eastAsia="zh-CN" w:bidi="ar-SA"/>
              </w:rPr>
              <w:t>=抗菌药物消耗量（累计DDD值）/（出院患者人数×平均住院天数）</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3.7门诊输液率</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=门诊输液人次数/门诊诊疗人次</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3.8无菌手术切口感染率</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w:t>
            </w:r>
            <w:r>
              <w:rPr>
                <w:rStyle w:val="6"/>
                <w:rFonts w:ascii="宋体" w:hAnsi="宋体" w:cs="Times New Roman"/>
                <w:bCs/>
                <w:kern w:val="2"/>
                <w:sz w:val="24"/>
                <w:szCs w:val="24"/>
                <w:lang w:val="en-US" w:eastAsia="zh-CN" w:bidi="ar-SA"/>
              </w:rPr>
              <w:t>无菌手术切口感染</w:t>
            </w:r>
            <w:r>
              <w:rPr>
                <w:rStyle w:val="6"/>
                <w:rFonts w:ascii="宋体" w:hAnsi="宋体"/>
                <w:kern w:val="2"/>
                <w:sz w:val="24"/>
                <w:szCs w:val="24"/>
                <w:lang w:val="en-US" w:eastAsia="zh-CN" w:bidi="ar-SA"/>
              </w:rPr>
              <w:t>数/无菌手术人次</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3.9 住院患者压疮发生率（%）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=发生压疮的患者人次/出院患者人次</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4.运行效率</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kern w:val="2"/>
                <w:sz w:val="24"/>
                <w:szCs w:val="24"/>
                <w:lang w:val="en-US" w:eastAsia="zh-CN" w:bidi="ar-SA"/>
              </w:rPr>
              <w:t>4.1 门诊挂号预约率</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=门诊预约挂号数/门诊挂号数</w:t>
            </w:r>
            <w:r>
              <w:rPr>
                <w:rStyle w:val="6"/>
                <w:rFonts w:ascii="宋体" w:hAnsi="宋体" w:cs="Times New Roman"/>
                <w:bCs/>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99"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4.2 术前待床日（天）</w:t>
            </w:r>
          </w:p>
        </w:tc>
        <w:tc>
          <w:tcPr>
            <w:tcW w:w="14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二类手术</w:t>
            </w:r>
          </w:p>
        </w:tc>
        <w:tc>
          <w:tcPr>
            <w:tcW w:w="482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分别计算各类手术患者从入院时点至手术时点的平均等候时间，以天为单位计算。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9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4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三类手术</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109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p>
        </w:tc>
        <w:tc>
          <w:tcPr>
            <w:tcW w:w="1404"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四类手术</w:t>
            </w:r>
          </w:p>
        </w:tc>
        <w:tc>
          <w:tcPr>
            <w:tcW w:w="482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4.3病床使用率</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=实际占用总床日数/实际开放总床日数*100%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4.4 出院者平均住院日（天）</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=出院者占用总床日数/出院人次数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5.患者满意度</w:t>
            </w:r>
          </w:p>
        </w:tc>
        <w:tc>
          <w:tcPr>
            <w:tcW w:w="2503"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exact"/>
              <w:jc w:val="both"/>
              <w:textAlignment w:val="baseline"/>
              <w:rPr>
                <w:rStyle w:val="6"/>
                <w:rFonts w:ascii="宋体" w:cs="Times New Roman"/>
                <w:bCs/>
                <w:kern w:val="2"/>
                <w:sz w:val="24"/>
                <w:szCs w:val="24"/>
                <w:lang w:val="en-US" w:eastAsia="zh-CN" w:bidi="ar-SA"/>
              </w:rPr>
            </w:pPr>
            <w:r>
              <w:rPr>
                <w:rStyle w:val="6"/>
                <w:rFonts w:ascii="宋体" w:hAnsi="宋体" w:cs="Times New Roman"/>
                <w:bCs/>
                <w:kern w:val="2"/>
                <w:sz w:val="24"/>
                <w:szCs w:val="24"/>
                <w:lang w:val="en-US" w:eastAsia="zh-CN" w:bidi="ar-SA"/>
              </w:rPr>
              <w:t>总体满意度</w:t>
            </w:r>
            <w:r>
              <w:rPr>
                <w:rStyle w:val="6"/>
                <w:rFonts w:ascii="宋体" w:hAnsi="宋体"/>
                <w:kern w:val="2"/>
                <w:sz w:val="24"/>
                <w:szCs w:val="24"/>
                <w:lang w:val="en-US" w:eastAsia="zh-CN" w:bidi="ar-SA"/>
              </w:rPr>
              <w:t>（%）</w:t>
            </w:r>
          </w:p>
        </w:tc>
        <w:tc>
          <w:tcPr>
            <w:tcW w:w="482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both"/>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以第三方机构调查报告数据为准。三级医疗机构和省属医疗机构应用省卫生计生委满意度评价。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6.服务承诺</w:t>
            </w:r>
          </w:p>
        </w:tc>
        <w:tc>
          <w:tcPr>
            <w:tcW w:w="732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6"/>
                <w:rFonts w:ascii="宋体"/>
                <w:kern w:val="2"/>
                <w:sz w:val="24"/>
                <w:szCs w:val="24"/>
                <w:lang w:val="en-US" w:eastAsia="zh-CN" w:bidi="ar-SA"/>
              </w:rPr>
            </w:pPr>
            <w:r>
              <w:rPr>
                <w:rStyle w:val="6"/>
                <w:rFonts w:ascii="宋体" w:hAnsi="宋体"/>
                <w:kern w:val="2"/>
                <w:sz w:val="24"/>
                <w:szCs w:val="24"/>
                <w:lang w:val="en-US" w:eastAsia="zh-CN" w:bidi="ar-SA"/>
              </w:rPr>
              <w:t>医疗机构主动向社会承诺的服务内容（含我省医疗机构统一和自选）</w:t>
            </w:r>
          </w:p>
        </w:tc>
      </w:tr>
    </w:tbl>
    <w:p>
      <w:pPr>
        <w:jc w:val="both"/>
        <w:textAlignment w:val="baseline"/>
        <w:rPr>
          <w:rStyle w:val="6"/>
          <w:kern w:val="2"/>
          <w:sz w:val="21"/>
          <w:szCs w:val="24"/>
          <w:lang w:val="en-US" w:eastAsia="zh-CN" w:bidi="ar-SA"/>
        </w:rPr>
      </w:pPr>
    </w:p>
    <w:sectPr>
      <w:pgSz w:w="11906" w:h="16838"/>
      <w:pgMar w:top="567" w:right="1797" w:bottom="567" w:left="1797"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69C04FF3"/>
    <w:rsid w:val="6AC24465"/>
    <w:rsid w:val="715F39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8"/>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semiHidden/>
    <w:uiPriority w:val="0"/>
  </w:style>
  <w:style w:type="table" w:customStyle="1" w:styleId="7">
    <w:name w:val="TableNormal"/>
    <w:semiHidden/>
    <w:qFormat/>
    <w:uiPriority w:val="0"/>
  </w:style>
  <w:style w:type="character" w:customStyle="1" w:styleId="8">
    <w:name w:val="UserStyle_0"/>
    <w:link w:val="3"/>
    <w:uiPriority w:val="0"/>
    <w:rPr>
      <w:kern w:val="2"/>
      <w:sz w:val="18"/>
      <w:szCs w:val="18"/>
    </w:rPr>
  </w:style>
  <w:style w:type="character" w:customStyle="1" w:styleId="9">
    <w:name w:val="UserStyle_1"/>
    <w:link w:val="2"/>
    <w:uiPriority w:val="0"/>
    <w:rPr>
      <w:kern w:val="2"/>
      <w:sz w:val="18"/>
      <w:szCs w:val="18"/>
    </w:rPr>
  </w:style>
  <w:style w:type="paragraph" w:customStyle="1" w:styleId="10">
    <w:name w:val="HtmlNormal"/>
    <w:basedOn w:val="1"/>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32</TotalTime>
  <ScaleCrop>false</ScaleCrop>
  <LinksUpToDate>false</LinksUpToDate>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2021-01-11T02:55:18Z</dcterms:created>
  <dc:creator>happy</dc:creator>
  <cp:lastModifiedBy>happy</cp:lastModifiedBy>
  <dcterms:modified xsi:type="dcterms:W3CDTF">2021-01-11T03:46:08Z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