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CBE9">
      <w:pPr>
        <w:pStyle w:val="2"/>
        <w:numPr>
          <w:ilvl w:val="0"/>
          <w:numId w:val="0"/>
        </w:numPr>
        <w:spacing w:before="178" w:line="333" w:lineRule="auto"/>
        <w:ind w:right="248" w:rightChars="0"/>
        <w:jc w:val="both"/>
        <w:rPr>
          <w:rFonts w:hint="eastAsia"/>
          <w:b/>
          <w:bCs/>
          <w:spacing w:val="6"/>
          <w:lang w:val="en-US" w:eastAsia="zh-CN"/>
        </w:rPr>
      </w:pPr>
      <w:r>
        <w:rPr>
          <w:rFonts w:hint="eastAsia"/>
          <w:b/>
          <w:bCs/>
          <w:spacing w:val="6"/>
          <w:lang w:val="en-US" w:eastAsia="zh-CN"/>
        </w:rPr>
        <w:t>附件2：2024年度萧县杜楼镇郝庄寨村党组织领办合作社项目绩效自评报告</w:t>
      </w:r>
    </w:p>
    <w:p w14:paraId="7C865575">
      <w:pPr>
        <w:pStyle w:val="2"/>
        <w:numPr>
          <w:ilvl w:val="0"/>
          <w:numId w:val="0"/>
        </w:numPr>
        <w:spacing w:before="178" w:line="333" w:lineRule="auto"/>
        <w:ind w:right="248" w:rightChars="0" w:firstLine="644" w:firstLineChars="200"/>
        <w:jc w:val="both"/>
        <w:rPr>
          <w:rFonts w:hint="default"/>
          <w:spacing w:val="6"/>
          <w:lang w:val="en-US" w:eastAsia="zh-CN"/>
        </w:rPr>
      </w:pPr>
    </w:p>
    <w:p w14:paraId="39863DCE">
      <w:pPr>
        <w:pStyle w:val="2"/>
        <w:numPr>
          <w:ilvl w:val="0"/>
          <w:numId w:val="0"/>
        </w:numPr>
        <w:spacing w:before="178" w:line="333" w:lineRule="auto"/>
        <w:ind w:right="248" w:rightChars="0"/>
        <w:jc w:val="both"/>
        <w:rPr>
          <w:rFonts w:hint="eastAsia"/>
          <w:b/>
          <w:bCs/>
          <w:spacing w:val="6"/>
          <w:lang w:val="en-US" w:eastAsia="zh-CN"/>
        </w:rPr>
      </w:pPr>
      <w:r>
        <w:rPr>
          <w:rFonts w:hint="eastAsia"/>
          <w:b/>
          <w:bCs/>
          <w:spacing w:val="6"/>
          <w:lang w:val="en-US" w:eastAsia="zh-CN"/>
        </w:rPr>
        <w:t>一、自评工作开展情况</w:t>
      </w:r>
    </w:p>
    <w:p w14:paraId="10FE2C03">
      <w:pPr>
        <w:pStyle w:val="2"/>
        <w:numPr>
          <w:ilvl w:val="0"/>
          <w:numId w:val="0"/>
        </w:numPr>
        <w:spacing w:before="178" w:line="333" w:lineRule="auto"/>
        <w:ind w:right="248" w:rightChars="0" w:firstLine="644" w:firstLineChars="200"/>
        <w:jc w:val="both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杜楼镇贯</w:t>
      </w:r>
      <w:bookmarkStart w:id="0" w:name="_GoBack"/>
      <w:bookmarkEnd w:id="0"/>
      <w:r>
        <w:rPr>
          <w:rFonts w:hint="eastAsia"/>
          <w:spacing w:val="6"/>
          <w:lang w:val="en-US" w:eastAsia="zh-CN"/>
        </w:rPr>
        <w:t>彻落实上级工作部署，认真开展2024年度醒目绩效自评。萧县</w:t>
      </w:r>
      <w:r>
        <w:rPr>
          <w:rFonts w:hint="eastAsia"/>
          <w:spacing w:val="8"/>
          <w:lang w:val="en-US" w:eastAsia="zh-CN"/>
        </w:rPr>
        <w:t>杜楼镇郝庄寨村党组织领办合作社项目</w:t>
      </w:r>
      <w:r>
        <w:rPr>
          <w:rFonts w:hint="eastAsia"/>
          <w:spacing w:val="6"/>
          <w:lang w:val="en-US" w:eastAsia="zh-CN"/>
        </w:rPr>
        <w:t>绩效自评报告，全年预算数为30万元，执行数为29.416万元，完成预算的98.05%，</w:t>
      </w:r>
      <w:r>
        <w:rPr>
          <w:rFonts w:hint="eastAsia"/>
          <w:spacing w:val="6"/>
          <w:lang w:eastAsia="zh-CN"/>
        </w:rPr>
        <w:t>按照年初设定的绩效目标，该项目绩效自评得分达100分。</w:t>
      </w:r>
    </w:p>
    <w:p w14:paraId="1D8F1A06">
      <w:pPr>
        <w:pStyle w:val="2"/>
        <w:numPr>
          <w:ilvl w:val="0"/>
          <w:numId w:val="1"/>
        </w:numPr>
        <w:spacing w:before="178" w:line="333" w:lineRule="auto"/>
        <w:ind w:right="248"/>
        <w:jc w:val="both"/>
        <w:rPr>
          <w:rFonts w:hint="eastAsia"/>
          <w:b/>
          <w:bCs/>
          <w:spacing w:val="6"/>
          <w:lang w:val="en-US" w:eastAsia="zh-CN"/>
        </w:rPr>
      </w:pPr>
      <w:r>
        <w:rPr>
          <w:rFonts w:hint="eastAsia"/>
          <w:b/>
          <w:bCs/>
          <w:spacing w:val="6"/>
          <w:lang w:val="en-US" w:eastAsia="zh-CN"/>
        </w:rPr>
        <w:t>自评结果概述</w:t>
      </w:r>
    </w:p>
    <w:p w14:paraId="3D3684B3">
      <w:pPr>
        <w:pStyle w:val="2"/>
        <w:numPr>
          <w:ilvl w:val="0"/>
          <w:numId w:val="0"/>
        </w:numPr>
        <w:spacing w:before="178" w:line="333" w:lineRule="auto"/>
        <w:ind w:right="248" w:rightChars="0" w:firstLine="644" w:firstLineChars="200"/>
        <w:jc w:val="both"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val="en-US" w:eastAsia="zh-CN"/>
        </w:rPr>
        <w:t>项目绩效自评结果显示，杜楼镇秉持依法行政原则，坚持真抓实干，以人民群众利益为核心，勇于创新，突出抓好民生工作、强化监管并促进发展。</w:t>
      </w:r>
      <w:r>
        <w:rPr>
          <w:rFonts w:hint="eastAsia"/>
          <w:spacing w:val="8"/>
          <w:lang w:val="en-US" w:eastAsia="zh-CN"/>
        </w:rPr>
        <w:t>根据年初设定的绩效目标，该项目绩效自评得分100分，项目完成率达99.9%。项目绩效完成情况为：建成粮食收储烘干基地1处及相关配套设施，完善村党组织领办合作社设施配套，最终建成白山羊养殖基地1处。</w:t>
      </w:r>
      <w:r>
        <w:rPr>
          <w:rFonts w:hint="eastAsia"/>
          <w:spacing w:val="6"/>
          <w:lang w:val="en-US" w:eastAsia="zh-CN"/>
        </w:rPr>
        <w:t>项目(工程)验收合格率、受益群众满意度等指标均为100%，达到了预期绩效目标。</w:t>
      </w:r>
      <w:r>
        <w:rPr>
          <w:rFonts w:hint="eastAsia"/>
          <w:spacing w:val="8"/>
          <w:lang w:val="en-US" w:eastAsia="zh-CN"/>
        </w:rPr>
        <w:t>在项目预算编制执行和绩效管理中，未发现问题。</w:t>
      </w:r>
    </w:p>
    <w:p w14:paraId="268F7130">
      <w:pPr>
        <w:pStyle w:val="2"/>
        <w:numPr>
          <w:ilvl w:val="0"/>
          <w:numId w:val="1"/>
        </w:numPr>
        <w:spacing w:before="194" w:line="333" w:lineRule="auto"/>
        <w:ind w:left="0" w:leftChars="0" w:right="8" w:firstLine="0" w:firstLineChars="0"/>
        <w:jc w:val="both"/>
        <w:rPr>
          <w:rFonts w:hint="eastAsia"/>
          <w:b/>
          <w:bCs/>
          <w:spacing w:val="6"/>
          <w:lang w:eastAsia="zh-CN"/>
        </w:rPr>
      </w:pPr>
      <w:r>
        <w:rPr>
          <w:rFonts w:hint="eastAsia"/>
          <w:b/>
          <w:bCs/>
          <w:spacing w:val="6"/>
          <w:lang w:eastAsia="zh-CN"/>
        </w:rPr>
        <w:t>下一步工作措施</w:t>
      </w:r>
    </w:p>
    <w:p w14:paraId="5F844461">
      <w:pPr>
        <w:pStyle w:val="2"/>
        <w:spacing w:before="194" w:line="333" w:lineRule="auto"/>
        <w:ind w:left="35" w:right="8" w:firstLine="681" w:firstLineChars="209"/>
        <w:jc w:val="both"/>
        <w:rPr>
          <w:rFonts w:hint="eastAsia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下一步，我们将提高预算资金效益，盘活存量资金。对于年初预算已确定的项目，加快项目建设进度，及时拨付项目资金，减少资金滞留。建立健全定期清理结余结转资金工作机制，将结余结转资金管理与预算编制及预算执行有机结合，切实消化和压缩结余结转资金规模。强化资金绩效观念，所有项目支出均实施绩效管理。牢固树立“花钱必问效、无效必问责”的理念，对部门整体预算和所有项目经费全面实施绩效管理。完善预算支出绩效制度，健全绩效评价体系，逐步构建“预算编制有目标、预算执行有监控、预算完成有评价、评价结果有反馈、反馈结果有应用”的预算绩效管理机制。强化绩效评价结果的运用，将绩效评价结果与预算调整和政策调整挂钩，对于绩效评价结果较差和不合格的项目经费，在安排下一年度预算时从严考虑或不予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F4D3A"/>
    <w:multiLevelType w:val="singleLevel"/>
    <w:tmpl w:val="FEBF4D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F0CF1"/>
    <w:rsid w:val="1B1F0CF1"/>
    <w:rsid w:val="5ADE6099"/>
    <w:rsid w:val="FD7D4BDC"/>
    <w:rsid w:val="FFDEA5DF"/>
    <w:rsid w:val="FF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41"/>
    <w:basedOn w:val="4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2025-09-26T09:01:00Z</dcterms:created>
  <dc:creator>王柳月</dc:creator>
  <cp:lastModifiedBy>王小东</cp:lastModifiedBy>
  <dcterms:modified xsi:type="dcterms:W3CDTF">2025-11-10T13:01:46Z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F5050CF279FA8CD5BA711169AE7FF5FA_43</vt:lpwstr>
  </property>
  <property fmtid="{D5CDD505-2E9C-101B-9397-08002B2CF9AE}" pid="4" name="KSOTemplateDocerSaveRecord">
    <vt:lpwstr>eyJoZGlkIjoiZmIxYTkwYWIxMjBjYzliZmYyYzljZmI1MDY4OTA0MjciLCJ1c2VySWQiOiIzMTU2MDkxODAifQ==</vt:lpwstr>
  </property>
</Properties>
</file>