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224319">
      <w:pPr>
        <w:pStyle w:val="13"/>
        <w:spacing w:before="120"/>
        <w:ind w:left="0" w:leftChars="0" w:right="110" w:firstLine="426" w:firstLineChars="213"/>
        <w:rPr>
          <w:rFonts w:hint="eastAsia" w:ascii="Times New Roman" w:eastAsia="仿宋_GB2312"/>
          <w:color w:val="000000" w:themeColor="text1"/>
          <w:sz w:val="20"/>
          <w:highlight w:val="none"/>
          <w14:textFill>
            <w14:solidFill>
              <w14:schemeClr w14:val="tx1"/>
            </w14:solidFill>
          </w14:textFill>
        </w:rPr>
      </w:pPr>
      <w:r>
        <w:rPr>
          <w:rFonts w:ascii="Times New Roman" w:eastAsia="仿宋_GB2312"/>
          <w:color w:val="000000" w:themeColor="text1"/>
          <w:sz w:val="20"/>
          <w:highlight w:val="none"/>
          <w:lang w:val="en-US" w:eastAsia="zh-CN" w:bidi="ar-SA"/>
          <w14:textFill>
            <w14:solidFill>
              <w14:schemeClr w14:val="tx1"/>
            </w14:solidFill>
          </w14:textFill>
        </w:rPr>
        <w:drawing>
          <wp:inline distT="0" distB="0" distL="0" distR="0">
            <wp:extent cx="354965" cy="156337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print"/>
                    <a:stretch>
                      <a:fillRect/>
                    </a:stretch>
                  </pic:blipFill>
                  <pic:spPr>
                    <a:xfrm>
                      <a:off x="0" y="0"/>
                      <a:ext cx="355231" cy="1563624"/>
                    </a:xfrm>
                    <a:prstGeom prst="rect">
                      <a:avLst/>
                    </a:prstGeom>
                  </pic:spPr>
                </pic:pic>
              </a:graphicData>
            </a:graphic>
          </wp:inline>
        </w:drawing>
      </w:r>
    </w:p>
    <w:p w14:paraId="0274D327">
      <w:pPr>
        <w:spacing w:before="12"/>
        <w:ind w:right="297"/>
        <w:jc w:val="center"/>
        <w:rPr>
          <w:rFonts w:hint="eastAsia" w:ascii="方正小标宋_GBK" w:hAnsi="方正小标宋_GBK" w:eastAsia="方正小标宋_GBK" w:cs="方正小标宋_GBK"/>
          <w:b/>
          <w:color w:val="000000" w:themeColor="text1"/>
          <w:sz w:val="50"/>
          <w:highlight w:val="none"/>
          <w14:textFill>
            <w14:solidFill>
              <w14:schemeClr w14:val="tx1"/>
            </w14:solidFill>
          </w14:textFill>
        </w:rPr>
      </w:pPr>
      <w:bookmarkStart w:id="147" w:name="_GoBack"/>
      <w:r>
        <w:rPr>
          <w:rFonts w:hint="eastAsia" w:ascii="方正小标宋_GBK" w:hAnsi="方正小标宋_GBK" w:eastAsia="方正小标宋_GBK" w:cs="方正小标宋_GBK"/>
          <w:b/>
          <w:color w:val="000000" w:themeColor="text1"/>
          <w:sz w:val="50"/>
          <w:highlight w:val="none"/>
          <w:lang w:val="en-US" w:eastAsia="zh-CN"/>
          <w14:textFill>
            <w14:solidFill>
              <w14:schemeClr w14:val="tx1"/>
            </w14:solidFill>
          </w14:textFill>
        </w:rPr>
        <w:t>宿州</w:t>
      </w:r>
      <w:r>
        <w:rPr>
          <w:rFonts w:hint="eastAsia" w:ascii="方正小标宋_GBK" w:hAnsi="方正小标宋_GBK" w:eastAsia="方正小标宋_GBK" w:cs="方正小标宋_GBK"/>
          <w:b/>
          <w:color w:val="000000" w:themeColor="text1"/>
          <w:sz w:val="50"/>
          <w:highlight w:val="none"/>
          <w14:textFill>
            <w14:solidFill>
              <w14:schemeClr w14:val="tx1"/>
            </w14:solidFill>
          </w14:textFill>
        </w:rPr>
        <w:t>市</w:t>
      </w:r>
      <w:r>
        <w:rPr>
          <w:rFonts w:hint="eastAsia" w:ascii="方正小标宋_GBK" w:hAnsi="方正小标宋_GBK" w:eastAsia="方正小标宋_GBK" w:cs="方正小标宋_GBK"/>
          <w:b/>
          <w:color w:val="000000" w:themeColor="text1"/>
          <w:sz w:val="50"/>
          <w:highlight w:val="none"/>
          <w:lang w:val="en-US" w:eastAsia="zh-CN"/>
          <w14:textFill>
            <w14:solidFill>
              <w14:schemeClr w14:val="tx1"/>
            </w14:solidFill>
          </w14:textFill>
        </w:rPr>
        <w:t>萧</w:t>
      </w:r>
      <w:r>
        <w:rPr>
          <w:rFonts w:hint="eastAsia" w:ascii="方正小标宋_GBK" w:hAnsi="方正小标宋_GBK" w:eastAsia="方正小标宋_GBK" w:cs="方正小标宋_GBK"/>
          <w:b/>
          <w:color w:val="000000" w:themeColor="text1"/>
          <w:sz w:val="50"/>
          <w:highlight w:val="none"/>
          <w14:textFill>
            <w14:solidFill>
              <w14:schemeClr w14:val="tx1"/>
            </w14:solidFill>
          </w14:textFill>
        </w:rPr>
        <w:t>县</w:t>
      </w:r>
      <w:r>
        <w:rPr>
          <w:rFonts w:hint="eastAsia" w:ascii="方正小标宋_GBK" w:hAnsi="方正小标宋_GBK" w:eastAsia="方正小标宋_GBK" w:cs="方正小标宋_GBK"/>
          <w:b/>
          <w:color w:val="000000" w:themeColor="text1"/>
          <w:sz w:val="50"/>
          <w:highlight w:val="none"/>
          <w:lang w:val="en-US" w:eastAsia="zh-CN"/>
          <w14:textFill>
            <w14:solidFill>
              <w14:schemeClr w14:val="tx1"/>
            </w14:solidFill>
          </w14:textFill>
        </w:rPr>
        <w:t>张庄寨镇</w:t>
      </w:r>
      <w:r>
        <w:rPr>
          <w:rFonts w:hint="eastAsia" w:ascii="方正小标宋_GBK" w:hAnsi="方正小标宋_GBK" w:eastAsia="方正小标宋_GBK" w:cs="方正小标宋_GBK"/>
          <w:b/>
          <w:color w:val="000000" w:themeColor="text1"/>
          <w:sz w:val="50"/>
          <w:highlight w:val="none"/>
          <w14:textFill>
            <w14:solidFill>
              <w14:schemeClr w14:val="tx1"/>
            </w14:solidFill>
          </w14:textFill>
        </w:rPr>
        <w:t>国土空间总体规划</w:t>
      </w:r>
    </w:p>
    <w:p w14:paraId="56D53411">
      <w:pPr>
        <w:spacing w:before="66"/>
        <w:ind w:right="297" w:firstLine="468" w:firstLineChars="213"/>
        <w:jc w:val="center"/>
        <w:rPr>
          <w:rFonts w:hint="eastAsia" w:ascii="方正小标宋_GBK" w:hAnsi="方正小标宋_GBK" w:eastAsia="方正小标宋_GBK" w:cs="方正小标宋_GBK"/>
          <w:b/>
          <w:color w:val="000000" w:themeColor="text1"/>
          <w:sz w:val="50"/>
          <w:highlight w:val="none"/>
          <w14:textFill>
            <w14:solidFill>
              <w14:schemeClr w14:val="tx1"/>
            </w14:solidFill>
          </w14:textFill>
        </w:rPr>
      </w:pPr>
      <w:r>
        <w:rPr>
          <w:rFonts w:hint="eastAsia" w:ascii="方正小标宋_GBK" w:hAnsi="方正小标宋_GBK" w:eastAsia="方正小标宋_GBK" w:cs="方正小标宋_GBK"/>
          <w:color w:val="000000" w:themeColor="text1"/>
          <w:highlight w:val="none"/>
          <w:lang w:val="en-US" w:eastAsia="zh-CN" w:bidi="ar-SA"/>
          <w14:textFill>
            <w14:solidFill>
              <w14:schemeClr w14:val="tx1"/>
            </w14:solidFill>
          </w14:textFill>
        </w:rPr>
        <w:drawing>
          <wp:anchor distT="0" distB="0" distL="0" distR="0" simplePos="0" relativeHeight="251659264" behindDoc="1" locked="0" layoutInCell="1" allowOverlap="1">
            <wp:simplePos x="0" y="0"/>
            <wp:positionH relativeFrom="page">
              <wp:posOffset>5036820</wp:posOffset>
            </wp:positionH>
            <wp:positionV relativeFrom="paragraph">
              <wp:posOffset>225425</wp:posOffset>
            </wp:positionV>
            <wp:extent cx="356870" cy="39497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0" cstate="print"/>
                    <a:stretch>
                      <a:fillRect/>
                    </a:stretch>
                  </pic:blipFill>
                  <pic:spPr>
                    <a:xfrm>
                      <a:off x="0" y="0"/>
                      <a:ext cx="356615" cy="394716"/>
                    </a:xfrm>
                    <a:prstGeom prst="rect">
                      <a:avLst/>
                    </a:prstGeom>
                  </pic:spPr>
                </pic:pic>
              </a:graphicData>
            </a:graphic>
          </wp:anchor>
        </w:drawing>
      </w:r>
      <w:r>
        <w:rPr>
          <w:rFonts w:hint="eastAsia" w:ascii="方正小标宋_GBK" w:hAnsi="方正小标宋_GBK" w:eastAsia="方正小标宋_GBK" w:cs="方正小标宋_GBK"/>
          <w:b/>
          <w:color w:val="000000" w:themeColor="text1"/>
          <w:sz w:val="50"/>
          <w:highlight w:val="none"/>
          <w14:textFill>
            <w14:solidFill>
              <w14:schemeClr w14:val="tx1"/>
            </w14:solidFill>
          </w14:textFill>
        </w:rPr>
        <w:t>（2021-2035 年）</w:t>
      </w:r>
      <w:bookmarkEnd w:id="147"/>
    </w:p>
    <w:p w14:paraId="4C3B5328">
      <w:pPr>
        <w:spacing w:line="734" w:lineRule="exact"/>
        <w:ind w:right="297"/>
        <w:jc w:val="center"/>
        <w:rPr>
          <w:rFonts w:hint="eastAsia" w:ascii="方正小标宋_GBK" w:hAnsi="方正小标宋_GBK" w:eastAsia="方正小标宋_GBK" w:cs="方正小标宋_GBK"/>
          <w:b/>
          <w:color w:val="000000" w:themeColor="text1"/>
          <w:sz w:val="36"/>
          <w:szCs w:val="36"/>
          <w:highlight w:val="none"/>
          <w14:textFill>
            <w14:solidFill>
              <w14:schemeClr w14:val="tx1"/>
            </w14:solidFill>
          </w14:textFill>
        </w:rPr>
      </w:pPr>
      <w:r>
        <w:rPr>
          <w:rFonts w:hint="eastAsia" w:ascii="方正小标宋_GBK" w:hAnsi="方正小标宋_GBK" w:eastAsia="方正小标宋_GBK" w:cs="方正小标宋_GBK"/>
          <w:b/>
          <w:color w:val="000000" w:themeColor="text1"/>
          <w:sz w:val="36"/>
          <w:szCs w:val="36"/>
          <w:highlight w:val="none"/>
          <w14:textFill>
            <w14:solidFill>
              <w14:schemeClr w14:val="tx1"/>
            </w14:solidFill>
          </w14:textFill>
        </w:rPr>
        <w:t>文 本</w:t>
      </w:r>
      <w:r>
        <w:rPr>
          <w:rFonts w:hint="eastAsia" w:ascii="方正小标宋_GBK" w:hAnsi="方正小标宋_GBK" w:eastAsia="方正小标宋_GBK" w:cs="方正小标宋_GBK"/>
          <w:b/>
          <w:color w:val="000000" w:themeColor="text1"/>
          <w:sz w:val="36"/>
          <w:szCs w:val="36"/>
          <w:highlight w:val="none"/>
          <w:lang w:eastAsia="zh-CN"/>
          <w14:textFill>
            <w14:solidFill>
              <w14:schemeClr w14:val="tx1"/>
            </w14:solidFill>
          </w14:textFill>
        </w:rPr>
        <w:t xml:space="preserve"> </w:t>
      </w:r>
      <w:r>
        <w:rPr>
          <w:rFonts w:hint="eastAsia" w:ascii="方正小标宋_GBK" w:hAnsi="方正小标宋_GBK" w:eastAsia="方正小标宋_GBK" w:cs="方正小标宋_GBK"/>
          <w:b/>
          <w:color w:val="000000" w:themeColor="text1"/>
          <w:sz w:val="36"/>
          <w:szCs w:val="36"/>
          <w:highlight w:val="none"/>
          <w14:textFill>
            <w14:solidFill>
              <w14:schemeClr w14:val="tx1"/>
            </w14:solidFill>
          </w14:textFill>
        </w:rPr>
        <w:t>·</w:t>
      </w:r>
      <w:r>
        <w:rPr>
          <w:rFonts w:hint="eastAsia" w:ascii="方正小标宋_GBK" w:hAnsi="方正小标宋_GBK" w:eastAsia="方正小标宋_GBK" w:cs="方正小标宋_GBK"/>
          <w:b/>
          <w:color w:val="000000" w:themeColor="text1"/>
          <w:sz w:val="36"/>
          <w:szCs w:val="36"/>
          <w:highlight w:val="none"/>
          <w:lang w:eastAsia="zh-CN"/>
          <w14:textFill>
            <w14:solidFill>
              <w14:schemeClr w14:val="tx1"/>
            </w14:solidFill>
          </w14:textFill>
        </w:rPr>
        <w:t xml:space="preserve"> </w:t>
      </w:r>
      <w:r>
        <w:rPr>
          <w:rFonts w:hint="eastAsia" w:ascii="方正小标宋_GBK" w:hAnsi="方正小标宋_GBK" w:eastAsia="方正小标宋_GBK" w:cs="方正小标宋_GBK"/>
          <w:b/>
          <w:color w:val="000000" w:themeColor="text1"/>
          <w:sz w:val="36"/>
          <w:szCs w:val="36"/>
          <w:highlight w:val="none"/>
          <w14:textFill>
            <w14:solidFill>
              <w14:schemeClr w14:val="tx1"/>
            </w14:solidFill>
          </w14:textFill>
        </w:rPr>
        <w:t>图</w:t>
      </w:r>
      <w:r>
        <w:rPr>
          <w:rFonts w:hint="eastAsia" w:ascii="方正小标宋_GBK" w:hAnsi="方正小标宋_GBK" w:eastAsia="方正小标宋_GBK" w:cs="方正小标宋_GBK"/>
          <w:b/>
          <w:color w:val="000000" w:themeColor="text1"/>
          <w:sz w:val="36"/>
          <w:szCs w:val="36"/>
          <w:highlight w:val="none"/>
          <w:lang w:eastAsia="zh-CN"/>
          <w14:textFill>
            <w14:solidFill>
              <w14:schemeClr w14:val="tx1"/>
            </w14:solidFill>
          </w14:textFill>
        </w:rPr>
        <w:t xml:space="preserve"> </w:t>
      </w:r>
      <w:r>
        <w:rPr>
          <w:rFonts w:hint="eastAsia" w:ascii="方正小标宋_GBK" w:hAnsi="方正小标宋_GBK" w:eastAsia="方正小标宋_GBK" w:cs="方正小标宋_GBK"/>
          <w:b/>
          <w:color w:val="000000" w:themeColor="text1"/>
          <w:sz w:val="36"/>
          <w:szCs w:val="36"/>
          <w:highlight w:val="none"/>
          <w14:textFill>
            <w14:solidFill>
              <w14:schemeClr w14:val="tx1"/>
            </w14:solidFill>
          </w14:textFill>
        </w:rPr>
        <w:t>册</w:t>
      </w:r>
    </w:p>
    <w:p w14:paraId="1AF2145A">
      <w:pPr>
        <w:spacing w:line="734" w:lineRule="exact"/>
        <w:ind w:right="297"/>
        <w:jc w:val="center"/>
        <w:rPr>
          <w:rFonts w:hint="eastAsia" w:ascii="华光小标宋_CNKI" w:hAnsi="华光小标宋_CNKI" w:eastAsia="PMingLiU"/>
          <w:b/>
          <w:color w:val="000000" w:themeColor="text1"/>
          <w:sz w:val="40"/>
          <w:highlight w:val="none"/>
          <w14:textFill>
            <w14:solidFill>
              <w14:schemeClr w14:val="tx1"/>
            </w14:solidFill>
          </w14:textFill>
        </w:rPr>
      </w:pPr>
    </w:p>
    <w:p w14:paraId="54038CF9">
      <w:pPr>
        <w:spacing w:line="734" w:lineRule="exact"/>
        <w:ind w:right="297"/>
        <w:jc w:val="center"/>
        <w:rPr>
          <w:rFonts w:hint="eastAsia" w:eastAsia="仿宋_GB2312"/>
          <w:bCs/>
          <w:color w:val="000000" w:themeColor="text1"/>
          <w:sz w:val="36"/>
          <w:szCs w:val="21"/>
          <w:highlight w:val="none"/>
          <w14:textFill>
            <w14:solidFill>
              <w14:schemeClr w14:val="tx1"/>
            </w14:solidFill>
          </w14:textFill>
        </w:rPr>
      </w:pPr>
      <w:r>
        <w:rPr>
          <w:rFonts w:hint="eastAsia" w:eastAsia="仿宋_GB2312"/>
          <w:bCs/>
          <w:color w:val="000000" w:themeColor="text1"/>
          <w:sz w:val="36"/>
          <w:szCs w:val="21"/>
          <w:highlight w:val="none"/>
          <w14:textFill>
            <w14:solidFill>
              <w14:schemeClr w14:val="tx1"/>
            </w14:solidFill>
          </w14:textFill>
        </w:rPr>
        <w:t>（</w:t>
      </w:r>
      <w:r>
        <w:rPr>
          <w:rFonts w:hint="eastAsia" w:eastAsia="仿宋_GB2312"/>
          <w:bCs/>
          <w:color w:val="000000" w:themeColor="text1"/>
          <w:sz w:val="36"/>
          <w:szCs w:val="21"/>
          <w:highlight w:val="none"/>
          <w:lang w:val="en-US" w:eastAsia="zh-CN"/>
          <w14:textFill>
            <w14:solidFill>
              <w14:schemeClr w14:val="tx1"/>
            </w14:solidFill>
          </w14:textFill>
        </w:rPr>
        <w:t>公示稿</w:t>
      </w:r>
      <w:r>
        <w:rPr>
          <w:rFonts w:hint="eastAsia" w:eastAsia="仿宋_GB2312"/>
          <w:bCs/>
          <w:color w:val="000000" w:themeColor="text1"/>
          <w:sz w:val="36"/>
          <w:szCs w:val="21"/>
          <w:highlight w:val="none"/>
          <w14:textFill>
            <w14:solidFill>
              <w14:schemeClr w14:val="tx1"/>
            </w14:solidFill>
          </w14:textFill>
        </w:rPr>
        <w:t>）</w:t>
      </w:r>
    </w:p>
    <w:p w14:paraId="274402DA">
      <w:pPr>
        <w:pStyle w:val="13"/>
        <w:spacing w:before="120"/>
        <w:ind w:left="0" w:leftChars="0" w:right="110" w:firstLine="0" w:firstLineChars="0"/>
        <w:rPr>
          <w:rFonts w:hint="eastAsia" w:ascii="微软雅黑" w:eastAsia="PMingLiU"/>
          <w:b/>
          <w:color w:val="000000" w:themeColor="text1"/>
          <w:sz w:val="52"/>
          <w:highlight w:val="none"/>
          <w14:textFill>
            <w14:solidFill>
              <w14:schemeClr w14:val="tx1"/>
            </w14:solidFill>
          </w14:textFill>
        </w:rPr>
      </w:pPr>
    </w:p>
    <w:p w14:paraId="772E293A">
      <w:pPr>
        <w:pStyle w:val="13"/>
        <w:spacing w:before="120"/>
        <w:ind w:left="0" w:leftChars="0" w:right="110" w:firstLine="0" w:firstLineChars="0"/>
        <w:rPr>
          <w:rFonts w:hint="eastAsia" w:ascii="微软雅黑" w:eastAsia="PMingLiU"/>
          <w:b/>
          <w:color w:val="000000" w:themeColor="text1"/>
          <w:sz w:val="52"/>
          <w:highlight w:val="none"/>
          <w14:textFill>
            <w14:solidFill>
              <w14:schemeClr w14:val="tx1"/>
            </w14:solidFill>
          </w14:textFill>
        </w:rPr>
      </w:pPr>
    </w:p>
    <w:p w14:paraId="40F09393">
      <w:pPr>
        <w:pStyle w:val="13"/>
        <w:spacing w:before="120"/>
        <w:ind w:left="0" w:leftChars="0" w:right="110" w:firstLine="0" w:firstLineChars="0"/>
        <w:rPr>
          <w:rFonts w:hint="eastAsia" w:ascii="微软雅黑" w:eastAsia="PMingLiU"/>
          <w:b/>
          <w:color w:val="000000" w:themeColor="text1"/>
          <w:sz w:val="36"/>
          <w:szCs w:val="21"/>
          <w:highlight w:val="none"/>
          <w14:textFill>
            <w14:solidFill>
              <w14:schemeClr w14:val="tx1"/>
            </w14:solidFill>
          </w14:textFill>
        </w:rPr>
      </w:pPr>
    </w:p>
    <w:p w14:paraId="685A51D4">
      <w:pPr>
        <w:pStyle w:val="13"/>
        <w:spacing w:before="120"/>
        <w:ind w:left="0" w:leftChars="0" w:right="110" w:firstLine="0" w:firstLineChars="0"/>
        <w:rPr>
          <w:rFonts w:hint="eastAsia" w:ascii="微软雅黑" w:eastAsia="仿宋_GB2312"/>
          <w:b/>
          <w:color w:val="000000" w:themeColor="text1"/>
          <w:sz w:val="52"/>
          <w:highlight w:val="none"/>
          <w14:textFill>
            <w14:solidFill>
              <w14:schemeClr w14:val="tx1"/>
            </w14:solidFill>
          </w14:textFill>
        </w:rPr>
      </w:pPr>
    </w:p>
    <w:p w14:paraId="6C0233A4">
      <w:pPr>
        <w:pStyle w:val="13"/>
        <w:spacing w:before="120" w:line="225" w:lineRule="auto"/>
        <w:ind w:left="0" w:leftChars="0" w:right="110" w:firstLine="0" w:firstLineChars="0"/>
        <w:jc w:val="center"/>
        <w:rPr>
          <w:rFonts w:hint="eastAsia" w:eastAsia="仿宋_GB2312"/>
          <w:color w:val="000000" w:themeColor="text1"/>
          <w:highlight w:val="none"/>
          <w:lang w:eastAsia="zh-CN"/>
          <w14:textFill>
            <w14:solidFill>
              <w14:schemeClr w14:val="tx1"/>
            </w14:solidFill>
          </w14:textFill>
        </w:rPr>
      </w:pPr>
    </w:p>
    <w:p w14:paraId="01A32ED8">
      <w:pPr>
        <w:autoSpaceDE/>
        <w:autoSpaceDN/>
        <w:jc w:val="center"/>
        <w:rPr>
          <w:rFonts w:hint="default" w:ascii="黑体" w:hAnsi="黑体" w:eastAsia="黑体" w:cstheme="minorBidi"/>
          <w:color w:val="000000" w:themeColor="text1"/>
          <w:kern w:val="2"/>
          <w:sz w:val="24"/>
          <w:szCs w:val="24"/>
          <w:highlight w:val="none"/>
          <w:lang w:val="en-US" w:eastAsia="zh-CN" w:bidi="ar-SA"/>
          <w14:textFill>
            <w14:solidFill>
              <w14:schemeClr w14:val="tx1"/>
            </w14:solidFill>
          </w14:textFill>
        </w:rPr>
      </w:pPr>
      <w:r>
        <w:rPr>
          <w:rFonts w:hint="eastAsia" w:ascii="黑体" w:hAnsi="黑体" w:eastAsia="黑体" w:cstheme="minorBidi"/>
          <w:color w:val="000000" w:themeColor="text1"/>
          <w:kern w:val="2"/>
          <w:sz w:val="24"/>
          <w:szCs w:val="24"/>
          <w:highlight w:val="none"/>
          <w:lang w:val="en-US" w:eastAsia="zh-CN" w:bidi="ar-SA"/>
          <w14:textFill>
            <w14:solidFill>
              <w14:schemeClr w14:val="tx1"/>
            </w14:solidFill>
          </w14:textFill>
        </w:rPr>
        <w:t>张庄寨镇人民政府</w:t>
      </w:r>
    </w:p>
    <w:p w14:paraId="6C48CA6A">
      <w:pPr>
        <w:autoSpaceDE/>
        <w:autoSpaceDN/>
        <w:jc w:val="center"/>
        <w:rPr>
          <w:rFonts w:hint="default" w:ascii="黑体" w:hAnsi="黑体" w:eastAsia="黑体" w:cstheme="minorBidi"/>
          <w:color w:val="000000" w:themeColor="text1"/>
          <w:kern w:val="2"/>
          <w:sz w:val="24"/>
          <w:szCs w:val="24"/>
          <w:highlight w:val="none"/>
          <w:lang w:val="en-US" w:eastAsia="zh-CN" w:bidi="ar-SA"/>
          <w14:textFill>
            <w14:solidFill>
              <w14:schemeClr w14:val="tx1"/>
            </w14:solidFill>
          </w14:textFill>
        </w:rPr>
      </w:pPr>
      <w:r>
        <w:rPr>
          <w:rFonts w:hint="eastAsia" w:ascii="黑体" w:hAnsi="黑体" w:eastAsia="黑体" w:cstheme="minorBidi"/>
          <w:color w:val="000000" w:themeColor="text1"/>
          <w:kern w:val="2"/>
          <w:sz w:val="24"/>
          <w:szCs w:val="24"/>
          <w:highlight w:val="none"/>
          <w:lang w:val="en-US" w:eastAsia="zh-CN" w:bidi="ar-SA"/>
          <w14:textFill>
            <w14:solidFill>
              <w14:schemeClr w14:val="tx1"/>
            </w14:solidFill>
          </w14:textFill>
        </w:rPr>
        <w:t>2025年11月</w:t>
      </w:r>
    </w:p>
    <w:p w14:paraId="3F8A3C52">
      <w:pPr>
        <w:spacing w:line="225" w:lineRule="auto"/>
        <w:ind w:firstLine="468" w:firstLineChars="213"/>
        <w:jc w:val="center"/>
        <w:rPr>
          <w:rFonts w:hint="eastAsia" w:ascii="微软雅黑" w:eastAsia="微软雅黑"/>
          <w:color w:val="000000" w:themeColor="text1"/>
          <w:highlight w:val="none"/>
          <w:lang w:eastAsia="zh-CN"/>
          <w14:textFill>
            <w14:solidFill>
              <w14:schemeClr w14:val="tx1"/>
            </w14:solidFill>
          </w14:textFill>
        </w:rPr>
      </w:pPr>
    </w:p>
    <w:p w14:paraId="3538E5E3">
      <w:pPr>
        <w:spacing w:line="225" w:lineRule="auto"/>
        <w:ind w:firstLine="468" w:firstLineChars="213"/>
        <w:jc w:val="center"/>
        <w:rPr>
          <w:rFonts w:hint="eastAsia" w:ascii="微软雅黑" w:eastAsia="微软雅黑"/>
          <w:color w:val="000000" w:themeColor="text1"/>
          <w:highlight w:val="none"/>
          <w:lang w:eastAsia="zh-CN"/>
          <w14:textFill>
            <w14:solidFill>
              <w14:schemeClr w14:val="tx1"/>
            </w14:solidFill>
          </w14:textFill>
        </w:rPr>
      </w:pPr>
    </w:p>
    <w:p w14:paraId="62D815F8">
      <w:pPr>
        <w:spacing w:line="225" w:lineRule="auto"/>
        <w:ind w:firstLine="468" w:firstLineChars="213"/>
        <w:jc w:val="center"/>
        <w:rPr>
          <w:rFonts w:hint="eastAsia" w:ascii="微软雅黑" w:eastAsia="微软雅黑"/>
          <w:color w:val="000000" w:themeColor="text1"/>
          <w:highlight w:val="none"/>
          <w:lang w:eastAsia="zh-CN"/>
          <w14:textFill>
            <w14:solidFill>
              <w14:schemeClr w14:val="tx1"/>
            </w14:solidFill>
          </w14:textFill>
        </w:rPr>
      </w:pPr>
    </w:p>
    <w:p w14:paraId="16CFC980">
      <w:pPr>
        <w:spacing w:line="225" w:lineRule="auto"/>
        <w:ind w:firstLine="468" w:firstLineChars="213"/>
        <w:jc w:val="center"/>
        <w:rPr>
          <w:rFonts w:hint="eastAsia" w:ascii="微软雅黑" w:eastAsia="微软雅黑"/>
          <w:color w:val="000000" w:themeColor="text1"/>
          <w:highlight w:val="none"/>
          <w:lang w:eastAsia="zh-CN"/>
          <w14:textFill>
            <w14:solidFill>
              <w14:schemeClr w14:val="tx1"/>
            </w14:solidFill>
          </w14:textFill>
        </w:rPr>
      </w:pPr>
    </w:p>
    <w:p w14:paraId="3C71F763">
      <w:pPr>
        <w:spacing w:line="225" w:lineRule="auto"/>
        <w:ind w:firstLine="468" w:firstLineChars="213"/>
        <w:jc w:val="center"/>
        <w:rPr>
          <w:rFonts w:hint="eastAsia" w:ascii="微软雅黑" w:eastAsia="微软雅黑"/>
          <w:color w:val="000000" w:themeColor="text1"/>
          <w:highlight w:val="none"/>
          <w:lang w:eastAsia="zh-CN"/>
          <w14:textFill>
            <w14:solidFill>
              <w14:schemeClr w14:val="tx1"/>
            </w14:solidFill>
          </w14:textFill>
        </w:rPr>
      </w:pPr>
    </w:p>
    <w:p w14:paraId="7B2C5A2B">
      <w:pPr>
        <w:pStyle w:val="13"/>
        <w:spacing w:before="120"/>
        <w:ind w:left="0" w:leftChars="0" w:right="110" w:firstLine="0" w:firstLineChars="0"/>
        <w:jc w:val="center"/>
        <w:rPr>
          <w:rFonts w:hint="eastAsia" w:eastAsiaTheme="minorEastAsia"/>
          <w:color w:val="000000" w:themeColor="text1"/>
          <w:highlight w:val="none"/>
          <w:lang w:eastAsia="zh-CN"/>
          <w14:textFill>
            <w14:solidFill>
              <w14:schemeClr w14:val="tx1"/>
            </w14:solidFill>
          </w14:textFill>
        </w:rPr>
      </w:pPr>
    </w:p>
    <w:p w14:paraId="6F8C0F37">
      <w:pPr>
        <w:pStyle w:val="13"/>
        <w:spacing w:before="120"/>
        <w:ind w:left="0" w:leftChars="0" w:right="110" w:firstLine="0" w:firstLineChars="0"/>
        <w:jc w:val="center"/>
        <w:rPr>
          <w:rFonts w:hint="eastAsia" w:eastAsiaTheme="minorEastAsia"/>
          <w:color w:val="000000" w:themeColor="text1"/>
          <w:highlight w:val="none"/>
          <w:lang w:eastAsia="zh-CN"/>
          <w14:textFill>
            <w14:solidFill>
              <w14:schemeClr w14:val="tx1"/>
            </w14:solidFill>
          </w14:textFill>
        </w:rPr>
      </w:pPr>
    </w:p>
    <w:p w14:paraId="6B30AAE3">
      <w:pPr>
        <w:pStyle w:val="13"/>
        <w:spacing w:before="120"/>
        <w:ind w:left="0" w:leftChars="0" w:right="110" w:firstLine="0" w:firstLineChars="0"/>
        <w:jc w:val="center"/>
        <w:rPr>
          <w:rFonts w:hint="eastAsia" w:eastAsiaTheme="minorEastAsia"/>
          <w:color w:val="000000" w:themeColor="text1"/>
          <w:highlight w:val="none"/>
          <w:lang w:eastAsia="zh-CN"/>
          <w14:textFill>
            <w14:solidFill>
              <w14:schemeClr w14:val="tx1"/>
            </w14:solidFill>
          </w14:textFill>
        </w:rPr>
      </w:pPr>
    </w:p>
    <w:p w14:paraId="4518B4AF">
      <w:pPr>
        <w:pStyle w:val="13"/>
        <w:spacing w:before="120"/>
        <w:ind w:left="0" w:leftChars="0" w:right="110" w:firstLine="0" w:firstLineChars="0"/>
        <w:jc w:val="center"/>
        <w:rPr>
          <w:rFonts w:hint="eastAsia" w:eastAsiaTheme="minorEastAsia"/>
          <w:color w:val="000000" w:themeColor="text1"/>
          <w:highlight w:val="none"/>
          <w:lang w:eastAsia="zh-CN"/>
          <w14:textFill>
            <w14:solidFill>
              <w14:schemeClr w14:val="tx1"/>
            </w14:solidFill>
          </w14:textFill>
        </w:rPr>
      </w:pPr>
    </w:p>
    <w:p w14:paraId="5FD87EE8">
      <w:pPr>
        <w:pStyle w:val="13"/>
        <w:spacing w:before="120"/>
        <w:ind w:left="0" w:leftChars="0" w:right="110" w:firstLine="0" w:firstLineChars="0"/>
        <w:jc w:val="center"/>
        <w:rPr>
          <w:rFonts w:hint="eastAsia" w:eastAsiaTheme="minorEastAsia"/>
          <w:color w:val="000000" w:themeColor="text1"/>
          <w:highlight w:val="none"/>
          <w:lang w:eastAsia="zh-CN"/>
          <w14:textFill>
            <w14:solidFill>
              <w14:schemeClr w14:val="tx1"/>
            </w14:solidFill>
          </w14:textFill>
        </w:rPr>
      </w:pPr>
    </w:p>
    <w:p w14:paraId="0F896240">
      <w:pPr>
        <w:pStyle w:val="13"/>
        <w:spacing w:before="120"/>
        <w:ind w:left="0" w:leftChars="0" w:right="110" w:firstLine="0" w:firstLineChars="0"/>
        <w:jc w:val="center"/>
        <w:rPr>
          <w:rFonts w:hint="eastAsia" w:eastAsiaTheme="minorEastAsia"/>
          <w:color w:val="000000" w:themeColor="text1"/>
          <w:highlight w:val="none"/>
          <w:lang w:eastAsia="zh-CN"/>
          <w14:textFill>
            <w14:solidFill>
              <w14:schemeClr w14:val="tx1"/>
            </w14:solidFill>
          </w14:textFill>
        </w:rPr>
      </w:pPr>
    </w:p>
    <w:p w14:paraId="248AEE2B">
      <w:pPr>
        <w:pStyle w:val="13"/>
        <w:spacing w:before="120"/>
        <w:ind w:left="0" w:leftChars="0" w:right="110" w:firstLine="0" w:firstLineChars="0"/>
        <w:jc w:val="center"/>
        <w:rPr>
          <w:rFonts w:hint="eastAsia" w:eastAsiaTheme="minorEastAsia"/>
          <w:color w:val="000000" w:themeColor="text1"/>
          <w:highlight w:val="none"/>
          <w:lang w:eastAsia="zh-CN"/>
          <w14:textFill>
            <w14:solidFill>
              <w14:schemeClr w14:val="tx1"/>
            </w14:solidFill>
          </w14:textFill>
        </w:rPr>
      </w:pPr>
    </w:p>
    <w:p w14:paraId="00DFB4F4">
      <w:pPr>
        <w:pStyle w:val="13"/>
        <w:spacing w:before="120"/>
        <w:ind w:left="0" w:leftChars="0" w:right="110" w:firstLine="0" w:firstLineChars="0"/>
        <w:jc w:val="center"/>
        <w:rPr>
          <w:rFonts w:hint="eastAsia" w:eastAsiaTheme="minorEastAsia"/>
          <w:color w:val="000000" w:themeColor="text1"/>
          <w:highlight w:val="none"/>
          <w:lang w:eastAsia="zh-CN"/>
          <w14:textFill>
            <w14:solidFill>
              <w14:schemeClr w14:val="tx1"/>
            </w14:solidFill>
          </w14:textFill>
        </w:rPr>
      </w:pPr>
    </w:p>
    <w:p w14:paraId="606AA168">
      <w:pPr>
        <w:rPr>
          <w:rFonts w:hint="eastAsia"/>
          <w:color w:val="000000" w:themeColor="text1"/>
          <w:highlight w:val="none"/>
          <w:lang w:eastAsia="zh-CN"/>
          <w14:textFill>
            <w14:solidFill>
              <w14:schemeClr w14:val="tx1"/>
            </w14:solidFill>
          </w14:textFill>
        </w:rPr>
      </w:pPr>
    </w:p>
    <w:p w14:paraId="212D9323">
      <w:pPr>
        <w:pStyle w:val="13"/>
        <w:spacing w:before="120"/>
        <w:ind w:left="0" w:leftChars="0" w:right="110" w:firstLine="0" w:firstLineChars="0"/>
        <w:jc w:val="center"/>
        <w:rPr>
          <w:rFonts w:hint="eastAsia" w:eastAsiaTheme="minorEastAsia"/>
          <w:color w:val="000000" w:themeColor="text1"/>
          <w:highlight w:val="none"/>
          <w:lang w:eastAsia="zh-CN"/>
          <w14:textFill>
            <w14:solidFill>
              <w14:schemeClr w14:val="tx1"/>
            </w14:solidFill>
          </w14:textFill>
        </w:rPr>
      </w:pPr>
    </w:p>
    <w:p w14:paraId="6C727CC8">
      <w:pPr>
        <w:spacing w:before="12"/>
        <w:jc w:val="center"/>
        <w:rPr>
          <w:rFonts w:hint="eastAsia" w:ascii="华光小标宋_CNKI" w:hAnsi="华光小标宋_CNKI" w:eastAsia="华光小标宋_CNKI"/>
          <w:b/>
          <w:color w:val="000000" w:themeColor="text1"/>
          <w:sz w:val="50"/>
          <w:highlight w:val="none"/>
          <w:lang w:eastAsia="zh-CN"/>
          <w14:textFill>
            <w14:solidFill>
              <w14:schemeClr w14:val="tx1"/>
            </w14:solidFill>
          </w14:textFill>
        </w:rPr>
      </w:pPr>
      <w:r>
        <w:rPr>
          <w:rFonts w:hint="eastAsia" w:ascii="方正小标宋_GBK" w:hAnsi="方正小标宋_GBK" w:eastAsia="方正小标宋_GBK" w:cs="方正小标宋_GBK"/>
          <w:b/>
          <w:color w:val="000000" w:themeColor="text1"/>
          <w:sz w:val="50"/>
          <w:highlight w:val="none"/>
          <w:lang w:eastAsia="zh-CN"/>
          <w14:textFill>
            <w14:solidFill>
              <w14:schemeClr w14:val="tx1"/>
            </w14:solidFill>
          </w14:textFill>
        </w:rPr>
        <w:t>规划文本</w:t>
      </w:r>
      <w:r>
        <w:rPr>
          <w:rFonts w:ascii="华光小标宋_CNKI" w:hAnsi="华光小标宋_CNKI" w:eastAsia="华光小标宋_CNKI"/>
          <w:b/>
          <w:color w:val="000000" w:themeColor="text1"/>
          <w:sz w:val="50"/>
          <w:highlight w:val="none"/>
          <w:lang w:eastAsia="zh-CN"/>
          <w14:textFill>
            <w14:solidFill>
              <w14:schemeClr w14:val="tx1"/>
            </w14:solidFill>
          </w14:textFill>
        </w:rPr>
        <w:br w:type="page"/>
      </w:r>
    </w:p>
    <w:p w14:paraId="7F29EC8A">
      <w:pPr>
        <w:spacing w:line="225" w:lineRule="auto"/>
        <w:ind w:firstLine="468" w:firstLineChars="213"/>
        <w:jc w:val="center"/>
        <w:rPr>
          <w:rFonts w:hint="eastAsia" w:ascii="微软雅黑" w:eastAsia="微软雅黑"/>
          <w:color w:val="000000" w:themeColor="text1"/>
          <w:highlight w:val="none"/>
          <w:lang w:eastAsia="zh-CN"/>
          <w14:textFill>
            <w14:solidFill>
              <w14:schemeClr w14:val="tx1"/>
            </w14:solidFill>
          </w14:textFill>
        </w:rPr>
        <w:sectPr>
          <w:type w:val="continuous"/>
          <w:pgSz w:w="11910" w:h="16850"/>
          <w:pgMar w:top="1400" w:right="1380" w:bottom="280" w:left="1560" w:header="720" w:footer="720" w:gutter="0"/>
          <w:cols w:space="720" w:num="1"/>
        </w:sectPr>
      </w:pPr>
    </w:p>
    <w:p w14:paraId="066477AD">
      <w:pPr>
        <w:pStyle w:val="13"/>
        <w:spacing w:before="120"/>
        <w:ind w:left="0" w:leftChars="0" w:right="110" w:firstLine="0" w:firstLineChars="0"/>
        <w:jc w:val="center"/>
        <w:rPr>
          <w:rFonts w:hint="eastAsia" w:ascii="微软雅黑" w:eastAsia="仿宋_GB2312"/>
          <w:b/>
          <w:bCs/>
          <w:color w:val="000000" w:themeColor="text1"/>
          <w:sz w:val="36"/>
          <w:szCs w:val="160"/>
          <w:highlight w:val="none"/>
          <w14:textFill>
            <w14:solidFill>
              <w14:schemeClr w14:val="tx1"/>
            </w14:solidFill>
          </w14:textFill>
        </w:rPr>
      </w:pPr>
      <w:r>
        <w:rPr>
          <w:rFonts w:hint="eastAsia" w:ascii="微软雅黑" w:eastAsia="仿宋_GB2312"/>
          <w:b/>
          <w:bCs/>
          <w:color w:val="000000" w:themeColor="text1"/>
          <w:sz w:val="36"/>
          <w:szCs w:val="160"/>
          <w:highlight w:val="none"/>
          <w14:textFill>
            <w14:solidFill>
              <w14:schemeClr w14:val="tx1"/>
            </w14:solidFill>
          </w14:textFill>
        </w:rPr>
        <w:t>目录</w:t>
      </w:r>
    </w:p>
    <w:p w14:paraId="2422F2A5">
      <w:pPr>
        <w:pStyle w:val="19"/>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 w:val="44"/>
          <w:szCs w:val="44"/>
          <w:highlight w:val="none"/>
          <w14:textFill>
            <w14:solidFill>
              <w14:schemeClr w14:val="tx1"/>
            </w14:solidFill>
          </w14:textFill>
        </w:rPr>
        <w:fldChar w:fldCharType="begin"/>
      </w:r>
      <w:r>
        <w:rPr>
          <w:rFonts w:asciiTheme="minorEastAsia" w:hAnsiTheme="minorEastAsia" w:eastAsiaTheme="minorEastAsia"/>
          <w:color w:val="000000" w:themeColor="text1"/>
          <w:sz w:val="44"/>
          <w:szCs w:val="44"/>
          <w:highlight w:val="none"/>
          <w14:textFill>
            <w14:solidFill>
              <w14:schemeClr w14:val="tx1"/>
            </w14:solidFill>
          </w14:textFill>
        </w:rPr>
        <w:instrText xml:space="preserve"> TOC \o "1-2" \h \z \u </w:instrText>
      </w:r>
      <w:r>
        <w:rPr>
          <w:rFonts w:asciiTheme="minorEastAsia" w:hAnsiTheme="minorEastAsia" w:eastAsiaTheme="minorEastAsia"/>
          <w:color w:val="000000" w:themeColor="text1"/>
          <w:sz w:val="44"/>
          <w:szCs w:val="44"/>
          <w:highlight w:val="none"/>
          <w14:textFill>
            <w14:solidFill>
              <w14:schemeClr w14:val="tx1"/>
            </w14:solidFill>
          </w14:textFill>
        </w:rPr>
        <w:fldChar w:fldCharType="separate"/>
      </w:r>
      <w:r>
        <w:rPr>
          <w:rFonts w:asciiTheme="minorEastAsia" w:hAnsiTheme="minorEastAsia" w:eastAsiaTheme="minorEastAsia"/>
          <w:color w:val="000000" w:themeColor="text1"/>
          <w:szCs w:val="44"/>
          <w:highlight w:val="none"/>
          <w14:textFill>
            <w14:solidFill>
              <w14:schemeClr w14:val="tx1"/>
            </w14:solidFill>
          </w14:textFill>
        </w:rPr>
        <w:fldChar w:fldCharType="begin"/>
      </w:r>
      <w:r>
        <w:rPr>
          <w:rFonts w:asciiTheme="minorEastAsia" w:hAnsiTheme="minorEastAsia" w:eastAsiaTheme="minorEastAsia"/>
          <w:color w:val="000000" w:themeColor="text1"/>
          <w:szCs w:val="44"/>
          <w:highlight w:val="none"/>
          <w14:textFill>
            <w14:solidFill>
              <w14:schemeClr w14:val="tx1"/>
            </w14:solidFill>
          </w14:textFill>
        </w:rPr>
        <w:instrText xml:space="preserve"> HYPERLINK \l _Toc15728 </w:instrText>
      </w:r>
      <w:r>
        <w:rPr>
          <w:rFonts w:asciiTheme="minorEastAsia" w:hAnsiTheme="minorEastAsia" w:eastAsiaTheme="minorEastAsia"/>
          <w:color w:val="000000" w:themeColor="text1"/>
          <w:szCs w:val="44"/>
          <w:highlight w:val="none"/>
          <w14:textFill>
            <w14:solidFill>
              <w14:schemeClr w14:val="tx1"/>
            </w14:solidFill>
          </w14:textFill>
        </w:rPr>
        <w:fldChar w:fldCharType="separate"/>
      </w:r>
      <w:r>
        <w:rPr>
          <w:rFonts w:hint="eastAsia" w:ascii="华光小标宋_CNKI" w:hAnsi="黑体" w:eastAsia="华光小标宋_CNKI"/>
          <w:color w:val="000000" w:themeColor="text1"/>
          <w:spacing w:val="5"/>
          <w:highlight w:val="none"/>
          <w14:textFill>
            <w14:solidFill>
              <w14:schemeClr w14:val="tx1"/>
            </w14:solidFill>
          </w14:textFill>
        </w:rPr>
        <w:t xml:space="preserve">第一章 </w:t>
      </w:r>
      <w:r>
        <w:rPr>
          <w:rFonts w:hint="eastAsia" w:ascii="华光小标宋_CNKI" w:hAnsi="华光小标宋_CNKI" w:eastAsia="华光小标宋_CNKI"/>
          <w:color w:val="000000" w:themeColor="text1"/>
          <w:spacing w:val="5"/>
          <w:highlight w:val="none"/>
          <w14:textFill>
            <w14:solidFill>
              <w14:schemeClr w14:val="tx1"/>
            </w14:solidFill>
          </w14:textFill>
        </w:rPr>
        <w:t>总 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_Toc15728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44"/>
          <w:highlight w:val="none"/>
          <w14:textFill>
            <w14:solidFill>
              <w14:schemeClr w14:val="tx1"/>
            </w14:solidFill>
          </w14:textFill>
        </w:rPr>
        <w:fldChar w:fldCharType="end"/>
      </w:r>
    </w:p>
    <w:p w14:paraId="62AEEF6B">
      <w:pPr>
        <w:pStyle w:val="19"/>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_Toc21867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华光小标宋_CNKI" w:hAnsi="黑体" w:eastAsia="华光小标宋_CNKI"/>
          <w:color w:val="000000" w:themeColor="text1"/>
          <w:spacing w:val="5"/>
          <w:highlight w:val="none"/>
          <w14:textFill>
            <w14:solidFill>
              <w14:schemeClr w14:val="tx1"/>
            </w14:solidFill>
          </w14:textFill>
        </w:rPr>
        <w:t xml:space="preserve">第二章 </w:t>
      </w:r>
      <w:r>
        <w:rPr>
          <w:rFonts w:hint="eastAsia" w:ascii="华光小标宋_CNKI" w:hAnsi="华光小标宋_CNKI" w:eastAsia="华光小标宋_CNKI"/>
          <w:color w:val="000000" w:themeColor="text1"/>
          <w:spacing w:val="5"/>
          <w:highlight w:val="none"/>
          <w14:textFill>
            <w14:solidFill>
              <w14:schemeClr w14:val="tx1"/>
            </w14:solidFill>
          </w14:textFill>
        </w:rPr>
        <w:t>基础条件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_Toc21867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15C8ABEB">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_Toc25892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第一节 </w:t>
      </w:r>
      <w:r>
        <w:rPr>
          <w:rFonts w:hint="eastAsia" w:ascii="黑体" w:hAnsi="黑体" w:eastAsia="黑体"/>
          <w:color w:val="000000" w:themeColor="text1"/>
          <w:highlight w:val="none"/>
          <w:lang w:eastAsia="zh-CN"/>
          <w14:textFill>
            <w14:solidFill>
              <w14:schemeClr w14:val="tx1"/>
            </w14:solidFill>
          </w14:textFill>
        </w:rPr>
        <w:t>基本概况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_Toc25892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33DC7FDE">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_Toc6890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第二节 </w:t>
      </w:r>
      <w:r>
        <w:rPr>
          <w:rFonts w:hint="eastAsia" w:ascii="黑体" w:hAnsi="黑体" w:eastAsia="黑体"/>
          <w:color w:val="000000" w:themeColor="text1"/>
          <w:highlight w:val="none"/>
          <w:lang w:eastAsia="zh-CN"/>
          <w14:textFill>
            <w14:solidFill>
              <w14:schemeClr w14:val="tx1"/>
            </w14:solidFill>
          </w14:textFill>
        </w:rPr>
        <w:t>特征与问题</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_Toc6890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6C3C8038">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_Toc18164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第三节 </w:t>
      </w:r>
      <w:r>
        <w:rPr>
          <w:rFonts w:hint="eastAsia" w:ascii="黑体" w:hAnsi="黑体" w:eastAsia="黑体"/>
          <w:color w:val="000000" w:themeColor="text1"/>
          <w:highlight w:val="none"/>
          <w:lang w:eastAsia="zh-CN"/>
          <w14:textFill>
            <w14:solidFill>
              <w14:schemeClr w14:val="tx1"/>
            </w14:solidFill>
          </w14:textFill>
        </w:rPr>
        <w:t>机遇与挑战</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_Toc18164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102ABCAC">
      <w:pPr>
        <w:pStyle w:val="19"/>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_Toc9778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华光小标宋_CNKI" w:hAnsi="黑体" w:eastAsia="华光小标宋_CNKI"/>
          <w:color w:val="000000" w:themeColor="text1"/>
          <w:spacing w:val="5"/>
          <w:highlight w:val="none"/>
          <w14:textFill>
            <w14:solidFill>
              <w14:schemeClr w14:val="tx1"/>
            </w14:solidFill>
          </w14:textFill>
        </w:rPr>
        <w:t xml:space="preserve">第三章 </w:t>
      </w:r>
      <w:r>
        <w:rPr>
          <w:rFonts w:ascii="华光小标宋_CNKI" w:hAnsi="华光小标宋_CNKI" w:eastAsia="华光小标宋_CNKI"/>
          <w:color w:val="000000" w:themeColor="text1"/>
          <w:spacing w:val="5"/>
          <w:highlight w:val="none"/>
          <w14:textFill>
            <w14:solidFill>
              <w14:schemeClr w14:val="tx1"/>
            </w14:solidFill>
          </w14:textFill>
        </w:rPr>
        <w:t>发展定位与目标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_Toc9778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45A5F81">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_Toc15381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第一节 </w:t>
      </w:r>
      <w:r>
        <w:rPr>
          <w:rFonts w:hint="eastAsia" w:ascii="黑体" w:hAnsi="黑体" w:eastAsia="黑体"/>
          <w:color w:val="000000" w:themeColor="text1"/>
          <w:highlight w:val="none"/>
          <w:lang w:eastAsia="zh-CN"/>
          <w14:textFill>
            <w14:solidFill>
              <w14:schemeClr w14:val="tx1"/>
            </w14:solidFill>
          </w14:textFill>
        </w:rPr>
        <w:t>发展定位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_Toc15381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523B4993">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_Toc1669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第二节 </w:t>
      </w:r>
      <w:r>
        <w:rPr>
          <w:rFonts w:hint="eastAsia" w:ascii="黑体" w:hAnsi="黑体" w:eastAsia="黑体"/>
          <w:color w:val="000000" w:themeColor="text1"/>
          <w:highlight w:val="none"/>
          <w:lang w:eastAsia="zh-CN"/>
          <w14:textFill>
            <w14:solidFill>
              <w14:schemeClr w14:val="tx1"/>
            </w14:solidFill>
          </w14:textFill>
        </w:rPr>
        <w:t>国土空间开发保护目标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5C3B659E">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_Toc19995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第三节 </w:t>
      </w:r>
      <w:r>
        <w:rPr>
          <w:rFonts w:hint="eastAsia" w:ascii="黑体" w:hAnsi="黑体" w:eastAsia="黑体"/>
          <w:color w:val="000000" w:themeColor="text1"/>
          <w:highlight w:val="none"/>
          <w:lang w:eastAsia="zh-CN"/>
          <w14:textFill>
            <w14:solidFill>
              <w14:schemeClr w14:val="tx1"/>
            </w14:solidFill>
          </w14:textFill>
        </w:rPr>
        <w:t>国土空间开发保护策略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_Toc19995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4FA03810">
      <w:pPr>
        <w:pStyle w:val="19"/>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_Toc24857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华光小标宋_CNKI" w:hAnsi="黑体" w:eastAsia="华光小标宋_CNKI"/>
          <w:color w:val="000000" w:themeColor="text1"/>
          <w:spacing w:val="5"/>
          <w:highlight w:val="none"/>
          <w14:textFill>
            <w14:solidFill>
              <w14:schemeClr w14:val="tx1"/>
            </w14:solidFill>
          </w14:textFill>
        </w:rPr>
        <w:t xml:space="preserve">第四章 </w:t>
      </w:r>
      <w:r>
        <w:rPr>
          <w:rFonts w:hint="eastAsia" w:ascii="华光小标宋_CNKI" w:hAnsi="华光小标宋_CNKI" w:eastAsia="华光小标宋_CNKI"/>
          <w:color w:val="000000" w:themeColor="text1"/>
          <w:spacing w:val="5"/>
          <w:highlight w:val="none"/>
          <w14:textFill>
            <w14:solidFill>
              <w14:schemeClr w14:val="tx1"/>
            </w14:solidFill>
          </w14:textFill>
        </w:rPr>
        <w:t>以“三区三线”为基础，构建</w:t>
      </w:r>
      <w:r>
        <w:rPr>
          <w:rFonts w:ascii="华光小标宋_CNKI" w:hAnsi="华光小标宋_CNKI" w:eastAsia="华光小标宋_CNKI"/>
          <w:color w:val="000000" w:themeColor="text1"/>
          <w:spacing w:val="5"/>
          <w:highlight w:val="none"/>
          <w14:textFill>
            <w14:solidFill>
              <w14:schemeClr w14:val="tx1"/>
            </w14:solidFill>
          </w14:textFill>
        </w:rPr>
        <w:t>国土空间</w:t>
      </w:r>
      <w:r>
        <w:rPr>
          <w:rFonts w:hint="eastAsia" w:ascii="华光小标宋_CNKI" w:hAnsi="华光小标宋_CNKI" w:eastAsia="华光小标宋_CNKI"/>
          <w:color w:val="000000" w:themeColor="text1"/>
          <w:spacing w:val="5"/>
          <w:highlight w:val="none"/>
          <w14:textFill>
            <w14:solidFill>
              <w14:schemeClr w14:val="tx1"/>
            </w14:solidFill>
          </w14:textFill>
        </w:rPr>
        <w:t>开发保护新</w:t>
      </w:r>
      <w:r>
        <w:rPr>
          <w:rFonts w:ascii="华光小标宋_CNKI" w:hAnsi="华光小标宋_CNKI" w:eastAsia="华光小标宋_CNKI"/>
          <w:color w:val="000000" w:themeColor="text1"/>
          <w:spacing w:val="5"/>
          <w:highlight w:val="none"/>
          <w14:textFill>
            <w14:solidFill>
              <w14:schemeClr w14:val="tx1"/>
            </w14:solidFill>
          </w14:textFill>
        </w:rPr>
        <w:t>格局</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_Toc24857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3119612E">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_Toc3981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第一节 </w:t>
      </w:r>
      <w:r>
        <w:rPr>
          <w:rFonts w:hint="eastAsia" w:ascii="黑体" w:hAnsi="黑体" w:eastAsia="黑体"/>
          <w:color w:val="000000" w:themeColor="text1"/>
          <w:highlight w:val="none"/>
          <w:lang w:val="en-US" w:eastAsia="zh-CN"/>
          <w14:textFill>
            <w14:solidFill>
              <w14:schemeClr w14:val="tx1"/>
            </w14:solidFill>
          </w14:textFill>
        </w:rPr>
        <w:t>高标准高质量</w:t>
      </w:r>
      <w:r>
        <w:rPr>
          <w:rFonts w:hint="eastAsia" w:ascii="黑体" w:hAnsi="黑体" w:eastAsia="黑体"/>
          <w:color w:val="000000" w:themeColor="text1"/>
          <w:highlight w:val="none"/>
          <w:lang w:eastAsia="zh-CN"/>
          <w14:textFill>
            <w14:solidFill>
              <w14:schemeClr w14:val="tx1"/>
            </w14:solidFill>
          </w14:textFill>
        </w:rPr>
        <w:t>落实“三</w:t>
      </w:r>
      <w:r>
        <w:rPr>
          <w:rFonts w:hint="eastAsia" w:ascii="黑体" w:hAnsi="黑体" w:eastAsia="黑体"/>
          <w:color w:val="000000" w:themeColor="text1"/>
          <w:highlight w:val="none"/>
          <w:lang w:val="en-US" w:eastAsia="zh-CN"/>
          <w14:textFill>
            <w14:solidFill>
              <w14:schemeClr w14:val="tx1"/>
            </w14:solidFill>
          </w14:textFill>
        </w:rPr>
        <w:t>区三</w:t>
      </w:r>
      <w:r>
        <w:rPr>
          <w:rFonts w:hint="eastAsia" w:ascii="黑体" w:hAnsi="黑体" w:eastAsia="黑体"/>
          <w:color w:val="000000" w:themeColor="text1"/>
          <w:highlight w:val="none"/>
          <w:lang w:eastAsia="zh-CN"/>
          <w14:textFill>
            <w14:solidFill>
              <w14:schemeClr w14:val="tx1"/>
            </w14:solidFill>
          </w14:textFill>
        </w:rPr>
        <w:t>线”</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_Toc3981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0854E2D8">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_Toc8156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第二节 </w:t>
      </w:r>
      <w:r>
        <w:rPr>
          <w:rFonts w:hint="eastAsia" w:ascii="黑体" w:hAnsi="黑体" w:eastAsia="黑体"/>
          <w:color w:val="000000" w:themeColor="text1"/>
          <w:highlight w:val="none"/>
          <w:lang w:eastAsia="zh-CN"/>
          <w14:textFill>
            <w14:solidFill>
              <w14:schemeClr w14:val="tx1"/>
            </w14:solidFill>
          </w14:textFill>
        </w:rPr>
        <w:t>塑造镇域发展新格局</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_Toc8156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4D867E8A">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_Toc26136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第三节 </w:t>
      </w:r>
      <w:r>
        <w:rPr>
          <w:rFonts w:hint="eastAsia" w:ascii="黑体" w:hAnsi="黑体" w:eastAsia="黑体"/>
          <w:color w:val="000000" w:themeColor="text1"/>
          <w:highlight w:val="none"/>
          <w:lang w:eastAsia="zh-CN"/>
          <w14:textFill>
            <w14:solidFill>
              <w14:schemeClr w14:val="tx1"/>
            </w14:solidFill>
          </w14:textFill>
        </w:rPr>
        <w:t>优化国土空间功能结构</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_Toc26136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07E454D3">
      <w:pPr>
        <w:pStyle w:val="19"/>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_Toc3927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华光小标宋_CNKI" w:hAnsi="黑体" w:eastAsia="华光小标宋_CNKI"/>
          <w:caps w:val="0"/>
          <w:smallCaps w:val="0"/>
          <w:color w:val="000000" w:themeColor="text1"/>
          <w:spacing w:val="5"/>
          <w:highlight w:val="none"/>
          <w14:textFill>
            <w14:solidFill>
              <w14:schemeClr w14:val="tx1"/>
            </w14:solidFill>
          </w14:textFill>
        </w:rPr>
        <w:t xml:space="preserve">第五章 </w:t>
      </w:r>
      <w:r>
        <w:rPr>
          <w:rFonts w:hint="eastAsia" w:ascii="Times New Roman" w:hAnsi="Times New Roman" w:eastAsia="华光小标宋_CNKI"/>
          <w:caps w:val="0"/>
          <w:smallCaps w:val="0"/>
          <w:color w:val="000000" w:themeColor="text1"/>
          <w:spacing w:val="5"/>
          <w:highlight w:val="none"/>
          <w14:textFill>
            <w14:solidFill>
              <w14:schemeClr w14:val="tx1"/>
            </w14:solidFill>
          </w14:textFill>
        </w:rPr>
        <w:t>塑造绿色高效农业空间，保障现代化农业发展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_Toc3927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31586277">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_Toc15218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aps w:val="0"/>
          <w:smallCaps w:val="0"/>
          <w:color w:val="000000" w:themeColor="text1"/>
          <w:highlight w:val="none"/>
          <w:lang w:eastAsia="zh-CN"/>
          <w14:textFill>
            <w14:solidFill>
              <w14:schemeClr w14:val="tx1"/>
            </w14:solidFill>
          </w14:textFill>
        </w:rPr>
        <w:t xml:space="preserve">第一节 </w:t>
      </w:r>
      <w:r>
        <w:rPr>
          <w:rFonts w:hint="eastAsia" w:ascii="Times New Roman" w:hAnsi="Times New Roman" w:eastAsia="黑体"/>
          <w:caps w:val="0"/>
          <w:smallCaps w:val="0"/>
          <w:color w:val="000000" w:themeColor="text1"/>
          <w:highlight w:val="none"/>
          <w:lang w:eastAsia="zh-CN"/>
          <w14:textFill>
            <w14:solidFill>
              <w14:schemeClr w14:val="tx1"/>
            </w14:solidFill>
          </w14:textFill>
        </w:rPr>
        <w:t>加强耕地“三位一体”保护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_Toc15218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482EE850">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_Toc11407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aps w:val="0"/>
          <w:smallCaps w:val="0"/>
          <w:color w:val="000000" w:themeColor="text1"/>
          <w:highlight w:val="none"/>
          <w:lang w:eastAsia="zh-CN"/>
          <w14:textFill>
            <w14:solidFill>
              <w14:schemeClr w14:val="tx1"/>
            </w14:solidFill>
          </w14:textFill>
        </w:rPr>
        <w:t xml:space="preserve">第二节 </w:t>
      </w:r>
      <w:r>
        <w:rPr>
          <w:rFonts w:hint="eastAsia" w:ascii="Times New Roman" w:hAnsi="Times New Roman" w:eastAsia="黑体"/>
          <w:caps w:val="0"/>
          <w:smallCaps w:val="0"/>
          <w:color w:val="000000" w:themeColor="text1"/>
          <w:highlight w:val="none"/>
          <w:lang w:val="en-US" w:eastAsia="zh-CN"/>
          <w14:textFill>
            <w14:solidFill>
              <w14:schemeClr w14:val="tx1"/>
            </w14:solidFill>
          </w14:textFill>
        </w:rPr>
        <w:t>保障特色农产品生产空间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_Toc11407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65B0FD0F">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_Toc29218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aps w:val="0"/>
          <w:smallCaps w:val="0"/>
          <w:color w:val="000000" w:themeColor="text1"/>
          <w:highlight w:val="none"/>
          <w:lang w:eastAsia="zh-CN"/>
          <w14:textFill>
            <w14:solidFill>
              <w14:schemeClr w14:val="tx1"/>
            </w14:solidFill>
          </w14:textFill>
        </w:rPr>
        <w:t xml:space="preserve">第三节 </w:t>
      </w:r>
      <w:r>
        <w:rPr>
          <w:rFonts w:hint="eastAsia" w:ascii="Times New Roman" w:hAnsi="Times New Roman" w:eastAsia="黑体"/>
          <w:caps w:val="0"/>
          <w:smallCaps w:val="0"/>
          <w:color w:val="000000" w:themeColor="text1"/>
          <w:highlight w:val="none"/>
          <w:lang w:eastAsia="zh-CN"/>
          <w14:textFill>
            <w14:solidFill>
              <w14:schemeClr w14:val="tx1"/>
            </w14:solidFill>
          </w14:textFill>
        </w:rPr>
        <w:t>加强国土空间综合整治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_Toc29218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28AB8E3F">
      <w:pPr>
        <w:pStyle w:val="19"/>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_Toc11034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华光小标宋_CNKI" w:hAnsi="黑体" w:eastAsia="华光小标宋_CNKI"/>
          <w:caps w:val="0"/>
          <w:smallCaps w:val="0"/>
          <w:color w:val="000000" w:themeColor="text1"/>
          <w:spacing w:val="5"/>
          <w:highlight w:val="none"/>
          <w:lang w:eastAsia="zh-CN"/>
          <w14:textFill>
            <w14:solidFill>
              <w14:schemeClr w14:val="tx1"/>
            </w14:solidFill>
          </w14:textFill>
        </w:rPr>
        <w:t xml:space="preserve">第六章 </w:t>
      </w:r>
      <w:r>
        <w:rPr>
          <w:rFonts w:hint="eastAsia" w:ascii="Times New Roman" w:hAnsi="Times New Roman" w:eastAsia="华光小标宋_CNKI"/>
          <w:caps w:val="0"/>
          <w:smallCaps w:val="0"/>
          <w:color w:val="000000" w:themeColor="text1"/>
          <w:spacing w:val="5"/>
          <w:highlight w:val="none"/>
          <w14:textFill>
            <w14:solidFill>
              <w14:schemeClr w14:val="tx1"/>
            </w14:solidFill>
          </w14:textFill>
        </w:rPr>
        <w:t>构筑蓝绿</w:t>
      </w:r>
      <w:r>
        <w:rPr>
          <w:rFonts w:hint="eastAsia" w:ascii="Times New Roman" w:hAnsi="Times New Roman" w:eastAsia="华光小标宋_CNKI"/>
          <w:caps w:val="0"/>
          <w:smallCaps w:val="0"/>
          <w:color w:val="000000" w:themeColor="text1"/>
          <w:spacing w:val="5"/>
          <w:highlight w:val="none"/>
          <w:lang w:val="en-US" w:eastAsia="zh-CN"/>
          <w14:textFill>
            <w14:solidFill>
              <w14:schemeClr w14:val="tx1"/>
            </w14:solidFill>
          </w14:textFill>
        </w:rPr>
        <w:t>交织、</w:t>
      </w:r>
      <w:r>
        <w:rPr>
          <w:rFonts w:hint="eastAsia" w:ascii="Times New Roman" w:hAnsi="Times New Roman" w:eastAsia="华光小标宋_CNKI"/>
          <w:caps w:val="0"/>
          <w:smallCaps w:val="0"/>
          <w:color w:val="000000" w:themeColor="text1"/>
          <w:spacing w:val="5"/>
          <w:highlight w:val="none"/>
          <w14:textFill>
            <w14:solidFill>
              <w14:schemeClr w14:val="tx1"/>
            </w14:solidFill>
          </w14:textFill>
        </w:rPr>
        <w:t>田</w:t>
      </w:r>
      <w:r>
        <w:rPr>
          <w:rFonts w:hint="eastAsia" w:ascii="Times New Roman" w:hAnsi="Times New Roman" w:eastAsia="华光小标宋_CNKI"/>
          <w:caps w:val="0"/>
          <w:smallCaps w:val="0"/>
          <w:color w:val="000000" w:themeColor="text1"/>
          <w:spacing w:val="5"/>
          <w:highlight w:val="none"/>
          <w:lang w:val="en-US" w:eastAsia="zh-CN"/>
          <w14:textFill>
            <w14:solidFill>
              <w14:schemeClr w14:val="tx1"/>
            </w14:solidFill>
          </w14:textFill>
        </w:rPr>
        <w:t>城</w:t>
      </w:r>
      <w:r>
        <w:rPr>
          <w:rFonts w:hint="eastAsia" w:ascii="Times New Roman" w:hAnsi="Times New Roman" w:eastAsia="华光小标宋_CNKI"/>
          <w:caps w:val="0"/>
          <w:smallCaps w:val="0"/>
          <w:color w:val="000000" w:themeColor="text1"/>
          <w:spacing w:val="5"/>
          <w:highlight w:val="none"/>
          <w14:textFill>
            <w14:solidFill>
              <w14:schemeClr w14:val="tx1"/>
            </w14:solidFill>
          </w14:textFill>
        </w:rPr>
        <w:t>相</w:t>
      </w:r>
      <w:r>
        <w:rPr>
          <w:rFonts w:hint="eastAsia" w:ascii="Times New Roman" w:hAnsi="Times New Roman" w:eastAsia="华光小标宋_CNKI"/>
          <w:caps w:val="0"/>
          <w:smallCaps w:val="0"/>
          <w:color w:val="000000" w:themeColor="text1"/>
          <w:spacing w:val="5"/>
          <w:highlight w:val="none"/>
          <w:lang w:val="en-US" w:eastAsia="zh-CN"/>
          <w14:textFill>
            <w14:solidFill>
              <w14:schemeClr w14:val="tx1"/>
            </w14:solidFill>
          </w14:textFill>
        </w:rPr>
        <w:t>拥</w:t>
      </w:r>
      <w:r>
        <w:rPr>
          <w:rFonts w:hint="eastAsia" w:ascii="Times New Roman" w:hAnsi="Times New Roman" w:eastAsia="华光小标宋_CNKI"/>
          <w:caps w:val="0"/>
          <w:smallCaps w:val="0"/>
          <w:color w:val="000000" w:themeColor="text1"/>
          <w:spacing w:val="5"/>
          <w:highlight w:val="none"/>
          <w14:textFill>
            <w14:solidFill>
              <w14:schemeClr w14:val="tx1"/>
            </w14:solidFill>
          </w14:textFill>
        </w:rPr>
        <w:t>生态空间，促进人与自然和谐共生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_Toc11034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36FBF6AD">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_Toc9679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aps w:val="0"/>
          <w:smallCaps w:val="0"/>
          <w:color w:val="000000" w:themeColor="text1"/>
          <w:highlight w:val="none"/>
          <w:lang w:eastAsia="zh-CN"/>
          <w14:textFill>
            <w14:solidFill>
              <w14:schemeClr w14:val="tx1"/>
            </w14:solidFill>
          </w14:textFill>
        </w:rPr>
        <w:t xml:space="preserve">第一节 </w:t>
      </w:r>
      <w:r>
        <w:rPr>
          <w:rFonts w:hint="eastAsia" w:ascii="Times New Roman" w:hAnsi="Times New Roman" w:eastAsia="黑体"/>
          <w:caps w:val="0"/>
          <w:smallCaps w:val="0"/>
          <w:color w:val="000000" w:themeColor="text1"/>
          <w:highlight w:val="none"/>
          <w:lang w:eastAsia="zh-CN"/>
          <w14:textFill>
            <w14:solidFill>
              <w14:schemeClr w14:val="tx1"/>
            </w14:solidFill>
          </w14:textFill>
        </w:rPr>
        <w:t>加强河湖生态管控</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_Toc9679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2BC921BE">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_Toc15559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aps w:val="0"/>
          <w:smallCaps w:val="0"/>
          <w:color w:val="000000" w:themeColor="text1"/>
          <w:highlight w:val="none"/>
          <w:lang w:eastAsia="zh-CN"/>
          <w14:textFill>
            <w14:solidFill>
              <w14:schemeClr w14:val="tx1"/>
            </w14:solidFill>
          </w14:textFill>
        </w:rPr>
        <w:t xml:space="preserve">第二节 </w:t>
      </w:r>
      <w:r>
        <w:rPr>
          <w:rFonts w:hint="eastAsia" w:ascii="Times New Roman" w:hAnsi="Times New Roman" w:eastAsia="黑体"/>
          <w:caps w:val="0"/>
          <w:smallCaps w:val="0"/>
          <w:color w:val="000000" w:themeColor="text1"/>
          <w:highlight w:val="none"/>
          <w:lang w:eastAsia="zh-CN"/>
          <w14:textFill>
            <w14:solidFill>
              <w14:schemeClr w14:val="tx1"/>
            </w14:solidFill>
          </w14:textFill>
        </w:rPr>
        <w:t>构建绿色生态屏障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_Toc15559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309A27AD">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_Toc15046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aps w:val="0"/>
          <w:smallCaps w:val="0"/>
          <w:color w:val="000000" w:themeColor="text1"/>
          <w:highlight w:val="none"/>
          <w:lang w:eastAsia="zh-CN"/>
          <w14:textFill>
            <w14:solidFill>
              <w14:schemeClr w14:val="tx1"/>
            </w14:solidFill>
          </w14:textFill>
        </w:rPr>
        <w:t xml:space="preserve">第三节 </w:t>
      </w:r>
      <w:r>
        <w:rPr>
          <w:rFonts w:hint="eastAsia" w:ascii="Times New Roman" w:hAnsi="Times New Roman" w:eastAsia="黑体"/>
          <w:caps w:val="0"/>
          <w:smallCaps w:val="0"/>
          <w:color w:val="000000" w:themeColor="text1"/>
          <w:highlight w:val="none"/>
          <w:lang w:eastAsia="zh-CN"/>
          <w14:textFill>
            <w14:solidFill>
              <w14:schemeClr w14:val="tx1"/>
            </w14:solidFill>
          </w14:textFill>
        </w:rPr>
        <w:t>系统实施生态修复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_Toc15046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87ACC57">
      <w:pPr>
        <w:pStyle w:val="19"/>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_Toc12163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华光小标宋_CNKI" w:hAnsi="黑体" w:eastAsia="华光小标宋_CNKI"/>
          <w:color w:val="000000" w:themeColor="text1"/>
          <w:spacing w:val="5"/>
          <w:highlight w:val="none"/>
          <w14:textFill>
            <w14:solidFill>
              <w14:schemeClr w14:val="tx1"/>
            </w14:solidFill>
          </w14:textFill>
        </w:rPr>
        <w:t xml:space="preserve">第七章 </w:t>
      </w:r>
      <w:r>
        <w:rPr>
          <w:rFonts w:hint="eastAsia" w:ascii="华光小标宋_CNKI" w:hAnsi="华光小标宋_CNKI" w:eastAsia="华光小标宋_CNKI"/>
          <w:color w:val="000000" w:themeColor="text1"/>
          <w:spacing w:val="5"/>
          <w:highlight w:val="none"/>
          <w14:textFill>
            <w14:solidFill>
              <w14:schemeClr w14:val="tx1"/>
            </w14:solidFill>
          </w14:textFill>
        </w:rPr>
        <w:t>促进城乡统筹，建设乡村振兴高地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_Toc12163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46E83ECD">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_Toc7884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第一节 </w:t>
      </w:r>
      <w:r>
        <w:rPr>
          <w:rFonts w:hint="eastAsia" w:ascii="黑体" w:hAnsi="黑体" w:eastAsia="黑体"/>
          <w:color w:val="000000" w:themeColor="text1"/>
          <w:highlight w:val="none"/>
          <w:lang w:eastAsia="zh-CN"/>
          <w14:textFill>
            <w14:solidFill>
              <w14:schemeClr w14:val="tx1"/>
            </w14:solidFill>
          </w14:textFill>
        </w:rPr>
        <w:t>合理进行村庄分类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_Toc7884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12EDCC00">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_Toc23393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第二节 </w:t>
      </w:r>
      <w:r>
        <w:rPr>
          <w:rFonts w:hint="eastAsia" w:ascii="黑体" w:hAnsi="黑体" w:eastAsia="黑体"/>
          <w:color w:val="000000" w:themeColor="text1"/>
          <w:highlight w:val="none"/>
          <w:lang w:eastAsia="zh-CN"/>
          <w14:textFill>
            <w14:solidFill>
              <w14:schemeClr w14:val="tx1"/>
            </w14:solidFill>
          </w14:textFill>
        </w:rPr>
        <w:t>优化村庄布局</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_Toc23393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14FBCCEA">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_Toc28033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第三节 </w:t>
      </w:r>
      <w:r>
        <w:rPr>
          <w:rFonts w:hint="eastAsia" w:ascii="黑体" w:hAnsi="黑体" w:eastAsia="黑体"/>
          <w:color w:val="000000" w:themeColor="text1"/>
          <w:highlight w:val="none"/>
          <w:lang w:eastAsia="zh-CN"/>
          <w14:textFill>
            <w14:solidFill>
              <w14:schemeClr w14:val="tx1"/>
            </w14:solidFill>
          </w14:textFill>
        </w:rPr>
        <w:t>优化城乡公共服务设施配置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_Toc28033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5A68DBB3">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_Toc27122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第四节 </w:t>
      </w:r>
      <w:r>
        <w:rPr>
          <w:rFonts w:hint="eastAsia" w:ascii="黑体" w:hAnsi="黑体" w:eastAsia="黑体"/>
          <w:color w:val="000000" w:themeColor="text1"/>
          <w:highlight w:val="none"/>
          <w:lang w:eastAsia="zh-CN"/>
          <w14:textFill>
            <w14:solidFill>
              <w14:schemeClr w14:val="tx1"/>
            </w14:solidFill>
          </w14:textFill>
        </w:rPr>
        <w:t>构建区域协同的产业发展格局</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_Toc27122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175578A5">
      <w:pPr>
        <w:pStyle w:val="19"/>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_Toc31966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华光小标宋_CNKI" w:hAnsi="黑体" w:eastAsia="华光小标宋_CNKI"/>
          <w:color w:val="000000" w:themeColor="text1"/>
          <w:spacing w:val="5"/>
          <w:highlight w:val="none"/>
          <w14:textFill>
            <w14:solidFill>
              <w14:schemeClr w14:val="tx1"/>
            </w14:solidFill>
          </w14:textFill>
        </w:rPr>
        <w:t xml:space="preserve">第八章 </w:t>
      </w:r>
      <w:r>
        <w:rPr>
          <w:rFonts w:hint="eastAsia" w:ascii="华光小标宋_CNKI" w:hAnsi="华光小标宋_CNKI" w:eastAsia="华光小标宋_CNKI"/>
          <w:color w:val="000000" w:themeColor="text1"/>
          <w:spacing w:val="5"/>
          <w:highlight w:val="none"/>
          <w14:textFill>
            <w14:solidFill>
              <w14:schemeClr w14:val="tx1"/>
            </w14:solidFill>
          </w14:textFill>
        </w:rPr>
        <w:t>统筹基础设施布局，提升设施保障能力</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_Toc31966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1D8021B8">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_Toc2384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第一节 </w:t>
      </w:r>
      <w:r>
        <w:rPr>
          <w:rFonts w:hint="eastAsia" w:ascii="黑体" w:hAnsi="黑体" w:eastAsia="黑体"/>
          <w:color w:val="000000" w:themeColor="text1"/>
          <w:highlight w:val="none"/>
          <w:lang w:eastAsia="zh-CN"/>
          <w14:textFill>
            <w14:solidFill>
              <w14:schemeClr w14:val="tx1"/>
            </w14:solidFill>
          </w14:textFill>
        </w:rPr>
        <w:t>发展绿色低碳智慧交通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0D85798F">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_Toc14990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第二节 </w:t>
      </w:r>
      <w:r>
        <w:rPr>
          <w:rFonts w:hint="eastAsia" w:ascii="黑体" w:hAnsi="黑体" w:eastAsia="黑体"/>
          <w:color w:val="000000" w:themeColor="text1"/>
          <w:highlight w:val="none"/>
          <w:lang w:eastAsia="zh-CN"/>
          <w14:textFill>
            <w14:solidFill>
              <w14:schemeClr w14:val="tx1"/>
            </w14:solidFill>
          </w14:textFill>
        </w:rPr>
        <w:t>建设绿色韧性市政基础设施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3893FB1">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_Toc28805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第三节 </w:t>
      </w:r>
      <w:r>
        <w:rPr>
          <w:rFonts w:hint="eastAsia" w:ascii="黑体" w:hAnsi="黑体" w:eastAsia="黑体"/>
          <w:color w:val="000000" w:themeColor="text1"/>
          <w:highlight w:val="none"/>
          <w:lang w:eastAsia="zh-CN"/>
          <w14:textFill>
            <w14:solidFill>
              <w14:schemeClr w14:val="tx1"/>
            </w14:solidFill>
          </w14:textFill>
        </w:rPr>
        <w:t>构建综合防灾设施体系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_Toc28805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37</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076B8587">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_Toc18747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第四节 </w:t>
      </w:r>
      <w:r>
        <w:rPr>
          <w:rFonts w:hint="eastAsia" w:ascii="黑体" w:hAnsi="黑体" w:eastAsia="黑体"/>
          <w:color w:val="000000" w:themeColor="text1"/>
          <w:highlight w:val="none"/>
          <w:lang w:eastAsia="zh-CN"/>
          <w14:textFill>
            <w14:solidFill>
              <w14:schemeClr w14:val="tx1"/>
            </w14:solidFill>
          </w14:textFill>
        </w:rPr>
        <w:t>提升应对重大疫情风险能力</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38</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439EFAB">
      <w:pPr>
        <w:pStyle w:val="19"/>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_Toc2108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华光小标宋_CNKI" w:hAnsi="黑体" w:eastAsia="华光小标宋_CNKI"/>
          <w:color w:val="000000" w:themeColor="text1"/>
          <w:spacing w:val="5"/>
          <w:highlight w:val="none"/>
          <w:lang w:eastAsia="zh-CN"/>
          <w14:textFill>
            <w14:solidFill>
              <w14:schemeClr w14:val="tx1"/>
            </w14:solidFill>
          </w14:textFill>
        </w:rPr>
        <w:t xml:space="preserve">第九章 </w:t>
      </w:r>
      <w:r>
        <w:rPr>
          <w:rFonts w:hint="eastAsia" w:ascii="华光小标宋_CNKI" w:hAnsi="华光小标宋_CNKI" w:eastAsia="华光小标宋_CNKI"/>
          <w:color w:val="000000" w:themeColor="text1"/>
          <w:spacing w:val="5"/>
          <w:highlight w:val="none"/>
          <w14:textFill>
            <w14:solidFill>
              <w14:schemeClr w14:val="tx1"/>
            </w14:solidFill>
          </w14:textFill>
        </w:rPr>
        <w:t>传承历史文化</w:t>
      </w:r>
      <w:r>
        <w:rPr>
          <w:rFonts w:ascii="华光小标宋_CNKI" w:hAnsi="华光小标宋_CNKI" w:eastAsia="华光小标宋_CNKI"/>
          <w:color w:val="000000" w:themeColor="text1"/>
          <w:spacing w:val="5"/>
          <w:highlight w:val="none"/>
          <w14:textFill>
            <w14:solidFill>
              <w14:schemeClr w14:val="tx1"/>
            </w14:solidFill>
          </w14:textFill>
        </w:rPr>
        <w:t>，塑造特色风貌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081D3AF4">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_Toc1277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第一节 </w:t>
      </w:r>
      <w:r>
        <w:rPr>
          <w:rFonts w:hint="eastAsia" w:ascii="黑体" w:hAnsi="黑体" w:eastAsia="黑体"/>
          <w:color w:val="000000" w:themeColor="text1"/>
          <w:highlight w:val="none"/>
          <w:lang w:eastAsia="zh-CN"/>
          <w14:textFill>
            <w14:solidFill>
              <w14:schemeClr w14:val="tx1"/>
            </w14:solidFill>
          </w14:textFill>
        </w:rPr>
        <w:t>保护利用历史文化遗产</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0E56D091">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_Toc25051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第二节 </w:t>
      </w:r>
      <w:r>
        <w:rPr>
          <w:rFonts w:hint="eastAsia" w:ascii="黑体" w:hAnsi="黑体" w:eastAsia="黑体"/>
          <w:color w:val="000000" w:themeColor="text1"/>
          <w:highlight w:val="none"/>
          <w:lang w:eastAsia="zh-CN"/>
          <w14:textFill>
            <w14:solidFill>
              <w14:schemeClr w14:val="tx1"/>
            </w14:solidFill>
          </w14:textFill>
        </w:rPr>
        <w:t>塑造自然生态魅力城镇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_Toc25051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19EDB960">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_Toc4241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第三节 </w:t>
      </w:r>
      <w:r>
        <w:rPr>
          <w:rFonts w:hint="eastAsia" w:ascii="黑体" w:hAnsi="黑体" w:eastAsia="黑体"/>
          <w:color w:val="000000" w:themeColor="text1"/>
          <w:highlight w:val="none"/>
          <w:lang w:eastAsia="zh-CN"/>
          <w14:textFill>
            <w14:solidFill>
              <w14:schemeClr w14:val="tx1"/>
            </w14:solidFill>
          </w14:textFill>
        </w:rPr>
        <w:t>凸显田园风光镇村特色</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_Toc4241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40</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0BEF5AE3">
      <w:pPr>
        <w:pStyle w:val="19"/>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_Toc14447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华光小标宋_CNKI" w:hAnsi="黑体" w:eastAsia="华光小标宋_CNKI"/>
          <w:color w:val="000000" w:themeColor="text1"/>
          <w:spacing w:val="5"/>
          <w:highlight w:val="none"/>
          <w14:textFill>
            <w14:solidFill>
              <w14:schemeClr w14:val="tx1"/>
            </w14:solidFill>
          </w14:textFill>
        </w:rPr>
        <w:t xml:space="preserve">第十章 </w:t>
      </w:r>
      <w:r>
        <w:rPr>
          <w:rFonts w:hint="eastAsia" w:ascii="华光小标宋_CNKI" w:hAnsi="华光小标宋_CNKI" w:eastAsia="华光小标宋_CNKI"/>
          <w:color w:val="000000" w:themeColor="text1"/>
          <w:spacing w:val="5"/>
          <w:highlight w:val="none"/>
          <w14:textFill>
            <w14:solidFill>
              <w14:schemeClr w14:val="tx1"/>
            </w14:solidFill>
          </w14:textFill>
        </w:rPr>
        <w:t>优化</w:t>
      </w:r>
      <w:r>
        <w:rPr>
          <w:rFonts w:hint="eastAsia" w:ascii="华光小标宋_CNKI" w:hAnsi="华光小标宋_CNKI" w:eastAsia="华光小标宋_CNKI"/>
          <w:color w:val="000000" w:themeColor="text1"/>
          <w:spacing w:val="5"/>
          <w:highlight w:val="none"/>
          <w:lang w:eastAsia="zh-CN"/>
          <w14:textFill>
            <w14:solidFill>
              <w14:schemeClr w14:val="tx1"/>
            </w14:solidFill>
          </w14:textFill>
        </w:rPr>
        <w:t>镇区</w:t>
      </w:r>
      <w:r>
        <w:rPr>
          <w:rFonts w:ascii="华光小标宋_CNKI" w:hAnsi="华光小标宋_CNKI" w:eastAsia="华光小标宋_CNKI"/>
          <w:color w:val="000000" w:themeColor="text1"/>
          <w:spacing w:val="5"/>
          <w:highlight w:val="none"/>
          <w14:textFill>
            <w14:solidFill>
              <w14:schemeClr w14:val="tx1"/>
            </w14:solidFill>
          </w14:textFill>
        </w:rPr>
        <w:t>空间布局，提升乡镇宜居品质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_Toc14447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0A16F187">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_Toc22789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第一节 </w:t>
      </w:r>
      <w:r>
        <w:rPr>
          <w:rFonts w:hint="eastAsia" w:ascii="黑体" w:hAnsi="黑体" w:eastAsia="黑体"/>
          <w:color w:val="000000" w:themeColor="text1"/>
          <w:highlight w:val="none"/>
          <w:lang w:eastAsia="zh-CN"/>
          <w14:textFill>
            <w14:solidFill>
              <w14:schemeClr w14:val="tx1"/>
            </w14:solidFill>
          </w14:textFill>
        </w:rPr>
        <w:t>优化镇区用地布局</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_Toc22789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555E4FB2">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_Toc21022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第二节 </w:t>
      </w:r>
      <w:r>
        <w:rPr>
          <w:rFonts w:hint="eastAsia" w:ascii="黑体" w:hAnsi="黑体" w:eastAsia="黑体"/>
          <w:color w:val="000000" w:themeColor="text1"/>
          <w:highlight w:val="none"/>
          <w:lang w:eastAsia="zh-CN"/>
          <w14:textFill>
            <w14:solidFill>
              <w14:schemeClr w14:val="tx1"/>
            </w14:solidFill>
          </w14:textFill>
        </w:rPr>
        <w:t>构建绿色安全的交通网络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_Toc21022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B4D008F">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_Toc11255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第三节 </w:t>
      </w:r>
      <w:r>
        <w:rPr>
          <w:rFonts w:hint="eastAsia" w:ascii="黑体" w:hAnsi="黑体" w:eastAsia="黑体"/>
          <w:color w:val="000000" w:themeColor="text1"/>
          <w:highlight w:val="none"/>
          <w:lang w:eastAsia="zh-CN"/>
          <w14:textFill>
            <w14:solidFill>
              <w14:schemeClr w14:val="tx1"/>
            </w14:solidFill>
          </w14:textFill>
        </w:rPr>
        <w:t>打造配套完善的公共服务设施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_Toc11255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1391A013">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_Toc3570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第四节 </w:t>
      </w:r>
      <w:r>
        <w:rPr>
          <w:rFonts w:hint="eastAsia" w:ascii="黑体" w:hAnsi="黑体" w:eastAsia="黑体"/>
          <w:color w:val="000000" w:themeColor="text1"/>
          <w:highlight w:val="none"/>
          <w:lang w:eastAsia="zh-CN"/>
          <w14:textFill>
            <w14:solidFill>
              <w14:schemeClr w14:val="tx1"/>
            </w14:solidFill>
          </w14:textFill>
        </w:rPr>
        <w:t>创建智慧绿色的城市服务保障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_Toc3570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45</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27927BEA">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_Toc7323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第五节 </w:t>
      </w:r>
      <w:r>
        <w:rPr>
          <w:rFonts w:hint="eastAsia" w:ascii="黑体" w:hAnsi="黑体" w:eastAsia="黑体"/>
          <w:color w:val="000000" w:themeColor="text1"/>
          <w:highlight w:val="none"/>
          <w:lang w:eastAsia="zh-CN"/>
          <w14:textFill>
            <w14:solidFill>
              <w14:schemeClr w14:val="tx1"/>
            </w14:solidFill>
          </w14:textFill>
        </w:rPr>
        <w:t>提升防灾减灾和综合应急水平</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_Toc7323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46</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2575362F">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_Toc2368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第六节 </w:t>
      </w:r>
      <w:r>
        <w:rPr>
          <w:rFonts w:hint="eastAsia" w:ascii="黑体" w:hAnsi="黑体" w:eastAsia="黑体"/>
          <w:color w:val="000000" w:themeColor="text1"/>
          <w:highlight w:val="none"/>
          <w:lang w:eastAsia="zh-CN"/>
          <w14:textFill>
            <w14:solidFill>
              <w14:schemeClr w14:val="tx1"/>
            </w14:solidFill>
          </w14:textFill>
        </w:rPr>
        <w:t>加强总体城市设计引导</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47</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15913366">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_Toc5668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第七节 </w:t>
      </w:r>
      <w:r>
        <w:rPr>
          <w:rFonts w:hint="eastAsia" w:ascii="黑体" w:hAnsi="黑体" w:eastAsia="黑体"/>
          <w:color w:val="000000" w:themeColor="text1"/>
          <w:highlight w:val="none"/>
          <w:lang w:eastAsia="zh-CN"/>
          <w14:textFill>
            <w14:solidFill>
              <w14:schemeClr w14:val="tx1"/>
            </w14:solidFill>
          </w14:textFill>
        </w:rPr>
        <w:t>统筹城市“四线”划定与管控</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_Toc5668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47</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5A62D5C">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_Toc24819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第八节 </w:t>
      </w:r>
      <w:r>
        <w:rPr>
          <w:rFonts w:hint="eastAsia" w:ascii="黑体" w:hAnsi="黑体" w:eastAsia="黑体"/>
          <w:color w:val="000000" w:themeColor="text1"/>
          <w:highlight w:val="none"/>
          <w:lang w:eastAsia="zh-CN"/>
          <w14:textFill>
            <w14:solidFill>
              <w14:schemeClr w14:val="tx1"/>
            </w14:solidFill>
          </w14:textFill>
        </w:rPr>
        <w:t>有序推进城镇更新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_Toc24819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47</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0CB48130">
      <w:pPr>
        <w:pStyle w:val="19"/>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_Toc11843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华光小标宋_CNKI" w:hAnsi="黑体" w:eastAsia="华光小标宋_CNKI"/>
          <w:color w:val="000000" w:themeColor="text1"/>
          <w:spacing w:val="5"/>
          <w:highlight w:val="none"/>
          <w14:textFill>
            <w14:solidFill>
              <w14:schemeClr w14:val="tx1"/>
            </w14:solidFill>
          </w14:textFill>
        </w:rPr>
        <w:t xml:space="preserve">第十一章 </w:t>
      </w:r>
      <w:r>
        <w:rPr>
          <w:rFonts w:ascii="华光小标宋_CNKI" w:hAnsi="华光小标宋_CNKI" w:eastAsia="华光小标宋_CNKI"/>
          <w:color w:val="000000" w:themeColor="text1"/>
          <w:spacing w:val="5"/>
          <w:highlight w:val="none"/>
          <w14:textFill>
            <w14:solidFill>
              <w14:schemeClr w14:val="tx1"/>
            </w14:solidFill>
          </w14:textFill>
        </w:rPr>
        <w:t>规划传导实施与保障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_Toc11843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49</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28CBD115">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_Toc30340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第一节 </w:t>
      </w:r>
      <w:r>
        <w:rPr>
          <w:rFonts w:hint="eastAsia" w:ascii="黑体" w:hAnsi="黑体" w:eastAsia="黑体"/>
          <w:color w:val="000000" w:themeColor="text1"/>
          <w:highlight w:val="none"/>
          <w:lang w:eastAsia="zh-CN"/>
          <w14:textFill>
            <w14:solidFill>
              <w14:schemeClr w14:val="tx1"/>
            </w14:solidFill>
          </w14:textFill>
        </w:rPr>
        <w:t>制定单元规划</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49</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3B090210">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_Toc8414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第二节 </w:t>
      </w:r>
      <w:r>
        <w:rPr>
          <w:rFonts w:hint="eastAsia" w:ascii="黑体" w:hAnsi="黑体" w:eastAsia="黑体"/>
          <w:color w:val="000000" w:themeColor="text1"/>
          <w:highlight w:val="none"/>
          <w:lang w:eastAsia="zh-CN"/>
          <w14:textFill>
            <w14:solidFill>
              <w14:schemeClr w14:val="tx1"/>
            </w14:solidFill>
          </w14:textFill>
        </w:rPr>
        <w:t>近期行动计划</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_Toc8414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49</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24CC5ABA">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_Toc7530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eastAsia="黑体" w:hAnsiTheme="minorEastAsia"/>
          <w:color w:val="000000" w:themeColor="text1"/>
          <w:highlight w:val="none"/>
          <w:lang w:eastAsia="zh-CN"/>
          <w14:textFill>
            <w14:solidFill>
              <w14:schemeClr w14:val="tx1"/>
            </w14:solidFill>
          </w14:textFill>
        </w:rPr>
        <w:t xml:space="preserve">第三节 </w:t>
      </w:r>
      <w:r>
        <w:rPr>
          <w:rFonts w:hint="eastAsia" w:ascii="黑体" w:hAnsi="黑体" w:eastAsia="黑体"/>
          <w:color w:val="000000" w:themeColor="text1"/>
          <w:highlight w:val="none"/>
          <w:lang w:eastAsia="zh-CN"/>
          <w14:textFill>
            <w14:solidFill>
              <w14:schemeClr w14:val="tx1"/>
            </w14:solidFill>
          </w14:textFill>
        </w:rPr>
        <w:t>规划实施保障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_Toc7530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4EEF29FB">
      <w:pPr>
        <w:pStyle w:val="19"/>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_Toc26151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华光小标宋_CNKI" w:hAnsi="黑体" w:eastAsia="华光小标宋_CNKI"/>
          <w:color w:val="000000" w:themeColor="text1"/>
          <w:spacing w:val="5"/>
          <w:highlight w:val="none"/>
          <w:lang w:eastAsia="zh-CN"/>
          <w14:textFill>
            <w14:solidFill>
              <w14:schemeClr w14:val="tx1"/>
            </w14:solidFill>
          </w14:textFill>
        </w:rPr>
        <w:t xml:space="preserve">第十二章 </w:t>
      </w:r>
      <w:r>
        <w:rPr>
          <w:rFonts w:hint="eastAsia" w:ascii="华光小标宋_CNKI" w:hAnsi="华光小标宋_CNKI" w:eastAsia="华光小标宋_CNKI"/>
          <w:color w:val="000000" w:themeColor="text1"/>
          <w:spacing w:val="5"/>
          <w:highlight w:val="none"/>
          <w:lang w:eastAsia="zh-CN"/>
          <w14:textFill>
            <w14:solidFill>
              <w14:schemeClr w14:val="tx1"/>
            </w14:solidFill>
          </w14:textFill>
        </w:rPr>
        <w:t>乡村地区“通则式”规划技术管理规定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_Toc26151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52</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57A05FC1">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_Toc32065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hAnsi="黑体" w:eastAsia="黑体" w:cstheme="majorBidi"/>
          <w:bCs/>
          <w:color w:val="000000" w:themeColor="text1"/>
          <w:szCs w:val="32"/>
          <w:highlight w:val="none"/>
          <w:lang w:val="en-US" w:eastAsia="zh-CN" w:bidi="zh-TW"/>
          <w14:textFill>
            <w14:solidFill>
              <w14:schemeClr w14:val="tx1"/>
            </w14:solidFill>
          </w14:textFill>
        </w:rPr>
        <w:t xml:space="preserve">第一节 </w:t>
      </w:r>
      <w:r>
        <w:rPr>
          <w:rFonts w:hint="eastAsia" w:ascii="黑体" w:hAnsi="黑体" w:eastAsia="黑体" w:cstheme="majorBidi"/>
          <w:bCs/>
          <w:color w:val="000000" w:themeColor="text1"/>
          <w:szCs w:val="32"/>
          <w:highlight w:val="none"/>
          <w:lang w:val="zh-TW" w:eastAsia="zh-CN" w:bidi="zh-TW"/>
          <w14:textFill>
            <w14:solidFill>
              <w14:schemeClr w14:val="tx1"/>
            </w14:solidFill>
          </w14:textFill>
        </w:rPr>
        <w:t>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_Toc32065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52</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12E54A45">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_Toc7862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hAnsi="黑体" w:eastAsia="黑体" w:cstheme="majorBidi"/>
          <w:bCs/>
          <w:color w:val="000000" w:themeColor="text1"/>
          <w:szCs w:val="32"/>
          <w:highlight w:val="none"/>
          <w:lang w:val="en-US" w:eastAsia="zh-CN" w:bidi="zh-TW"/>
          <w14:textFill>
            <w14:solidFill>
              <w14:schemeClr w14:val="tx1"/>
            </w14:solidFill>
          </w14:textFill>
        </w:rPr>
        <w:t>第二节镇村体系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_Toc7862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6104F2AB">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_Toc5629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hAnsi="黑体" w:eastAsia="黑体" w:cstheme="majorBidi"/>
          <w:bCs/>
          <w:color w:val="000000" w:themeColor="text1"/>
          <w:szCs w:val="32"/>
          <w:highlight w:val="none"/>
          <w:lang w:val="en-US" w:eastAsia="zh-CN" w:bidi="zh-TW"/>
          <w14:textFill>
            <w14:solidFill>
              <w14:schemeClr w14:val="tx1"/>
            </w14:solidFill>
          </w14:textFill>
        </w:rPr>
        <w:t>第三节 底线管控</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_Toc5629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54</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5B8C671">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_Toc11622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hAnsi="黑体" w:eastAsia="黑体" w:cstheme="majorBidi"/>
          <w:bCs/>
          <w:color w:val="000000" w:themeColor="text1"/>
          <w:szCs w:val="32"/>
          <w:highlight w:val="none"/>
          <w:lang w:val="en-US" w:eastAsia="zh-CN" w:bidi="zh-TW"/>
          <w14:textFill>
            <w14:solidFill>
              <w14:schemeClr w14:val="tx1"/>
            </w14:solidFill>
          </w14:textFill>
        </w:rPr>
        <w:t>第四节  指标管控</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_Toc11622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4208C74F">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_Toc32483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hAnsi="黑体" w:eastAsia="黑体" w:cstheme="majorBidi"/>
          <w:bCs/>
          <w:color w:val="000000" w:themeColor="text1"/>
          <w:szCs w:val="32"/>
          <w:highlight w:val="none"/>
          <w:lang w:val="en-US" w:eastAsia="zh-CN" w:bidi="zh-TW"/>
          <w14:textFill>
            <w14:solidFill>
              <w14:schemeClr w14:val="tx1"/>
            </w14:solidFill>
          </w14:textFill>
        </w:rPr>
        <w:t>第五节  用地布局</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_Toc32483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6BFB408F">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_Toc21747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hAnsi="黑体" w:eastAsia="黑体" w:cstheme="majorBidi"/>
          <w:bCs/>
          <w:color w:val="000000" w:themeColor="text1"/>
          <w:szCs w:val="32"/>
          <w:highlight w:val="none"/>
          <w:lang w:val="en-US" w:eastAsia="zh-CN" w:bidi="zh-TW"/>
          <w14:textFill>
            <w14:solidFill>
              <w14:schemeClr w14:val="tx1"/>
            </w14:solidFill>
          </w14:textFill>
        </w:rPr>
        <w:t>第六节  建设控制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_Toc21747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4015A0AC">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_Toc32288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hAnsi="黑体" w:eastAsia="黑体" w:cstheme="majorBidi"/>
          <w:bCs/>
          <w:color w:val="000000" w:themeColor="text1"/>
          <w:szCs w:val="32"/>
          <w:highlight w:val="none"/>
          <w:lang w:val="en-US" w:eastAsia="zh-CN" w:bidi="zh-TW"/>
          <w14:textFill>
            <w14:solidFill>
              <w14:schemeClr w14:val="tx1"/>
            </w14:solidFill>
          </w14:textFill>
        </w:rPr>
        <w:t>第七节  交通组织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_Toc32288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1DD8D70E">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_Toc8110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hAnsi="黑体" w:eastAsia="黑体" w:cstheme="majorBidi"/>
          <w:bCs/>
          <w:color w:val="000000" w:themeColor="text1"/>
          <w:szCs w:val="32"/>
          <w:highlight w:val="none"/>
          <w:lang w:val="en-US" w:eastAsia="zh-CN" w:bidi="zh-TW"/>
          <w14:textFill>
            <w14:solidFill>
              <w14:schemeClr w14:val="tx1"/>
            </w14:solidFill>
          </w14:textFill>
        </w:rPr>
        <w:t>第八节  人居环境整治与风貌提升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_Toc8110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69</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331D11D7">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_Toc17970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hAnsi="黑体" w:eastAsia="黑体" w:cstheme="majorBidi"/>
          <w:bCs/>
          <w:color w:val="000000" w:themeColor="text1"/>
          <w:szCs w:val="32"/>
          <w:highlight w:val="none"/>
          <w:lang w:val="en-US" w:eastAsia="zh-CN" w:bidi="zh-TW"/>
          <w14:textFill>
            <w14:solidFill>
              <w14:schemeClr w14:val="tx1"/>
            </w14:solidFill>
          </w14:textFill>
        </w:rPr>
        <w:t>第九节 通用图则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_Toc17970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70</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F8CDF05">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_Toc18892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hAnsi="黑体" w:eastAsia="黑体" w:cstheme="majorBidi"/>
          <w:bCs/>
          <w:color w:val="000000" w:themeColor="text1"/>
          <w:szCs w:val="32"/>
          <w:highlight w:val="none"/>
          <w:lang w:val="en-US" w:eastAsia="zh-CN" w:bidi="zh-TW"/>
          <w14:textFill>
            <w14:solidFill>
              <w14:schemeClr w14:val="tx1"/>
            </w14:solidFill>
          </w14:textFill>
        </w:rPr>
        <w:t>第十节  实施管理规定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_Toc18892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0A1CB14">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_Toc20352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黑体" w:hAnsi="黑体" w:eastAsia="黑体" w:cstheme="majorBidi"/>
          <w:bCs/>
          <w:color w:val="000000" w:themeColor="text1"/>
          <w:szCs w:val="32"/>
          <w:highlight w:val="none"/>
          <w:lang w:val="en-US" w:eastAsia="zh-CN" w:bidi="zh-TW"/>
          <w14:textFill>
            <w14:solidFill>
              <w14:schemeClr w14:val="tx1"/>
            </w14:solidFill>
          </w14:textFill>
        </w:rPr>
        <w:t>第十一节  附则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_Toc20352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74</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4CDF88E1">
      <w:pPr>
        <w:pStyle w:val="19"/>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_Toc27405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color w:val="000000" w:themeColor="text1"/>
          <w:highlight w:val="none"/>
          <w14:textFill>
            <w14:solidFill>
              <w14:schemeClr w14:val="tx1"/>
            </w14:solidFill>
          </w14:textFill>
        </w:rPr>
        <w:t>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_Toc27405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76</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06F2AD39">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_Toc14295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eastAsia="仿宋_GB2312"/>
          <w:color w:val="000000" w:themeColor="text1"/>
          <w:szCs w:val="32"/>
          <w:highlight w:val="none"/>
          <w14:textFill>
            <w14:solidFill>
              <w14:schemeClr w14:val="tx1"/>
            </w14:solidFill>
          </w14:textFill>
        </w:rPr>
        <w:t>附表 1 乡镇国土空间总体规划指标体系一览表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_Toc14295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76</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7223238">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_Toc17114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Times New Roman" w:hAnsi="Times New Roman" w:eastAsia="仿宋"/>
          <w:caps w:val="0"/>
          <w:smallCaps w:val="0"/>
          <w:color w:val="000000" w:themeColor="text1"/>
          <w:highlight w:val="none"/>
          <w14:textFill>
            <w14:solidFill>
              <w14:schemeClr w14:val="tx1"/>
            </w14:solidFill>
          </w14:textFill>
        </w:rPr>
        <w:t>附表 2 国土空间规划用途分区统计表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_Toc17114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77</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339E4C3A">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_Toc7842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Times New Roman" w:hAnsi="Times New Roman" w:eastAsia="仿宋"/>
          <w:caps w:val="0"/>
          <w:smallCaps w:val="0"/>
          <w:color w:val="000000" w:themeColor="text1"/>
          <w:highlight w:val="none"/>
          <w14:textFill>
            <w14:solidFill>
              <w14:schemeClr w14:val="tx1"/>
            </w14:solidFill>
          </w14:textFill>
        </w:rPr>
        <w:t>附表 3 耕地保有量、永久基本农田、</w:t>
      </w:r>
      <w:r>
        <w:rPr>
          <w:rFonts w:hint="eastAsia" w:ascii="Times New Roman" w:hAnsi="Times New Roman" w:eastAsia="仿宋"/>
          <w:caps w:val="0"/>
          <w:smallCaps w:val="0"/>
          <w:color w:val="000000" w:themeColor="text1"/>
          <w:highlight w:val="none"/>
          <w:lang w:val="en-US" w:eastAsia="zh-CN"/>
          <w14:textFill>
            <w14:solidFill>
              <w14:schemeClr w14:val="tx1"/>
            </w14:solidFill>
          </w14:textFill>
        </w:rPr>
        <w:t>生态保护红线、</w:t>
      </w:r>
      <w:r>
        <w:rPr>
          <w:rFonts w:hint="eastAsia" w:ascii="Times New Roman" w:hAnsi="Times New Roman" w:eastAsia="仿宋"/>
          <w:caps w:val="0"/>
          <w:smallCaps w:val="0"/>
          <w:color w:val="000000" w:themeColor="text1"/>
          <w:highlight w:val="none"/>
          <w14:textFill>
            <w14:solidFill>
              <w14:schemeClr w14:val="tx1"/>
            </w14:solidFill>
          </w14:textFill>
        </w:rPr>
        <w:t>城镇开发边界规划指标分解表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_Toc7842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78</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1B6CD73">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_Toc25092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Times New Roman" w:hAnsi="Times New Roman" w:eastAsia="仿宋"/>
          <w:caps w:val="0"/>
          <w:smallCaps w:val="0"/>
          <w:color w:val="000000" w:themeColor="text1"/>
          <w:highlight w:val="none"/>
          <w14:textFill>
            <w14:solidFill>
              <w14:schemeClr w14:val="tx1"/>
            </w14:solidFill>
          </w14:textFill>
        </w:rPr>
        <w:t xml:space="preserve">附表 </w:t>
      </w:r>
      <w:r>
        <w:rPr>
          <w:rFonts w:hint="eastAsia" w:ascii="Times New Roman" w:hAnsi="Times New Roman" w:eastAsia="仿宋"/>
          <w:caps w:val="0"/>
          <w:smallCaps w:val="0"/>
          <w:color w:val="000000" w:themeColor="text1"/>
          <w:highlight w:val="none"/>
          <w:lang w:val="en-US" w:eastAsia="zh-CN"/>
          <w14:textFill>
            <w14:solidFill>
              <w14:schemeClr w14:val="tx1"/>
            </w14:solidFill>
          </w14:textFill>
        </w:rPr>
        <w:t>4</w:t>
      </w:r>
      <w:r>
        <w:rPr>
          <w:rFonts w:hint="eastAsia" w:ascii="Times New Roman" w:hAnsi="Times New Roman" w:eastAsia="仿宋"/>
          <w:caps w:val="0"/>
          <w:smallCaps w:val="0"/>
          <w:color w:val="000000" w:themeColor="text1"/>
          <w:highlight w:val="none"/>
          <w14:textFill>
            <w14:solidFill>
              <w14:schemeClr w14:val="tx1"/>
            </w14:solidFill>
          </w14:textFill>
        </w:rPr>
        <w:t xml:space="preserve"> 村庄建设边界面积汇总表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_Toc25092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79</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44A446E9">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_Toc27675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Times New Roman" w:hAnsi="Times New Roman" w:eastAsia="仿宋"/>
          <w:caps w:val="0"/>
          <w:smallCaps w:val="0"/>
          <w:color w:val="000000" w:themeColor="text1"/>
          <w:highlight w:val="none"/>
          <w14:textFill>
            <w14:solidFill>
              <w14:schemeClr w14:val="tx1"/>
            </w14:solidFill>
          </w14:textFill>
        </w:rPr>
        <w:t xml:space="preserve">附表 </w:t>
      </w:r>
      <w:r>
        <w:rPr>
          <w:rFonts w:hint="eastAsia" w:ascii="Times New Roman" w:hAnsi="Times New Roman" w:eastAsia="仿宋"/>
          <w:caps w:val="0"/>
          <w:smallCaps w:val="0"/>
          <w:color w:val="000000" w:themeColor="text1"/>
          <w:highlight w:val="none"/>
          <w:lang w:val="en-US" w:eastAsia="zh-CN"/>
          <w14:textFill>
            <w14:solidFill>
              <w14:schemeClr w14:val="tx1"/>
            </w14:solidFill>
          </w14:textFill>
        </w:rPr>
        <w:t>5</w:t>
      </w:r>
      <w:r>
        <w:rPr>
          <w:rFonts w:hint="eastAsia" w:ascii="Times New Roman" w:hAnsi="Times New Roman" w:eastAsia="仿宋"/>
          <w:caps w:val="0"/>
          <w:smallCaps w:val="0"/>
          <w:color w:val="000000" w:themeColor="text1"/>
          <w:highlight w:val="none"/>
          <w14:textFill>
            <w14:solidFill>
              <w14:schemeClr w14:val="tx1"/>
            </w14:solidFill>
          </w14:textFill>
        </w:rPr>
        <w:t xml:space="preserve"> 规划用地结构调整表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_Toc27675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80</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2136D379">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_Toc1996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Times New Roman" w:hAnsi="Times New Roman" w:eastAsia="仿宋"/>
          <w:caps w:val="0"/>
          <w:smallCaps w:val="0"/>
          <w:color w:val="000000" w:themeColor="text1"/>
          <w:highlight w:val="none"/>
          <w14:textFill>
            <w14:solidFill>
              <w14:schemeClr w14:val="tx1"/>
            </w14:solidFill>
          </w14:textFill>
        </w:rPr>
        <w:t xml:space="preserve">附表 </w:t>
      </w:r>
      <w:r>
        <w:rPr>
          <w:rFonts w:hint="eastAsia" w:ascii="Times New Roman" w:hAnsi="Times New Roman" w:eastAsia="仿宋"/>
          <w:caps w:val="0"/>
          <w:smallCaps w:val="0"/>
          <w:color w:val="000000" w:themeColor="text1"/>
          <w:highlight w:val="none"/>
          <w:lang w:val="en-US" w:eastAsia="zh-CN"/>
          <w14:textFill>
            <w14:solidFill>
              <w14:schemeClr w14:val="tx1"/>
            </w14:solidFill>
          </w14:textFill>
        </w:rPr>
        <w:t>6</w:t>
      </w:r>
      <w:r>
        <w:rPr>
          <w:rFonts w:hint="eastAsia" w:ascii="Times New Roman" w:hAnsi="Times New Roman" w:eastAsia="仿宋"/>
          <w:caps w:val="0"/>
          <w:smallCaps w:val="0"/>
          <w:color w:val="000000" w:themeColor="text1"/>
          <w:highlight w:val="none"/>
          <w14:textFill>
            <w14:solidFill>
              <w14:schemeClr w14:val="tx1"/>
            </w14:solidFill>
          </w14:textFill>
        </w:rPr>
        <w:t xml:space="preserve"> 村庄分级分类汇总表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_Toc1996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81</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E9A2F31">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_Toc8903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Times New Roman" w:hAnsi="Times New Roman" w:eastAsia="仿宋"/>
          <w:caps w:val="0"/>
          <w:smallCaps w:val="0"/>
          <w:color w:val="000000" w:themeColor="text1"/>
          <w:highlight w:val="none"/>
          <w14:textFill>
            <w14:solidFill>
              <w14:schemeClr w14:val="tx1"/>
            </w14:solidFill>
          </w14:textFill>
        </w:rPr>
        <w:t xml:space="preserve">附表 </w:t>
      </w:r>
      <w:r>
        <w:rPr>
          <w:rFonts w:hint="eastAsia" w:ascii="Times New Roman" w:hAnsi="Times New Roman" w:eastAsia="仿宋"/>
          <w:caps w:val="0"/>
          <w:smallCaps w:val="0"/>
          <w:color w:val="000000" w:themeColor="text1"/>
          <w:highlight w:val="none"/>
          <w:lang w:val="en-US" w:eastAsia="zh-CN"/>
          <w14:textFill>
            <w14:solidFill>
              <w14:schemeClr w14:val="tx1"/>
            </w14:solidFill>
          </w14:textFill>
        </w:rPr>
        <w:t>7</w:t>
      </w:r>
      <w:r>
        <w:rPr>
          <w:rFonts w:hint="eastAsia" w:ascii="Times New Roman" w:hAnsi="Times New Roman" w:eastAsia="仿宋"/>
          <w:caps w:val="0"/>
          <w:smallCaps w:val="0"/>
          <w:color w:val="000000" w:themeColor="text1"/>
          <w:highlight w:val="none"/>
          <w14:textFill>
            <w14:solidFill>
              <w14:schemeClr w14:val="tx1"/>
            </w14:solidFill>
          </w14:textFill>
        </w:rPr>
        <w:t xml:space="preserve"> 生态修复和国土综合整治重大工程安排表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_Toc8903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88</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7D9B747">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_Toc29662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eastAsia="仿宋_GB2312"/>
          <w:color w:val="000000" w:themeColor="text1"/>
          <w:szCs w:val="32"/>
          <w:highlight w:val="none"/>
          <w14:textFill>
            <w14:solidFill>
              <w14:schemeClr w14:val="tx1"/>
            </w14:solidFill>
          </w14:textFill>
        </w:rPr>
        <w:t xml:space="preserve">附表 </w:t>
      </w:r>
      <w:r>
        <w:rPr>
          <w:rFonts w:hint="eastAsia" w:eastAsia="仿宋_GB2312"/>
          <w:color w:val="000000" w:themeColor="text1"/>
          <w:szCs w:val="32"/>
          <w:highlight w:val="none"/>
          <w:lang w:val="en-US" w:eastAsia="zh-CN"/>
          <w14:textFill>
            <w14:solidFill>
              <w14:schemeClr w14:val="tx1"/>
            </w14:solidFill>
          </w14:textFill>
        </w:rPr>
        <w:t>8</w:t>
      </w:r>
      <w:r>
        <w:rPr>
          <w:rFonts w:hint="eastAsia" w:eastAsia="仿宋_GB2312"/>
          <w:color w:val="000000" w:themeColor="text1"/>
          <w:szCs w:val="32"/>
          <w:highlight w:val="none"/>
          <w14:textFill>
            <w14:solidFill>
              <w14:schemeClr w14:val="tx1"/>
            </w14:solidFill>
          </w14:textFill>
        </w:rPr>
        <w:t xml:space="preserve"> 乡镇政府驻地用地现状与规划对照表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_Toc29662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89</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74F1F5F9">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_Toc5619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eastAsia="仿宋_GB2312"/>
          <w:color w:val="000000" w:themeColor="text1"/>
          <w:szCs w:val="32"/>
          <w:highlight w:val="none"/>
          <w14:textFill>
            <w14:solidFill>
              <w14:schemeClr w14:val="tx1"/>
            </w14:solidFill>
          </w14:textFill>
        </w:rPr>
        <w:t xml:space="preserve">附表 </w:t>
      </w:r>
      <w:r>
        <w:rPr>
          <w:rFonts w:hint="eastAsia" w:eastAsia="仿宋_GB2312"/>
          <w:color w:val="000000" w:themeColor="text1"/>
          <w:szCs w:val="32"/>
          <w:highlight w:val="none"/>
          <w:lang w:val="en-US" w:eastAsia="zh-CN"/>
          <w14:textFill>
            <w14:solidFill>
              <w14:schemeClr w14:val="tx1"/>
            </w14:solidFill>
          </w14:textFill>
        </w:rPr>
        <w:t>9</w:t>
      </w:r>
      <w:r>
        <w:rPr>
          <w:rFonts w:hint="eastAsia" w:eastAsia="仿宋_GB2312"/>
          <w:color w:val="000000" w:themeColor="text1"/>
          <w:szCs w:val="32"/>
          <w:highlight w:val="none"/>
          <w14:textFill>
            <w14:solidFill>
              <w14:schemeClr w14:val="tx1"/>
            </w14:solidFill>
          </w14:textFill>
        </w:rPr>
        <w:t xml:space="preserve"> 历史文化资源统计表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_Toc5619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90</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2957A521">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_Toc15709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Times New Roman" w:hAnsi="Times New Roman" w:eastAsia="仿宋"/>
          <w:caps w:val="0"/>
          <w:smallCaps w:val="0"/>
          <w:color w:val="000000" w:themeColor="text1"/>
          <w:highlight w:val="none"/>
          <w14:textFill>
            <w14:solidFill>
              <w14:schemeClr w14:val="tx1"/>
            </w14:solidFill>
          </w14:textFill>
        </w:rPr>
        <w:t xml:space="preserve">附表 </w:t>
      </w:r>
      <w:r>
        <w:rPr>
          <w:rFonts w:hint="eastAsia" w:ascii="Times New Roman" w:hAnsi="Times New Roman" w:eastAsia="仿宋"/>
          <w:caps w:val="0"/>
          <w:smallCaps w:val="0"/>
          <w:color w:val="000000" w:themeColor="text1"/>
          <w:highlight w:val="none"/>
          <w:lang w:val="en-US" w:eastAsia="zh-CN"/>
          <w14:textFill>
            <w14:solidFill>
              <w14:schemeClr w14:val="tx1"/>
            </w14:solidFill>
          </w14:textFill>
        </w:rPr>
        <w:t>10</w:t>
      </w:r>
      <w:r>
        <w:rPr>
          <w:rFonts w:hint="eastAsia" w:ascii="Times New Roman" w:hAnsi="Times New Roman" w:eastAsia="仿宋"/>
          <w:caps w:val="0"/>
          <w:smallCaps w:val="0"/>
          <w:color w:val="000000" w:themeColor="text1"/>
          <w:highlight w:val="none"/>
          <w14:textFill>
            <w14:solidFill>
              <w14:schemeClr w14:val="tx1"/>
            </w14:solidFill>
          </w14:textFill>
        </w:rPr>
        <w:t xml:space="preserve"> 详细规划编制单元一览表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_Toc15709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91</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511DF303">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_Toc29972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Times New Roman" w:hAnsi="Times New Roman" w:eastAsia="仿宋"/>
          <w:caps w:val="0"/>
          <w:smallCaps w:val="0"/>
          <w:color w:val="000000" w:themeColor="text1"/>
          <w:highlight w:val="none"/>
          <w14:textFill>
            <w14:solidFill>
              <w14:schemeClr w14:val="tx1"/>
            </w14:solidFill>
          </w14:textFill>
        </w:rPr>
        <w:t xml:space="preserve">附表 </w:t>
      </w:r>
      <w:r>
        <w:rPr>
          <w:rFonts w:hint="eastAsia" w:ascii="Times New Roman" w:hAnsi="Times New Roman" w:eastAsia="仿宋"/>
          <w:caps w:val="0"/>
          <w:smallCaps w:val="0"/>
          <w:color w:val="000000" w:themeColor="text1"/>
          <w:highlight w:val="none"/>
          <w:lang w:val="en-US" w:eastAsia="zh-CN"/>
          <w14:textFill>
            <w14:solidFill>
              <w14:schemeClr w14:val="tx1"/>
            </w14:solidFill>
          </w14:textFill>
        </w:rPr>
        <w:t>11</w:t>
      </w:r>
      <w:r>
        <w:rPr>
          <w:rFonts w:hint="eastAsia" w:ascii="Times New Roman" w:hAnsi="Times New Roman" w:eastAsia="仿宋"/>
          <w:caps w:val="0"/>
          <w:smallCaps w:val="0"/>
          <w:color w:val="000000" w:themeColor="text1"/>
          <w:highlight w:val="none"/>
          <w14:textFill>
            <w14:solidFill>
              <w14:schemeClr w14:val="tx1"/>
            </w14:solidFill>
          </w14:textFill>
        </w:rPr>
        <w:t xml:space="preserve"> 城镇单元控制要求一览表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92</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290648CA">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_Toc32575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ascii="Times New Roman" w:hAnsi="Times New Roman" w:eastAsia="仿宋"/>
          <w:caps w:val="0"/>
          <w:smallCaps w:val="0"/>
          <w:color w:val="000000" w:themeColor="text1"/>
          <w:highlight w:val="none"/>
          <w14:textFill>
            <w14:solidFill>
              <w14:schemeClr w14:val="tx1"/>
            </w14:solidFill>
          </w14:textFill>
        </w:rPr>
        <w:t>附表 1</w:t>
      </w:r>
      <w:r>
        <w:rPr>
          <w:rFonts w:hint="eastAsia" w:ascii="Times New Roman" w:hAnsi="Times New Roman" w:eastAsia="仿宋"/>
          <w:caps w:val="0"/>
          <w:smallCaps w:val="0"/>
          <w:color w:val="000000" w:themeColor="text1"/>
          <w:highlight w:val="none"/>
          <w:lang w:val="en-US" w:eastAsia="zh-CN"/>
          <w14:textFill>
            <w14:solidFill>
              <w14:schemeClr w14:val="tx1"/>
            </w14:solidFill>
          </w14:textFill>
        </w:rPr>
        <w:t>2</w:t>
      </w:r>
      <w:r>
        <w:rPr>
          <w:rFonts w:hint="eastAsia" w:ascii="Times New Roman" w:hAnsi="Times New Roman" w:eastAsia="仿宋"/>
          <w:caps w:val="0"/>
          <w:smallCaps w:val="0"/>
          <w:color w:val="000000" w:themeColor="text1"/>
          <w:highlight w:val="none"/>
          <w14:textFill>
            <w14:solidFill>
              <w14:schemeClr w14:val="tx1"/>
            </w14:solidFill>
          </w14:textFill>
        </w:rPr>
        <w:t xml:space="preserve"> 乡村单元控制要求一览表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_Toc32575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94</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0419F147">
      <w:pPr>
        <w:pStyle w:val="22"/>
        <w:tabs>
          <w:tab w:val="right" w:leader="dot" w:pos="8970"/>
        </w:tabs>
        <w:rPr>
          <w:color w:val="000000" w:themeColor="text1"/>
          <w:highlight w:val="none"/>
          <w14:textFill>
            <w14:solidFill>
              <w14:schemeClr w14:val="tx1"/>
            </w14:solidFill>
          </w14:textFill>
        </w:rPr>
      </w:pPr>
      <w:r>
        <w:rPr>
          <w:rFonts w:asciiTheme="minorEastAsia" w:hAnsiTheme="minorEastAsia" w:eastAsiaTheme="minorEastAsia"/>
          <w:color w:val="000000" w:themeColor="text1"/>
          <w:szCs w:val="52"/>
          <w:highlight w:val="none"/>
          <w14:textFill>
            <w14:solidFill>
              <w14:schemeClr w14:val="tx1"/>
            </w14:solidFill>
          </w14:textFill>
        </w:rPr>
        <w:fldChar w:fldCharType="begin"/>
      </w:r>
      <w:r>
        <w:rPr>
          <w:rFonts w:asciiTheme="minorEastAsia" w:hAnsiTheme="minorEastAsia" w:eastAsiaTheme="minorEastAsia"/>
          <w:color w:val="000000" w:themeColor="text1"/>
          <w:szCs w:val="52"/>
          <w:highlight w:val="none"/>
          <w14:textFill>
            <w14:solidFill>
              <w14:schemeClr w14:val="tx1"/>
            </w14:solidFill>
          </w14:textFill>
        </w:rPr>
        <w:instrText xml:space="preserve"> HYPERLINK \l _Toc23354 </w:instrText>
      </w:r>
      <w:r>
        <w:rPr>
          <w:rFonts w:asciiTheme="minorEastAsia" w:hAnsiTheme="minorEastAsia" w:eastAsiaTheme="minorEastAsia"/>
          <w:color w:val="000000" w:themeColor="text1"/>
          <w:szCs w:val="52"/>
          <w:highlight w:val="none"/>
          <w14:textFill>
            <w14:solidFill>
              <w14:schemeClr w14:val="tx1"/>
            </w14:solidFill>
          </w14:textFill>
        </w:rPr>
        <w:fldChar w:fldCharType="separate"/>
      </w:r>
      <w:r>
        <w:rPr>
          <w:rFonts w:hint="eastAsia" w:eastAsia="仿宋_GB2312"/>
          <w:color w:val="000000" w:themeColor="text1"/>
          <w:szCs w:val="32"/>
          <w:highlight w:val="none"/>
          <w14:textFill>
            <w14:solidFill>
              <w14:schemeClr w14:val="tx1"/>
            </w14:solidFill>
          </w14:textFill>
        </w:rPr>
        <w:t>附表 1</w:t>
      </w:r>
      <w:r>
        <w:rPr>
          <w:rFonts w:hint="eastAsia" w:eastAsia="仿宋_GB2312"/>
          <w:color w:val="000000" w:themeColor="text1"/>
          <w:szCs w:val="32"/>
          <w:highlight w:val="none"/>
          <w:lang w:val="en-US" w:eastAsia="zh-CN"/>
          <w14:textFill>
            <w14:solidFill>
              <w14:schemeClr w14:val="tx1"/>
            </w14:solidFill>
          </w14:textFill>
        </w:rPr>
        <w:t>3</w:t>
      </w:r>
      <w:r>
        <w:rPr>
          <w:rFonts w:hint="eastAsia" w:eastAsia="仿宋_GB2312"/>
          <w:color w:val="000000" w:themeColor="text1"/>
          <w:szCs w:val="32"/>
          <w:highlight w:val="none"/>
          <w14:textFill>
            <w14:solidFill>
              <w14:schemeClr w14:val="tx1"/>
            </w14:solidFill>
          </w14:textFill>
        </w:rPr>
        <w:t xml:space="preserve"> </w:t>
      </w:r>
      <w:r>
        <w:rPr>
          <w:rFonts w:hint="eastAsia" w:eastAsia="仿宋_GB2312"/>
          <w:color w:val="000000" w:themeColor="text1"/>
          <w:szCs w:val="32"/>
          <w:highlight w:val="none"/>
          <w:lang w:val="en-US" w:eastAsia="zh-CN"/>
          <w14:textFill>
            <w14:solidFill>
              <w14:schemeClr w14:val="tx1"/>
            </w14:solidFill>
          </w14:textFill>
        </w:rPr>
        <w:t>重点</w:t>
      </w:r>
      <w:r>
        <w:rPr>
          <w:rFonts w:hint="eastAsia" w:eastAsia="仿宋_GB2312"/>
          <w:color w:val="000000" w:themeColor="text1"/>
          <w:szCs w:val="32"/>
          <w:highlight w:val="none"/>
          <w14:textFill>
            <w14:solidFill>
              <w14:schemeClr w14:val="tx1"/>
            </w14:solidFill>
          </w14:textFill>
        </w:rPr>
        <w:t>建设项目表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_Toc23354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103</w:t>
      </w:r>
      <w:r>
        <w:rPr>
          <w:color w:val="000000" w:themeColor="text1"/>
          <w:highlight w:val="none"/>
          <w14:textFill>
            <w14:solidFill>
              <w14:schemeClr w14:val="tx1"/>
            </w14:solidFill>
          </w14:textFill>
        </w:rPr>
        <w:fldChar w:fldCharType="end"/>
      </w: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133A1EAC">
      <w:pPr>
        <w:spacing w:line="288" w:lineRule="auto"/>
        <w:ind w:firstLine="468" w:firstLineChars="213"/>
        <w:jc w:val="center"/>
        <w:rPr>
          <w:rFonts w:hint="eastAsia" w:ascii="宋体" w:eastAsia="宋体"/>
          <w:color w:val="000000" w:themeColor="text1"/>
          <w:highlight w:val="none"/>
          <w14:textFill>
            <w14:solidFill>
              <w14:schemeClr w14:val="tx1"/>
            </w14:solidFill>
          </w14:textFill>
        </w:rPr>
        <w:sectPr>
          <w:headerReference r:id="rId3" w:type="default"/>
          <w:footerReference r:id="rId4" w:type="default"/>
          <w:pgSz w:w="11910" w:h="16850"/>
          <w:pgMar w:top="1360" w:right="1380" w:bottom="1898" w:left="1560" w:header="645" w:footer="1443" w:gutter="0"/>
          <w:pgNumType w:start="1"/>
          <w:cols w:space="720" w:num="1"/>
        </w:sectPr>
      </w:pPr>
      <w:r>
        <w:rPr>
          <w:rFonts w:asciiTheme="minorEastAsia" w:hAnsiTheme="minorEastAsia" w:eastAsiaTheme="minorEastAsia"/>
          <w:color w:val="000000" w:themeColor="text1"/>
          <w:szCs w:val="52"/>
          <w:highlight w:val="none"/>
          <w14:textFill>
            <w14:solidFill>
              <w14:schemeClr w14:val="tx1"/>
            </w14:solidFill>
          </w14:textFill>
        </w:rPr>
        <w:fldChar w:fldCharType="end"/>
      </w:r>
    </w:p>
    <w:p w14:paraId="4CE0A8D8">
      <w:pPr>
        <w:pStyle w:val="2"/>
        <w:spacing w:before="0" w:line="360" w:lineRule="auto"/>
        <w:ind w:left="0" w:firstLine="0"/>
        <w:jc w:val="center"/>
        <w:rPr>
          <w:rFonts w:hint="eastAsia" w:ascii="华光小标宋_CNKI" w:hAnsi="华光小标宋_CNKI" w:eastAsia="华光小标宋_CNKI"/>
          <w:color w:val="000000" w:themeColor="text1"/>
          <w:spacing w:val="5"/>
          <w:highlight w:val="none"/>
          <w14:textFill>
            <w14:solidFill>
              <w14:schemeClr w14:val="tx1"/>
            </w14:solidFill>
          </w14:textFill>
        </w:rPr>
      </w:pPr>
      <w:bookmarkStart w:id="0" w:name="_bookmark1"/>
      <w:bookmarkEnd w:id="0"/>
      <w:bookmarkStart w:id="1" w:name="_bookmark0"/>
      <w:bookmarkEnd w:id="1"/>
      <w:bookmarkStart w:id="2" w:name="_Toc9778"/>
      <w:r>
        <w:rPr>
          <w:rFonts w:ascii="华光小标宋_CNKI" w:hAnsi="华光小标宋_CNKI" w:eastAsia="华光小标宋_CNKI"/>
          <w:color w:val="000000" w:themeColor="text1"/>
          <w:spacing w:val="5"/>
          <w:highlight w:val="none"/>
          <w14:textFill>
            <w14:solidFill>
              <w14:schemeClr w14:val="tx1"/>
            </w14:solidFill>
          </w14:textFill>
        </w:rPr>
        <w:t>发展定位与目标</w:t>
      </w:r>
      <w:bookmarkEnd w:id="2"/>
    </w:p>
    <w:p w14:paraId="43782EE5">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全面推进乡村振兴</w:t>
      </w:r>
      <w:r>
        <w:rPr>
          <w:rFonts w:hint="eastAsia" w:eastAsia="仿宋_GB2312"/>
          <w:color w:val="000000" w:themeColor="text1"/>
          <w:highlight w:val="none"/>
          <w14:textFill>
            <w14:solidFill>
              <w14:schemeClr w14:val="tx1"/>
            </w14:solidFill>
          </w14:textFill>
        </w:rPr>
        <w:t>战略，积极推进城乡统筹发展，形成资源节约、环境友好、经济高效、社会和谐的城镇发展新格局。科学确定国土空间开发保护的目标定位和规划策略，优化镇村布局结构和城镇空间布局结构，加快发展，形成特色，尽快把张庄寨镇建设成为皖豫边界的重要节点城镇</w:t>
      </w:r>
      <w:r>
        <w:rPr>
          <w:rFonts w:hint="eastAsia" w:ascii="Times New Roman" w:hAnsi="Times New Roman" w:eastAsia="仿宋_GB2312"/>
          <w:color w:val="000000" w:themeColor="text1"/>
          <w:sz w:val="32"/>
          <w:szCs w:val="32"/>
          <w:highlight w:val="none"/>
          <w14:textFill>
            <w14:solidFill>
              <w14:schemeClr w14:val="tx1"/>
            </w14:solidFill>
          </w14:textFill>
        </w:rPr>
        <w:t>。</w:t>
      </w:r>
    </w:p>
    <w:p w14:paraId="74ABDA5C">
      <w:pPr>
        <w:pStyle w:val="3"/>
        <w:numPr>
          <w:ilvl w:val="0"/>
          <w:numId w:val="4"/>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3" w:name="_bookmark2"/>
      <w:bookmarkEnd w:id="3"/>
      <w:bookmarkStart w:id="4" w:name="_Toc15381"/>
      <w:r>
        <w:rPr>
          <w:rFonts w:hint="eastAsia" w:ascii="黑体" w:hAnsi="黑体" w:eastAsia="黑体"/>
          <w:color w:val="000000" w:themeColor="text1"/>
          <w:highlight w:val="none"/>
          <w:lang w:eastAsia="zh-CN"/>
          <w14:textFill>
            <w14:solidFill>
              <w14:schemeClr w14:val="tx1"/>
            </w14:solidFill>
          </w14:textFill>
        </w:rPr>
        <w:t>发展定位</w:t>
      </w:r>
      <w:bookmarkEnd w:id="4"/>
    </w:p>
    <w:p w14:paraId="7FE4ED16">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发展定位</w:t>
      </w:r>
    </w:p>
    <w:p w14:paraId="0C6853F7">
      <w:pPr>
        <w:pStyle w:val="13"/>
        <w:spacing w:before="0" w:beforeLines="0" w:line="360" w:lineRule="auto"/>
        <w:ind w:left="0" w:leftChars="0" w:right="110" w:firstLine="681" w:firstLineChars="213"/>
        <w:rPr>
          <w:rFonts w:hint="eastAsia"/>
          <w:color w:val="000000" w:themeColor="text1"/>
          <w:highlight w:val="none"/>
          <w14:textFill>
            <w14:solidFill>
              <w14:schemeClr w14:val="tx1"/>
            </w14:solidFill>
          </w14:textFill>
        </w:rPr>
      </w:pP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皖豫边界区域性农产品集散枢纽，萧县西南部中心城镇。</w:t>
      </w:r>
    </w:p>
    <w:p w14:paraId="3BBA4C59">
      <w:pPr>
        <w:pStyle w:val="3"/>
        <w:numPr>
          <w:ilvl w:val="0"/>
          <w:numId w:val="4"/>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5" w:name="_bookmark3"/>
      <w:bookmarkEnd w:id="5"/>
      <w:bookmarkStart w:id="6" w:name="_Toc1669"/>
      <w:r>
        <w:rPr>
          <w:rFonts w:hint="eastAsia" w:ascii="黑体" w:hAnsi="黑体" w:eastAsia="黑体"/>
          <w:color w:val="000000" w:themeColor="text1"/>
          <w:highlight w:val="none"/>
          <w:lang w:eastAsia="zh-CN"/>
          <w14:textFill>
            <w14:solidFill>
              <w14:schemeClr w14:val="tx1"/>
            </w14:solidFill>
          </w14:textFill>
        </w:rPr>
        <w:t>国土空间开发保护目标</w:t>
      </w:r>
      <w:bookmarkEnd w:id="6"/>
    </w:p>
    <w:p w14:paraId="750FD04A">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总体目标</w:t>
      </w:r>
    </w:p>
    <w:p w14:paraId="7AB69E8A">
      <w:pPr>
        <w:pStyle w:val="13"/>
        <w:spacing w:before="0" w:beforeLines="0" w:line="360" w:lineRule="auto"/>
        <w:ind w:left="0" w:leftChars="0" w:right="110" w:firstLine="681" w:firstLineChars="213"/>
        <w:rPr>
          <w:rFonts w:hint="eastAsia" w:ascii="Times New Roman" w:hAnsi="Times New Roman" w:eastAsia="仿宋_GB2312"/>
          <w:color w:val="000000" w:themeColor="text1"/>
          <w:sz w:val="32"/>
          <w:szCs w:val="32"/>
          <w:highlight w:val="none"/>
          <w:lang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到2025年，底线管控进一步强化，空间格局进一步优化，产业空间高效，公共设施布局合理，为城乡统筹发展做好支撑；至2035年，形成底线牢固、生态优先、协调发展、资源高效利用的国土空间开发保护新格局，镇域空间品质、创新环境、综合实力大幅跃升，全面建成宜居宜业的现代化边际重镇</w:t>
      </w:r>
      <w:r>
        <w:rPr>
          <w:rFonts w:hint="eastAsia" w:ascii="Times New Roman" w:hAnsi="Times New Roman" w:eastAsia="仿宋_GB2312"/>
          <w:color w:val="000000" w:themeColor="text1"/>
          <w:sz w:val="32"/>
          <w:szCs w:val="32"/>
          <w:highlight w:val="none"/>
          <w:lang w:eastAsia="zh-CN"/>
          <w14:textFill>
            <w14:solidFill>
              <w14:schemeClr w14:val="tx1"/>
            </w14:solidFill>
          </w14:textFill>
        </w:rPr>
        <w:t>。</w:t>
      </w:r>
    </w:p>
    <w:p w14:paraId="4AED177B">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分项目标</w:t>
      </w:r>
    </w:p>
    <w:p w14:paraId="7CE276F5">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空间底线全面筑牢。耕地和永久基本农田得到切实保护，全面落实下达的保护任务，推进永久基本农田建成高标准农田。河湖湿地、林地等生态空间得到充分保护与修复，生态系统稳定性不断增强。</w:t>
      </w:r>
    </w:p>
    <w:p w14:paraId="53A15D95">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空间结构持续优化。农业生产空间格局合理优化，生态保护空间格局显著改善，城镇发展空间格局更加均衡，区域协调、城乡融合发展新格局基本形成。</w:t>
      </w:r>
    </w:p>
    <w:p w14:paraId="485F63B0">
      <w:pPr>
        <w:pStyle w:val="13"/>
        <w:spacing w:before="0" w:beforeLines="0" w:line="360" w:lineRule="auto"/>
        <w:ind w:left="0" w:leftChars="0" w:right="110" w:firstLine="681" w:firstLineChars="213"/>
        <w:rPr>
          <w:rFonts w:hint="eastAsia" w:eastAsia="PMingLiU"/>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空间品质显著提升。充分保障重点项目建设空间，城乡公共服务配置水平达到较高水平，城乡环境和公共服务质量明显改善，建成现代园林城镇</w:t>
      </w:r>
      <w:r>
        <w:rPr>
          <w:rFonts w:eastAsia="仿宋_GB2312"/>
          <w:color w:val="000000" w:themeColor="text1"/>
          <w:highlight w:val="none"/>
          <w14:textFill>
            <w14:solidFill>
              <w14:schemeClr w14:val="tx1"/>
            </w14:solidFill>
          </w14:textFill>
        </w:rPr>
        <w:t>。</w:t>
      </w:r>
    </w:p>
    <w:p w14:paraId="4892C46F">
      <w:pPr>
        <w:pStyle w:val="3"/>
        <w:numPr>
          <w:ilvl w:val="0"/>
          <w:numId w:val="4"/>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7" w:name="_Toc19995"/>
      <w:r>
        <w:rPr>
          <w:rFonts w:hint="eastAsia" w:ascii="黑体" w:hAnsi="黑体" w:eastAsia="黑体"/>
          <w:color w:val="000000" w:themeColor="text1"/>
          <w:highlight w:val="none"/>
          <w:lang w:eastAsia="zh-CN"/>
          <w14:textFill>
            <w14:solidFill>
              <w14:schemeClr w14:val="tx1"/>
            </w14:solidFill>
          </w14:textFill>
        </w:rPr>
        <w:t>国土空间开发保护策略</w:t>
      </w:r>
      <w:bookmarkEnd w:id="7"/>
    </w:p>
    <w:p w14:paraId="4186AAD8">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eastAsia="仿宋_GB2312"/>
          <w:color w:val="000000" w:themeColor="text1"/>
          <w:w w:val="105"/>
          <w:sz w:val="32"/>
          <w:highlight w:val="none"/>
          <w14:textFill>
            <w14:solidFill>
              <w14:schemeClr w14:val="tx1"/>
            </w14:solidFill>
          </w14:textFill>
        </w:rPr>
        <w:t>筑牢底线、韧性安全</w:t>
      </w:r>
    </w:p>
    <w:p w14:paraId="6654F61C">
      <w:pPr>
        <w:pStyle w:val="13"/>
        <w:spacing w:before="0" w:beforeLines="0" w:line="360" w:lineRule="auto"/>
        <w:ind w:left="0" w:leftChars="0" w:right="110" w:firstLine="681" w:firstLineChars="213"/>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落实上位国土空间保护格局，严守永久基本农田、生态保护红线、城镇开发边界三条控制线；合理划定其他保护线，明确水资源等管控范围。有效应对粮食安全、生态安全、能源资源安全、公共安全、产业安全等方面的问题和挑战。</w:t>
      </w:r>
    </w:p>
    <w:p w14:paraId="6472819D">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开放畅通、协同治理。</w:t>
      </w:r>
    </w:p>
    <w:p w14:paraId="17E33E07">
      <w:pPr>
        <w:pStyle w:val="13"/>
        <w:spacing w:before="0" w:beforeLines="0" w:line="360" w:lineRule="auto"/>
        <w:ind w:left="0" w:leftChars="0" w:right="110" w:firstLine="681" w:firstLineChars="213"/>
        <w:rPr>
          <w:rFonts w:hint="eastAsia" w:eastAsia="PMingLiU"/>
          <w:color w:val="000000" w:themeColor="text1"/>
          <w:highlight w:val="none"/>
          <w14:textFill>
            <w14:solidFill>
              <w14:schemeClr w14:val="tx1"/>
            </w14:solidFill>
          </w14:textFill>
        </w:rPr>
      </w:pPr>
      <w:r>
        <w:rPr>
          <w:rFonts w:hint="eastAsia" w:ascii="Times New Roman" w:hAnsi="Times New Roman" w:eastAsia="仿宋_GB2312"/>
          <w:color w:val="000000" w:themeColor="text1"/>
          <w:sz w:val="32"/>
          <w:szCs w:val="32"/>
          <w:highlight w:val="none"/>
          <w14:textFill>
            <w14:solidFill>
              <w14:schemeClr w14:val="tx1"/>
            </w14:solidFill>
          </w14:textFill>
        </w:rPr>
        <w:t>抓住长三角一体化发展、中部崛起、淮海经济区协同发展等机遇，加强与徐州、永城的生态共治、交通共联、产业互动。积极对接周边重大交通基础设施规划，协同推进交通基础设施一体化建设，提升省际边界城镇的联通水平。</w:t>
      </w:r>
    </w:p>
    <w:p w14:paraId="03CF4BCB">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城乡统筹</w:t>
      </w:r>
      <w:r>
        <w:rPr>
          <w:rFonts w:eastAsia="仿宋_GB2312"/>
          <w:color w:val="000000" w:themeColor="text1"/>
          <w:w w:val="105"/>
          <w:sz w:val="32"/>
          <w:highlight w:val="none"/>
          <w14:textFill>
            <w14:solidFill>
              <w14:schemeClr w14:val="tx1"/>
            </w14:solidFill>
          </w14:textFill>
        </w:rPr>
        <w:t>、</w:t>
      </w:r>
      <w:r>
        <w:rPr>
          <w:rFonts w:hint="eastAsia" w:eastAsia="仿宋_GB2312"/>
          <w:color w:val="000000" w:themeColor="text1"/>
          <w:w w:val="105"/>
          <w:sz w:val="32"/>
          <w:highlight w:val="none"/>
          <w14:textFill>
            <w14:solidFill>
              <w14:schemeClr w14:val="tx1"/>
            </w14:solidFill>
          </w14:textFill>
        </w:rPr>
        <w:t>设施便民</w:t>
      </w:r>
    </w:p>
    <w:p w14:paraId="429B5588">
      <w:pPr>
        <w:pStyle w:val="13"/>
        <w:spacing w:before="0" w:beforeLines="0" w:line="360" w:lineRule="auto"/>
        <w:ind w:left="0" w:leftChars="0" w:right="110" w:firstLine="681" w:firstLineChars="213"/>
        <w:rPr>
          <w:rFonts w:hint="eastAsia" w:ascii="Times New Roman" w:hAnsi="Times New Roman" w:eastAsia="仿宋_GB2312"/>
          <w:color w:val="000000" w:themeColor="text1"/>
          <w:sz w:val="32"/>
          <w:szCs w:val="32"/>
          <w:highlight w:val="none"/>
          <w14:textFill>
            <w14:solidFill>
              <w14:schemeClr w14:val="tx1"/>
            </w14:solidFill>
          </w14:textFill>
        </w:rPr>
      </w:pPr>
      <w:r>
        <w:rPr>
          <w:rFonts w:hint="eastAsia" w:ascii="Times New Roman" w:hAnsi="Times New Roman" w:eastAsia="仿宋_GB2312"/>
          <w:color w:val="000000" w:themeColor="text1"/>
          <w:sz w:val="32"/>
          <w:szCs w:val="32"/>
          <w:highlight w:val="none"/>
          <w14:textFill>
            <w14:solidFill>
              <w14:schemeClr w14:val="tx1"/>
            </w14:solidFill>
          </w14:textFill>
        </w:rPr>
        <w:t>落实上位国土空间保护格局，严守永久基本农田、生态保护红线、城镇开发边界三条控制线；合理划定其他保护线，明确水资源等管控范围。有效应对粮食安全、生态安全、能源资源安全、公共安全、产业安全等方面的问题和挑战。</w:t>
      </w:r>
    </w:p>
    <w:p w14:paraId="5C2D1161">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eastAsia="仿宋_GB2312"/>
          <w:color w:val="000000" w:themeColor="text1"/>
          <w:w w:val="105"/>
          <w:sz w:val="32"/>
          <w:highlight w:val="none"/>
          <w14:textFill>
            <w14:solidFill>
              <w14:schemeClr w14:val="tx1"/>
            </w14:solidFill>
          </w14:textFill>
        </w:rPr>
        <w:t>品质提升，</w:t>
      </w:r>
      <w:r>
        <w:rPr>
          <w:rFonts w:hint="eastAsia" w:eastAsia="仿宋_GB2312"/>
          <w:color w:val="000000" w:themeColor="text1"/>
          <w:w w:val="105"/>
          <w:sz w:val="32"/>
          <w:highlight w:val="none"/>
          <w14:textFill>
            <w14:solidFill>
              <w14:schemeClr w14:val="tx1"/>
            </w14:solidFill>
          </w14:textFill>
        </w:rPr>
        <w:t>魅力</w:t>
      </w:r>
      <w:r>
        <w:rPr>
          <w:rFonts w:eastAsia="仿宋_GB2312"/>
          <w:color w:val="000000" w:themeColor="text1"/>
          <w:w w:val="105"/>
          <w:sz w:val="32"/>
          <w:highlight w:val="none"/>
          <w14:textFill>
            <w14:solidFill>
              <w14:schemeClr w14:val="tx1"/>
            </w14:solidFill>
          </w14:textFill>
        </w:rPr>
        <w:t>彰显</w:t>
      </w:r>
    </w:p>
    <w:p w14:paraId="4800A150">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ascii="Times New Roman" w:hAnsi="Times New Roman" w:eastAsia="仿宋_GB2312"/>
          <w:color w:val="000000" w:themeColor="text1"/>
          <w:sz w:val="32"/>
          <w:szCs w:val="32"/>
          <w:highlight w:val="none"/>
          <w14:textFill>
            <w14:solidFill>
              <w14:schemeClr w14:val="tx1"/>
            </w14:solidFill>
          </w14:textFill>
        </w:rPr>
        <w:t>坚持以人民为中心的发展思想，统筹优化国土空间布局，为城乡居民提供优质便捷公共服务做好空间保障，提升城乡公共服务水平，治理“城市病”和“乡村病”。推进城市更新和生态修复，改善城乡风貌景观，优化交通出行环境。</w:t>
      </w:r>
    </w:p>
    <w:p w14:paraId="5B394331">
      <w:pPr>
        <w:spacing w:line="360" w:lineRule="auto"/>
        <w:ind w:firstLine="468" w:firstLineChars="213"/>
        <w:rPr>
          <w:rFonts w:hint="eastAsia" w:eastAsia="仿宋_GB2312"/>
          <w:color w:val="000000" w:themeColor="text1"/>
          <w:highlight w:val="none"/>
          <w14:textFill>
            <w14:solidFill>
              <w14:schemeClr w14:val="tx1"/>
            </w14:solidFill>
          </w14:textFill>
        </w:rPr>
        <w:sectPr>
          <w:footerReference r:id="rId5" w:type="default"/>
          <w:pgSz w:w="11910" w:h="16850"/>
          <w:pgMar w:top="1360" w:right="1380" w:bottom="1640" w:left="1560" w:header="645" w:footer="1443" w:gutter="0"/>
          <w:cols w:space="720" w:num="1"/>
        </w:sectPr>
      </w:pPr>
    </w:p>
    <w:p w14:paraId="3ED3936E">
      <w:pPr>
        <w:pStyle w:val="2"/>
        <w:spacing w:before="0" w:line="360" w:lineRule="auto"/>
        <w:ind w:left="0" w:firstLine="0"/>
        <w:jc w:val="center"/>
        <w:rPr>
          <w:rFonts w:hint="eastAsia" w:ascii="华光小标宋_CNKI" w:hAnsi="华光小标宋_CNKI" w:eastAsia="华光小标宋_CNKI"/>
          <w:color w:val="000000" w:themeColor="text1"/>
          <w:spacing w:val="5"/>
          <w:highlight w:val="none"/>
          <w14:textFill>
            <w14:solidFill>
              <w14:schemeClr w14:val="tx1"/>
            </w14:solidFill>
          </w14:textFill>
        </w:rPr>
      </w:pPr>
      <w:bookmarkStart w:id="8" w:name="_bookmark5"/>
      <w:bookmarkEnd w:id="8"/>
      <w:bookmarkStart w:id="9" w:name="_Toc24857"/>
      <w:r>
        <w:rPr>
          <w:rFonts w:hint="eastAsia" w:ascii="华光小标宋_CNKI" w:hAnsi="华光小标宋_CNKI" w:eastAsia="华光小标宋_CNKI"/>
          <w:color w:val="000000" w:themeColor="text1"/>
          <w:spacing w:val="5"/>
          <w:highlight w:val="none"/>
          <w14:textFill>
            <w14:solidFill>
              <w14:schemeClr w14:val="tx1"/>
            </w14:solidFill>
          </w14:textFill>
        </w:rPr>
        <w:t>以“三区三线”为基础，构建</w:t>
      </w:r>
      <w:r>
        <w:rPr>
          <w:rFonts w:ascii="华光小标宋_CNKI" w:hAnsi="华光小标宋_CNKI" w:eastAsia="华光小标宋_CNKI"/>
          <w:color w:val="000000" w:themeColor="text1"/>
          <w:spacing w:val="5"/>
          <w:highlight w:val="none"/>
          <w14:textFill>
            <w14:solidFill>
              <w14:schemeClr w14:val="tx1"/>
            </w14:solidFill>
          </w14:textFill>
        </w:rPr>
        <w:t>国土空间</w:t>
      </w:r>
      <w:r>
        <w:rPr>
          <w:rFonts w:hint="eastAsia" w:ascii="华光小标宋_CNKI" w:hAnsi="华光小标宋_CNKI" w:eastAsia="华光小标宋_CNKI"/>
          <w:color w:val="000000" w:themeColor="text1"/>
          <w:spacing w:val="5"/>
          <w:highlight w:val="none"/>
          <w14:textFill>
            <w14:solidFill>
              <w14:schemeClr w14:val="tx1"/>
            </w14:solidFill>
          </w14:textFill>
        </w:rPr>
        <w:t>开发保护新</w:t>
      </w:r>
      <w:r>
        <w:rPr>
          <w:rFonts w:ascii="华光小标宋_CNKI" w:hAnsi="华光小标宋_CNKI" w:eastAsia="华光小标宋_CNKI"/>
          <w:color w:val="000000" w:themeColor="text1"/>
          <w:spacing w:val="5"/>
          <w:highlight w:val="none"/>
          <w14:textFill>
            <w14:solidFill>
              <w14:schemeClr w14:val="tx1"/>
            </w14:solidFill>
          </w14:textFill>
        </w:rPr>
        <w:t>格局</w:t>
      </w:r>
      <w:bookmarkEnd w:id="9"/>
      <w:r>
        <w:rPr>
          <w:rFonts w:hint="eastAsia" w:ascii="华光小标宋_CNKI" w:hAnsi="华光小标宋_CNKI" w:eastAsia="华光小标宋_CNKI"/>
          <w:color w:val="000000" w:themeColor="text1"/>
          <w:spacing w:val="5"/>
          <w:highlight w:val="none"/>
          <w14:textFill>
            <w14:solidFill>
              <w14:schemeClr w14:val="tx1"/>
            </w14:solidFill>
          </w14:textFill>
        </w:rPr>
        <w:t xml:space="preserve"> </w:t>
      </w:r>
    </w:p>
    <w:p w14:paraId="087AE218">
      <w:pPr>
        <w:pStyle w:val="13"/>
        <w:spacing w:before="0" w:beforeLines="0" w:line="360" w:lineRule="auto"/>
        <w:ind w:left="0" w:leftChars="0" w:right="0" w:rightChars="0" w:firstLine="640"/>
        <w:rPr>
          <w:rFonts w:hint="eastAsia" w:ascii="Times New Roman" w:hAnsi="Times New Roman" w:eastAsia="仿宋_GB2312" w:cs="仿宋_GB2312"/>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仿宋_GB2312"/>
          <w:caps w:val="0"/>
          <w:smallCaps w:val="0"/>
          <w:color w:val="000000" w:themeColor="text1"/>
          <w:highlight w:val="none"/>
          <w:lang w:val="en-US" w:eastAsia="zh-CN"/>
          <w14:textFill>
            <w14:solidFill>
              <w14:schemeClr w14:val="tx1"/>
            </w14:solidFill>
          </w14:textFill>
        </w:rPr>
        <w:t>尊重自然资源本底条件、遵循乡镇发展规律，</w:t>
      </w:r>
      <w:r>
        <w:rPr>
          <w:rFonts w:hint="eastAsia" w:ascii="Times New Roman" w:hAnsi="Times New Roman" w:eastAsia="仿宋_GB2312" w:cs="仿宋_GB2312"/>
          <w:caps w:val="0"/>
          <w:smallCaps w:val="0"/>
          <w:color w:val="000000" w:themeColor="text1"/>
          <w:highlight w:val="none"/>
          <w14:textFill>
            <w14:solidFill>
              <w14:schemeClr w14:val="tx1"/>
            </w14:solidFill>
          </w14:textFill>
        </w:rPr>
        <w:t>以第三次全国国土调查数据为基础，落实上位规划耕地和永久基本农田、</w:t>
      </w:r>
      <w:r>
        <w:rPr>
          <w:rFonts w:hint="eastAsia" w:ascii="Times New Roman" w:hAnsi="Times New Roman" w:eastAsia="仿宋_GB2312" w:cs="仿宋_GB2312"/>
          <w:caps w:val="0"/>
          <w:smallCaps w:val="0"/>
          <w:color w:val="000000" w:themeColor="text1"/>
          <w:highlight w:val="none"/>
          <w:lang w:eastAsia="zh-CN"/>
          <w14:textFill>
            <w14:solidFill>
              <w14:schemeClr w14:val="tx1"/>
            </w14:solidFill>
          </w14:textFill>
        </w:rPr>
        <w:t>生态保护红线</w:t>
      </w:r>
      <w:r>
        <w:rPr>
          <w:rFonts w:hint="eastAsia" w:ascii="Times New Roman" w:hAnsi="Times New Roman" w:eastAsia="仿宋_GB2312" w:cs="仿宋_GB2312"/>
          <w:caps w:val="0"/>
          <w:smallCaps w:val="0"/>
          <w:color w:val="000000" w:themeColor="text1"/>
          <w:highlight w:val="none"/>
          <w14:textFill>
            <w14:solidFill>
              <w14:schemeClr w14:val="tx1"/>
            </w14:solidFill>
          </w14:textFill>
        </w:rPr>
        <w:t>和城镇开发边界，落实县级主体功能区布局，优化农业、 生态、城镇三大空间，构建“</w:t>
      </w:r>
      <w:r>
        <w:rPr>
          <w:rFonts w:hint="eastAsia" w:ascii="Times New Roman" w:hAnsi="Times New Roman" w:eastAsia="仿宋_GB2312" w:cs="仿宋_GB2312"/>
          <w:color w:val="000000" w:themeColor="text1"/>
          <w:highlight w:val="none"/>
          <w14:textFill>
            <w14:solidFill>
              <w14:schemeClr w14:val="tx1"/>
            </w14:solidFill>
          </w14:textFill>
        </w:rPr>
        <w:t>一心、两轴、三区</w:t>
      </w:r>
      <w:r>
        <w:rPr>
          <w:rFonts w:hint="eastAsia" w:ascii="Times New Roman" w:hAnsi="Times New Roman" w:eastAsia="仿宋_GB2312" w:cs="仿宋_GB2312"/>
          <w:caps w:val="0"/>
          <w:smallCaps w:val="0"/>
          <w:color w:val="000000" w:themeColor="text1"/>
          <w:highlight w:val="none"/>
          <w14:textFill>
            <w14:solidFill>
              <w14:schemeClr w14:val="tx1"/>
            </w14:solidFill>
          </w14:textFill>
        </w:rPr>
        <w:t>”的镇域国土空间总体格局。</w:t>
      </w:r>
    </w:p>
    <w:p w14:paraId="6D406B96">
      <w:pPr>
        <w:pStyle w:val="3"/>
        <w:numPr>
          <w:ilvl w:val="0"/>
          <w:numId w:val="5"/>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10" w:name="_bookmark6"/>
      <w:bookmarkEnd w:id="10"/>
      <w:bookmarkStart w:id="11" w:name="_Toc212360789"/>
      <w:bookmarkStart w:id="12" w:name="_Toc3981"/>
      <w:r>
        <w:rPr>
          <w:rFonts w:hint="eastAsia" w:ascii="黑体" w:hAnsi="黑体" w:eastAsia="黑体"/>
          <w:color w:val="000000" w:themeColor="text1"/>
          <w:highlight w:val="none"/>
          <w:lang w:val="en-US" w:eastAsia="zh-CN"/>
          <w14:textFill>
            <w14:solidFill>
              <w14:schemeClr w14:val="tx1"/>
            </w14:solidFill>
          </w14:textFill>
        </w:rPr>
        <w:t>高标准高质量</w:t>
      </w:r>
      <w:r>
        <w:rPr>
          <w:rFonts w:hint="eastAsia" w:ascii="黑体" w:hAnsi="黑体" w:eastAsia="黑体"/>
          <w:color w:val="000000" w:themeColor="text1"/>
          <w:highlight w:val="none"/>
          <w:lang w:eastAsia="zh-CN"/>
          <w14:textFill>
            <w14:solidFill>
              <w14:schemeClr w14:val="tx1"/>
            </w14:solidFill>
          </w14:textFill>
        </w:rPr>
        <w:t>落实“三</w:t>
      </w:r>
      <w:r>
        <w:rPr>
          <w:rFonts w:hint="eastAsia" w:ascii="黑体" w:hAnsi="黑体" w:eastAsia="黑体"/>
          <w:color w:val="000000" w:themeColor="text1"/>
          <w:highlight w:val="none"/>
          <w:lang w:val="en-US" w:eastAsia="zh-CN"/>
          <w14:textFill>
            <w14:solidFill>
              <w14:schemeClr w14:val="tx1"/>
            </w14:solidFill>
          </w14:textFill>
        </w:rPr>
        <w:t>区三</w:t>
      </w:r>
      <w:r>
        <w:rPr>
          <w:rFonts w:hint="eastAsia" w:ascii="黑体" w:hAnsi="黑体" w:eastAsia="黑体"/>
          <w:color w:val="000000" w:themeColor="text1"/>
          <w:highlight w:val="none"/>
          <w:lang w:eastAsia="zh-CN"/>
          <w14:textFill>
            <w14:solidFill>
              <w14:schemeClr w14:val="tx1"/>
            </w14:solidFill>
          </w14:textFill>
        </w:rPr>
        <w:t>线</w:t>
      </w:r>
      <w:bookmarkEnd w:id="11"/>
      <w:r>
        <w:rPr>
          <w:rFonts w:hint="eastAsia" w:ascii="黑体" w:hAnsi="黑体" w:eastAsia="黑体"/>
          <w:color w:val="000000" w:themeColor="text1"/>
          <w:highlight w:val="none"/>
          <w:lang w:eastAsia="zh-CN"/>
          <w14:textFill>
            <w14:solidFill>
              <w14:schemeClr w14:val="tx1"/>
            </w14:solidFill>
          </w14:textFill>
        </w:rPr>
        <w:t>”</w:t>
      </w:r>
      <w:bookmarkEnd w:id="12"/>
    </w:p>
    <w:p w14:paraId="5B6C5486">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优先落实耕地和</w:t>
      </w:r>
      <w:r>
        <w:rPr>
          <w:rFonts w:hint="eastAsia" w:ascii="Times New Roman" w:hAnsi="Times New Roman" w:eastAsia="仿宋"/>
          <w:caps w:val="0"/>
          <w:smallCaps w:val="0"/>
          <w:color w:val="000000" w:themeColor="text1"/>
          <w:w w:val="105"/>
          <w:sz w:val="32"/>
          <w:highlight w:val="none"/>
          <w14:textFill>
            <w14:solidFill>
              <w14:schemeClr w14:val="tx1"/>
            </w14:solidFill>
          </w14:textFill>
        </w:rPr>
        <w:t>永久基本农田</w:t>
      </w: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保护红线</w:t>
      </w:r>
    </w:p>
    <w:p w14:paraId="65F37C68">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u w:val="singl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坚持耕地数量和质量保护并重的原则，在保证张庄寨镇经济社会稳步发展，粮食安全和生态安全得到保障的前提下，</w:t>
      </w:r>
      <w:r>
        <w:rPr>
          <w:rFonts w:hint="eastAsia" w:ascii="Times New Roman" w:hAnsi="Times New Roman" w:eastAsia="仿宋_GB2312" w:cs="Times New Roman"/>
          <w:caps w:val="0"/>
          <w:smallCaps w:val="0"/>
          <w:color w:val="000000" w:themeColor="text1"/>
          <w:highlight w:val="none"/>
          <w:u w:val="none"/>
          <w:lang w:val="en-US" w:eastAsia="zh-CN"/>
          <w14:textFill>
            <w14:solidFill>
              <w14:schemeClr w14:val="tx1"/>
            </w14:solidFill>
          </w14:textFill>
        </w:rPr>
        <w:t>守牢耕地保护红线和粮食安全底线。</w:t>
      </w:r>
    </w:p>
    <w:p w14:paraId="1D5E94B2">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14:textFill>
            <w14:solidFill>
              <w14:schemeClr w14:val="tx1"/>
            </w14:solidFill>
          </w14:textFill>
        </w:rPr>
        <w:t>衔接落实城镇开发边界</w:t>
      </w:r>
    </w:p>
    <w:p w14:paraId="507B2E2E">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落实上位规划要求，在优先划定耕地和永久基本农田保护红线的基础上，顺应自然地理格局，避让自然灾害高风险区域等，按照集约适度、绿色发展要求划定城镇开发边界。严控新增建设用地，防止城镇无序建设与蔓延发展，推动城镇紧凑发展和节约集约用地。</w:t>
      </w:r>
    </w:p>
    <w:p w14:paraId="5E22585A">
      <w:pPr>
        <w:pStyle w:val="3"/>
        <w:numPr>
          <w:ilvl w:val="0"/>
          <w:numId w:val="5"/>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13" w:name="_Toc8156"/>
      <w:r>
        <w:rPr>
          <w:rFonts w:hint="eastAsia" w:ascii="黑体" w:hAnsi="黑体" w:eastAsia="黑体"/>
          <w:color w:val="000000" w:themeColor="text1"/>
          <w:highlight w:val="none"/>
          <w:lang w:eastAsia="zh-CN"/>
          <w14:textFill>
            <w14:solidFill>
              <w14:schemeClr w14:val="tx1"/>
            </w14:solidFill>
          </w14:textFill>
        </w:rPr>
        <w:t>塑造镇域发展新格局</w:t>
      </w:r>
      <w:bookmarkEnd w:id="13"/>
    </w:p>
    <w:p w14:paraId="66A461CA">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构建</w:t>
      </w:r>
      <w:r>
        <w:rPr>
          <w:rFonts w:hint="eastAsia" w:eastAsia="仿宋_GB2312"/>
          <w:color w:val="000000" w:themeColor="text1"/>
          <w:w w:val="105"/>
          <w:sz w:val="32"/>
          <w:highlight w:val="none"/>
          <w14:textFill>
            <w14:solidFill>
              <w14:schemeClr w14:val="tx1"/>
            </w14:solidFill>
          </w14:textFill>
        </w:rPr>
        <w:t>国土空间总体格局</w:t>
      </w:r>
    </w:p>
    <w:p w14:paraId="4B486E34">
      <w:pPr>
        <w:pStyle w:val="13"/>
        <w:tabs>
          <w:tab w:val="left" w:pos="4820"/>
        </w:tabs>
        <w:spacing w:before="0" w:beforeLines="0" w:line="360" w:lineRule="auto"/>
        <w:ind w:left="0" w:leftChars="0" w:right="110" w:firstLine="681" w:firstLineChars="213"/>
        <w:rPr>
          <w:rFonts w:hint="eastAsia"/>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依托交通干线和水系廊道，构建“一心、两轴、三区”的镇域空间发展格局</w:t>
      </w:r>
      <w:r>
        <w:rPr>
          <w:rFonts w:eastAsia="仿宋_GB2312"/>
          <w:color w:val="000000" w:themeColor="text1"/>
          <w:highlight w:val="none"/>
          <w14:textFill>
            <w14:solidFill>
              <w14:schemeClr w14:val="tx1"/>
            </w14:solidFill>
          </w14:textFill>
        </w:rPr>
        <w:t>。</w:t>
      </w:r>
    </w:p>
    <w:p w14:paraId="009685AD">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明确</w:t>
      </w:r>
      <w:r>
        <w:rPr>
          <w:rFonts w:hint="eastAsia" w:eastAsia="仿宋_GB2312"/>
          <w:color w:val="000000" w:themeColor="text1"/>
          <w:w w:val="105"/>
          <w:sz w:val="32"/>
          <w:highlight w:val="none"/>
          <w14:textFill>
            <w14:solidFill>
              <w14:schemeClr w14:val="tx1"/>
            </w14:solidFill>
          </w14:textFill>
        </w:rPr>
        <w:t>国土空间规划分区</w:t>
      </w:r>
    </w:p>
    <w:p w14:paraId="64E4ABBD">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bookmarkStart w:id="14" w:name="_bookmark10"/>
      <w:bookmarkEnd w:id="14"/>
      <w:bookmarkStart w:id="15" w:name="_Hlk150604824"/>
      <w:bookmarkStart w:id="16" w:name="_Hlk150606517"/>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落实县级规划下达的城镇开发边界、永久基本农田和生态保护红线，将乡域空间划分为生态保护区、农田保护区、城镇发展区和乡村发展区四类，实现全域空间管制，促进集约高效有序发展。</w:t>
      </w:r>
    </w:p>
    <w:bookmarkEnd w:id="15"/>
    <w:p w14:paraId="5C4BBD43">
      <w:pPr>
        <w:pStyle w:val="3"/>
        <w:numPr>
          <w:ilvl w:val="0"/>
          <w:numId w:val="5"/>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17" w:name="_bookmark8"/>
      <w:bookmarkEnd w:id="17"/>
      <w:bookmarkStart w:id="18" w:name="_bookmark7"/>
      <w:bookmarkEnd w:id="18"/>
      <w:bookmarkStart w:id="19" w:name="_Toc26136"/>
      <w:bookmarkStart w:id="20" w:name="_Toc212360791"/>
      <w:r>
        <w:rPr>
          <w:rFonts w:hint="eastAsia" w:ascii="黑体" w:hAnsi="黑体" w:eastAsia="黑体"/>
          <w:color w:val="000000" w:themeColor="text1"/>
          <w:highlight w:val="none"/>
          <w:lang w:eastAsia="zh-CN"/>
          <w14:textFill>
            <w14:solidFill>
              <w14:schemeClr w14:val="tx1"/>
            </w14:solidFill>
          </w14:textFill>
        </w:rPr>
        <w:t>优化国土空间功能结构</w:t>
      </w:r>
      <w:bookmarkEnd w:id="19"/>
      <w:bookmarkEnd w:id="20"/>
    </w:p>
    <w:p w14:paraId="60A8A48E">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14:textFill>
            <w14:solidFill>
              <w14:schemeClr w14:val="tx1"/>
            </w14:solidFill>
          </w14:textFill>
        </w:rPr>
        <w:t>合理优化国土空间用</w:t>
      </w: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地结构</w:t>
      </w:r>
    </w:p>
    <w:p w14:paraId="48ECE00E">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优先保护耕地和生态用地。全面落实生态保护红线、耕地和永久基本农田任务，严格控制耕地转为其他农用地以及建设占用耕地，合理安排农业设施建设用地，稳定陆地水域和林地面积。优化农用地结构，适度开发具有耕种和灌溉条件的其他草地、沙地，引导农业结构调整向耕地增产、提效的方向转变。</w:t>
      </w:r>
    </w:p>
    <w:p w14:paraId="2222BBCC">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科学优化建设用地结构。按照保主保重的原则，优先保障镇政府驻地和产业集聚区用地需求，严格按照城镇开发边界范围限制城镇无序扩张，推进村庄建设用地集约化发展，逐步增加城乡建设用地增减挂钩、工矿废弃地复垦利用和城乡低效用地再开发，引导建设用地由“增量扩张”向“增存并举”转型，消化批而未供土地，盘活利用闲置土地，释放存量建设用地空间。</w:t>
      </w:r>
    </w:p>
    <w:p w14:paraId="7B838E60">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科学设置</w:t>
      </w:r>
      <w:r>
        <w:rPr>
          <w:rFonts w:hint="eastAsia" w:ascii="Times New Roman" w:hAnsi="Times New Roman" w:eastAsia="仿宋"/>
          <w:caps w:val="0"/>
          <w:smallCaps w:val="0"/>
          <w:color w:val="000000" w:themeColor="text1"/>
          <w:w w:val="105"/>
          <w:sz w:val="32"/>
          <w:highlight w:val="none"/>
          <w14:textFill>
            <w14:solidFill>
              <w14:schemeClr w14:val="tx1"/>
            </w14:solidFill>
          </w14:textFill>
        </w:rPr>
        <w:t>留白</w:t>
      </w: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用地</w:t>
      </w:r>
    </w:p>
    <w:p w14:paraId="113141E1">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sectPr>
          <w:pgSz w:w="11910" w:h="16850"/>
          <w:pgMar w:top="1360" w:right="1380" w:bottom="1640" w:left="1560" w:header="645" w:footer="1443" w:gutter="0"/>
          <w:pgBorders>
            <w:top w:val="none" w:sz="0" w:space="0"/>
            <w:left w:val="none" w:sz="0" w:space="0"/>
            <w:bottom w:val="none" w:sz="0" w:space="0"/>
            <w:right w:val="none" w:sz="0" w:space="0"/>
          </w:pgBorders>
          <w:cols w:space="720" w:num="1"/>
        </w:sect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指标留白。</w:t>
      </w:r>
      <w:bookmarkStart w:id="21" w:name="_bookmark9"/>
      <w:bookmarkEnd w:id="21"/>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在不突破规划建设用地总规模、不占用耕地和永久基本农田保护红线、生态保护红线的前提下，村庄可预留不超过5%的建设用地机动指标，用于保障暂时难以精准落位的乡村建设需求，包括农民建房、农村公共公益设施、零星分散的文旅设施及农村新产业新业态等用地可申请使用。</w:t>
      </w:r>
      <w:r>
        <w:rPr>
          <w:rFonts w:hint="eastAsia" w:ascii="Times New Roman" w:hAnsi="Times New Roman" w:eastAsia="仿宋_GB2312" w:cs="Times New Roman"/>
          <w:caps w:val="0"/>
          <w:smallCaps w:val="0"/>
          <w:color w:val="000000" w:themeColor="text1"/>
          <w:highlight w:val="none"/>
          <w:lang w:val="zh-TW" w:eastAsia="zh-CN"/>
          <w14:textFill>
            <w14:solidFill>
              <w14:schemeClr w14:val="tx1"/>
            </w14:solidFill>
          </w14:textFill>
        </w:rPr>
        <w:t>加强重点地块图则管控，</w:t>
      </w: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因公共服务设施、基础设施、文旅设施、农村一二三产业融合发展等需要使用机动指标的村庄，可采取编制重点地块图则的方式，对土地用途、用地规模、容积率等建设控制指标予以明确，切实加强对具体建设行为的指导约束。</w:t>
      </w:r>
    </w:p>
    <w:p w14:paraId="29B8FDF4">
      <w:pPr>
        <w:pStyle w:val="2"/>
        <w:spacing w:before="0" w:line="360" w:lineRule="auto"/>
        <w:ind w:left="0" w:firstLine="0"/>
        <w:jc w:val="center"/>
        <w:rPr>
          <w:rFonts w:ascii="Times New Roman" w:hAnsi="Times New Roman" w:eastAsia="华光小标宋_CNKI"/>
          <w:caps w:val="0"/>
          <w:smallCaps w:val="0"/>
          <w:color w:val="000000" w:themeColor="text1"/>
          <w:spacing w:val="5"/>
          <w:highlight w:val="none"/>
          <w14:textFill>
            <w14:solidFill>
              <w14:schemeClr w14:val="tx1"/>
            </w14:solidFill>
          </w14:textFill>
        </w:rPr>
      </w:pPr>
      <w:bookmarkStart w:id="22" w:name="_Toc212360792"/>
      <w:bookmarkStart w:id="23" w:name="_Toc3927"/>
      <w:r>
        <w:rPr>
          <w:rFonts w:hint="eastAsia" w:ascii="Times New Roman" w:hAnsi="Times New Roman" w:eastAsia="华光小标宋_CNKI"/>
          <w:caps w:val="0"/>
          <w:smallCaps w:val="0"/>
          <w:color w:val="000000" w:themeColor="text1"/>
          <w:spacing w:val="5"/>
          <w:highlight w:val="none"/>
          <w14:textFill>
            <w14:solidFill>
              <w14:schemeClr w14:val="tx1"/>
            </w14:solidFill>
          </w14:textFill>
        </w:rPr>
        <w:t>塑造绿色高效农业空间，保障现代化农业发展</w:t>
      </w:r>
      <w:bookmarkEnd w:id="22"/>
      <w:bookmarkEnd w:id="23"/>
    </w:p>
    <w:p w14:paraId="38F334DF">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以耕地和永久基本农田保护红线为基础，立足张庄寨镇资源禀赋、区位优势，全方位夯实粮食安全根基，严格保护耕地资源。优化农业空间格局、稳定农业种植生产空间。合理开展农村土地 综合整治，支撑实现农业农村现代化，保障宜居宜业和美乡村空 间需求。</w:t>
      </w:r>
    </w:p>
    <w:p w14:paraId="65402C2F">
      <w:pPr>
        <w:pStyle w:val="3"/>
        <w:numPr>
          <w:ilvl w:val="0"/>
          <w:numId w:val="6"/>
        </w:numPr>
        <w:spacing w:before="240" w:after="240"/>
        <w:ind w:left="0" w:firstLine="0"/>
        <w:jc w:val="center"/>
        <w:rPr>
          <w:rFonts w:ascii="Times New Roman" w:hAnsi="Times New Roman" w:eastAsia="黑体"/>
          <w:caps w:val="0"/>
          <w:smallCaps w:val="0"/>
          <w:color w:val="000000" w:themeColor="text1"/>
          <w:highlight w:val="none"/>
          <w:lang w:eastAsia="zh-CN"/>
          <w14:textFill>
            <w14:solidFill>
              <w14:schemeClr w14:val="tx1"/>
            </w14:solidFill>
          </w14:textFill>
        </w:rPr>
      </w:pPr>
      <w:bookmarkStart w:id="24" w:name="_bookmark11"/>
      <w:bookmarkEnd w:id="24"/>
      <w:bookmarkStart w:id="25" w:name="_Toc212360793"/>
      <w:bookmarkStart w:id="26" w:name="_Toc15218"/>
      <w:r>
        <w:rPr>
          <w:rFonts w:hint="eastAsia" w:ascii="Times New Roman" w:hAnsi="Times New Roman" w:eastAsia="黑体"/>
          <w:caps w:val="0"/>
          <w:smallCaps w:val="0"/>
          <w:color w:val="000000" w:themeColor="text1"/>
          <w:highlight w:val="none"/>
          <w:lang w:eastAsia="zh-CN"/>
          <w14:textFill>
            <w14:solidFill>
              <w14:schemeClr w14:val="tx1"/>
            </w14:solidFill>
          </w14:textFill>
        </w:rPr>
        <w:t>加强耕地“三位一体”保护</w:t>
      </w:r>
      <w:bookmarkEnd w:id="25"/>
      <w:bookmarkEnd w:id="26"/>
    </w:p>
    <w:p w14:paraId="69EBEF13">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14:textFill>
            <w14:solidFill>
              <w14:schemeClr w14:val="tx1"/>
            </w14:solidFill>
          </w14:textFill>
        </w:rPr>
        <w:t>强</w:t>
      </w: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化</w:t>
      </w:r>
      <w:r>
        <w:rPr>
          <w:rFonts w:hint="eastAsia" w:ascii="Times New Roman" w:hAnsi="Times New Roman" w:eastAsia="仿宋"/>
          <w:caps w:val="0"/>
          <w:smallCaps w:val="0"/>
          <w:color w:val="000000" w:themeColor="text1"/>
          <w:w w:val="105"/>
          <w:sz w:val="32"/>
          <w:highlight w:val="none"/>
          <w14:textFill>
            <w14:solidFill>
              <w14:schemeClr w14:val="tx1"/>
            </w14:solidFill>
          </w14:textFill>
        </w:rPr>
        <w:t>耕地资源保护</w:t>
      </w:r>
    </w:p>
    <w:p w14:paraId="1DC374EC">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多途径补充耕地，落实耕地保护政策。严守耕地和永久基本农田保护红线，落实耕地保护和粮食安全责任制。将每个永久基本农田图斑落地块、明责任、设标志、建表册、入图库。通过土地综合整治、宜耕后备土地资源开发等措施，有效补充耕地。梳理“即可恢复”“工程恢复”地类和流失耕地情况，在不破坏生态、尊重农民意愿、确保经营者合法权益的前提下，稳妥有序推进耕地恢复工作，多措并举找回流失耕地。</w:t>
      </w:r>
    </w:p>
    <w:p w14:paraId="60FA77C9">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以高标准农田建设为重点，提升耕地质量。落实“两强一增”行动计划，统筹农田交通水利设施配套建设，积极开展低效耕地提质改造、“旱改水”工程、农田水利“最后一米”、高效节水灌溉建设等重大工程，推进高标准农田建设，提高耕地综合生产能力，逐步把具备条件的永久基本农田建设成为旱涝保收的高标准农田。结合中低产田的改造、土壤培肥改良等措施，提升耕地质量。</w:t>
      </w:r>
    </w:p>
    <w:p w14:paraId="57B21106">
      <w:pPr>
        <w:pStyle w:val="13"/>
        <w:autoSpaceDE/>
        <w:autoSpaceDN/>
        <w:spacing w:before="0" w:beforeLines="0" w:line="360" w:lineRule="auto"/>
        <w:ind w:left="0" w:leftChars="0" w:right="0" w:rightChars="0" w:firstLine="640"/>
        <w:contextualSpacing/>
        <w:rPr>
          <w:rFonts w:hint="default"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因地制宜，改善耕地生态环境。因地制宜，合理布局耕地防护与生态环境保护工程，与田块整治、林网栽植、灌排工程建设、土壤改良等工程相结合，加强耕地防护林网建设，加强水土保持、水源涵养工程建设，以沟道治理等措施，调整优化耕地生态格局，增强农田生态防护能力，完善耕地防护与生态环境保护体系。通过科学布局项目工程，加强生态工程建设，保护耕地质量，优化农村田园景观，为乡村宜居提供绿色屏障，拓展农田传承农耕文化、生态涵养、科普教育、乡村旅游等多重功能。</w:t>
      </w:r>
    </w:p>
    <w:p w14:paraId="2FB12710">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14:textFill>
            <w14:solidFill>
              <w14:schemeClr w14:val="tx1"/>
            </w14:solidFill>
          </w14:textFill>
        </w:rPr>
        <w:t>优化耕地空间布局</w:t>
      </w:r>
    </w:p>
    <w:p w14:paraId="3A346209">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以耕地集中连片整治为方向，推动耕地集中连片保护。结合高标准农田建设、耕地提质改造、优质耕地恢复补充和全域土地综合整治等项目，通过田块置换合并，破碎化田块整合，开展耕地集体连片整治，实现耕地地力保护或质量等别持续提高。按照“宜耕则耕、宜村则村、宜水则水、宜林则林”原则，优化耕地布局，提升耕地质量。全面推进建设占用耕地耕作层土壤剥离利用制度，剥离土壤用于新增耕地后期客土改良。优化田间道路布局，完善农田输配电等基础设施建设。推进智慧农业、测土配方施肥等新技术应用，夯实和提升耕地综合生产能力。</w:t>
      </w:r>
    </w:p>
    <w:p w14:paraId="07B10393">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14:textFill>
            <w14:solidFill>
              <w14:schemeClr w14:val="tx1"/>
            </w14:solidFill>
          </w14:textFill>
        </w:rPr>
        <w:t>严格落实耕地</w:t>
      </w:r>
      <w:r>
        <w:rPr>
          <w:rFonts w:hint="eastAsia" w:ascii="Times New Roman" w:hAnsi="Times New Roman" w:eastAsia="仿宋"/>
          <w:caps w:val="0"/>
          <w:smallCaps w:val="0"/>
          <w:color w:val="000000" w:themeColor="text1"/>
          <w:w w:val="105"/>
          <w:sz w:val="32"/>
          <w:highlight w:val="none"/>
          <w:lang w:eastAsia="zh-CN"/>
          <w14:textFill>
            <w14:solidFill>
              <w14:schemeClr w14:val="tx1"/>
            </w14:solidFill>
          </w14:textFill>
        </w:rPr>
        <w:t>“</w:t>
      </w:r>
      <w:r>
        <w:rPr>
          <w:rFonts w:hint="eastAsia" w:ascii="Times New Roman" w:hAnsi="Times New Roman" w:eastAsia="仿宋"/>
          <w:caps w:val="0"/>
          <w:smallCaps w:val="0"/>
          <w:color w:val="000000" w:themeColor="text1"/>
          <w:w w:val="105"/>
          <w:sz w:val="32"/>
          <w:highlight w:val="none"/>
          <w14:textFill>
            <w14:solidFill>
              <w14:schemeClr w14:val="tx1"/>
            </w14:solidFill>
          </w14:textFill>
        </w:rPr>
        <w:t>占补平衡</w:t>
      </w:r>
      <w:r>
        <w:rPr>
          <w:rFonts w:hint="eastAsia" w:ascii="Times New Roman" w:hAnsi="Times New Roman" w:eastAsia="仿宋"/>
          <w:caps w:val="0"/>
          <w:smallCaps w:val="0"/>
          <w:color w:val="000000" w:themeColor="text1"/>
          <w:w w:val="105"/>
          <w:sz w:val="32"/>
          <w:highlight w:val="none"/>
          <w:lang w:eastAsia="zh-CN"/>
          <w14:textFill>
            <w14:solidFill>
              <w14:schemeClr w14:val="tx1"/>
            </w14:solidFill>
          </w14:textFill>
        </w:rPr>
        <w:t>”</w:t>
      </w:r>
    </w:p>
    <w:p w14:paraId="2CE2C18C">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严格落实建设占用耕地的源头管控，改进占补平衡落实方式，各类实施主体将非耕地垦造、恢复为耕地的，符合规定的可作为补充耕地，各类非农建设选址和布局应尽量不占或少占耕地，避让永久基本农田。非农建设、造林种树等各类占用耕地行为统一纳入耕地占补平衡管理，坚持“以补定占”，非农业建设占用耕地，必须严格落实“先补后占”和“占一补一、占优补优”，积极拓宽补充耕地途径，补充可以长期稳定利用的耕地。</w:t>
      </w:r>
    </w:p>
    <w:p w14:paraId="1227D29B">
      <w:pPr>
        <w:pStyle w:val="3"/>
        <w:numPr>
          <w:ilvl w:val="0"/>
          <w:numId w:val="6"/>
        </w:numPr>
        <w:spacing w:before="240" w:after="240"/>
        <w:ind w:left="0" w:firstLine="0"/>
        <w:jc w:val="center"/>
        <w:rPr>
          <w:rFonts w:ascii="Times New Roman" w:hAnsi="Times New Roman" w:eastAsia="黑体"/>
          <w:caps w:val="0"/>
          <w:smallCaps w:val="0"/>
          <w:color w:val="000000" w:themeColor="text1"/>
          <w:highlight w:val="none"/>
          <w:lang w:eastAsia="zh-CN"/>
          <w14:textFill>
            <w14:solidFill>
              <w14:schemeClr w14:val="tx1"/>
            </w14:solidFill>
          </w14:textFill>
        </w:rPr>
      </w:pPr>
      <w:bookmarkStart w:id="27" w:name="_bookmark12"/>
      <w:bookmarkEnd w:id="27"/>
      <w:bookmarkStart w:id="28" w:name="_Toc212360794"/>
      <w:bookmarkStart w:id="29" w:name="_Toc11407"/>
      <w:r>
        <w:rPr>
          <w:rFonts w:hint="eastAsia" w:ascii="Times New Roman" w:hAnsi="Times New Roman" w:eastAsia="黑体"/>
          <w:caps w:val="0"/>
          <w:smallCaps w:val="0"/>
          <w:color w:val="000000" w:themeColor="text1"/>
          <w:highlight w:val="none"/>
          <w:lang w:val="en-US" w:eastAsia="zh-CN"/>
          <w14:textFill>
            <w14:solidFill>
              <w14:schemeClr w14:val="tx1"/>
            </w14:solidFill>
          </w14:textFill>
        </w:rPr>
        <w:t>保障特色农产品生产空间</w:t>
      </w:r>
      <w:bookmarkEnd w:id="28"/>
      <w:bookmarkEnd w:id="29"/>
    </w:p>
    <w:p w14:paraId="1CC7475F">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14:textFill>
            <w14:solidFill>
              <w14:schemeClr w14:val="tx1"/>
            </w14:solidFill>
          </w14:textFill>
        </w:rPr>
        <w:t>优化农业设施建设用地布局</w:t>
      </w:r>
    </w:p>
    <w:p w14:paraId="2409D0CB">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完善农田水网、路网，因地制宜布局设施农业用地，保障辣椒、香菜、西红柿等特色农业设施用地，合理安排农业生产中直接用于作物种植和畜禽水产养殖的生产、辅助设施用地。预留农业生产服务用地空间，保障农产品产地冷藏保鲜设施、各类农事服务中心、粮食烘干中心的用地需求。设施农业用地应优先利用废弃地和荒山荒坡等未利用地、尽可能不占或少占耕地，严禁新增占用永久基本农田建设畜禽养殖设施、水产养殖设施和破坏耕作层的种植业设施。非农建设占用设施农业用地的，应依法办理建设用地审批手续，兴建前为耕地的，必须落实耕地占补平衡。</w:t>
      </w:r>
    </w:p>
    <w:p w14:paraId="279BC7F3">
      <w:pPr>
        <w:pStyle w:val="3"/>
        <w:numPr>
          <w:ilvl w:val="0"/>
          <w:numId w:val="6"/>
        </w:numPr>
        <w:spacing w:before="240" w:after="240"/>
        <w:ind w:left="0" w:firstLine="0"/>
        <w:jc w:val="center"/>
        <w:rPr>
          <w:rFonts w:ascii="Times New Roman" w:hAnsi="Times New Roman" w:eastAsia="黑体"/>
          <w:caps w:val="0"/>
          <w:smallCaps w:val="0"/>
          <w:color w:val="000000" w:themeColor="text1"/>
          <w:highlight w:val="none"/>
          <w:lang w:eastAsia="zh-CN"/>
          <w14:textFill>
            <w14:solidFill>
              <w14:schemeClr w14:val="tx1"/>
            </w14:solidFill>
          </w14:textFill>
        </w:rPr>
      </w:pPr>
      <w:bookmarkStart w:id="30" w:name="_Toc212360795"/>
      <w:bookmarkStart w:id="31" w:name="_Toc29218"/>
      <w:r>
        <w:rPr>
          <w:rFonts w:hint="eastAsia" w:ascii="Times New Roman" w:hAnsi="Times New Roman" w:eastAsia="黑体"/>
          <w:caps w:val="0"/>
          <w:smallCaps w:val="0"/>
          <w:color w:val="000000" w:themeColor="text1"/>
          <w:highlight w:val="none"/>
          <w:lang w:eastAsia="zh-CN"/>
          <w14:textFill>
            <w14:solidFill>
              <w14:schemeClr w14:val="tx1"/>
            </w14:solidFill>
          </w14:textFill>
        </w:rPr>
        <w:t>加强国土空间综合整治</w:t>
      </w:r>
      <w:bookmarkEnd w:id="30"/>
      <w:bookmarkEnd w:id="31"/>
    </w:p>
    <w:p w14:paraId="1E5284B4">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推进高标准农田建设</w:t>
      </w:r>
    </w:p>
    <w:p w14:paraId="5EB9B58C">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始终坚持“藏粮于地、藏粮于技”战略，推进耕地和永久基本农田的集中连片保护，保障高标准农田建设规模。以永久基本农田为基础，优先在粮食生产功能区、重要农产品生产保护区实施高标准农田建设，逐步把具备条件的永久基本农田全部建成旱涝保收的高标准农田。</w:t>
      </w:r>
    </w:p>
    <w:p w14:paraId="157692A1">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14:textFill>
            <w14:solidFill>
              <w14:schemeClr w14:val="tx1"/>
            </w14:solidFill>
          </w14:textFill>
        </w:rPr>
        <w:t>加强农用地综合整治</w:t>
      </w:r>
    </w:p>
    <w:p w14:paraId="00E3EB01">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统筹推进低效园地、沟渠和坑塘水面整理，加强高标准农田建设、耕地质量提升、宜耕后备资源开发、农田基础设施和配套设施建设，在优化耕地布局、增加耕地面积的同时，提高耕地连片度，加强耕地地力培育，全面提升耕地质量。重点在海青村、崔口村、王柳园村、张庄寨村、众姓庄村、杭子村、申河村等实施农用地综合整治。</w:t>
      </w:r>
    </w:p>
    <w:p w14:paraId="42BB47E6">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ascii="Times New Roman" w:hAnsi="Times New Roman" w:eastAsia="仿宋"/>
          <w:caps w:val="0"/>
          <w:smallCaps w:val="0"/>
          <w:color w:val="000000" w:themeColor="text1"/>
          <w:w w:val="105"/>
          <w:sz w:val="32"/>
          <w:highlight w:val="none"/>
          <w14:textFill>
            <w14:solidFill>
              <w14:schemeClr w14:val="tx1"/>
            </w14:solidFill>
          </w14:textFill>
        </w:rPr>
        <w:t>开展</w:t>
      </w:r>
      <w:bookmarkStart w:id="32" w:name="_Hlk143970244"/>
      <w:r>
        <w:rPr>
          <w:rFonts w:ascii="Times New Roman" w:hAnsi="Times New Roman" w:eastAsia="仿宋"/>
          <w:caps w:val="0"/>
          <w:smallCaps w:val="0"/>
          <w:color w:val="000000" w:themeColor="text1"/>
          <w:w w:val="105"/>
          <w:sz w:val="32"/>
          <w:highlight w:val="none"/>
          <w14:textFill>
            <w14:solidFill>
              <w14:schemeClr w14:val="tx1"/>
            </w14:solidFill>
          </w14:textFill>
        </w:rPr>
        <w:t>农村居民点综合整治</w:t>
      </w:r>
      <w:bookmarkEnd w:id="32"/>
    </w:p>
    <w:p w14:paraId="25C227C9">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以乡村振兴、新型城镇化及城乡融合发展为导向，以镇域城乡建设用地增减挂钩为系统抓手，通过地类调整、用途转换等方式动态调整国土利用结构，系统推进农村宅基地的腾退与盘活，统筹城乡用地布局，优化镇域国土空间功能结构，促进国土功能复合开发、国土资源集约高效利用。按照“政府引导、公众参与、先易后难，逐步实施”的原则，优先选择农村建设用地整理工作基础较好的村庄实施增减挂钩。</w:t>
      </w:r>
    </w:p>
    <w:p w14:paraId="247D182C">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ascii="Times New Roman" w:hAnsi="Times New Roman" w:eastAsia="仿宋"/>
          <w:caps w:val="0"/>
          <w:smallCaps w:val="0"/>
          <w:color w:val="000000" w:themeColor="text1"/>
          <w:w w:val="105"/>
          <w:sz w:val="32"/>
          <w:highlight w:val="none"/>
          <w14:textFill>
            <w14:solidFill>
              <w14:schemeClr w14:val="tx1"/>
            </w14:solidFill>
          </w14:textFill>
        </w:rPr>
        <w:t>推进低效用地综合整治</w:t>
      </w:r>
    </w:p>
    <w:p w14:paraId="6E1514C4">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开展低效闲置用地整治，盘活存量建设用地，提高土地利用效率，重点用于支持乡村新产业新业态发展。开展建设用地整治更新，对镇域范围内闲置、低效利用等用地进行功能置换。优先保障产业发展、公共服务、基础设施等各类建设用地的需求，实现土地资源的优化配置和合理利用。</w:t>
      </w:r>
    </w:p>
    <w:p w14:paraId="39CA99AA">
      <w:pPr>
        <w:pStyle w:val="13"/>
        <w:spacing w:before="0" w:beforeLines="0" w:line="360" w:lineRule="auto"/>
        <w:ind w:left="0" w:leftChars="0" w:right="110" w:firstLine="681" w:firstLineChars="213"/>
        <w:rPr>
          <w:rFonts w:ascii="Times New Roman" w:hAnsi="Times New Roman"/>
          <w:caps w:val="0"/>
          <w:smallCaps w:val="0"/>
          <w:color w:val="000000" w:themeColor="text1"/>
          <w:highlight w:val="none"/>
          <w:lang w:val="en-US" w:eastAsia="zh-CN"/>
          <w14:textFill>
            <w14:solidFill>
              <w14:schemeClr w14:val="tx1"/>
            </w14:solidFill>
          </w14:textFill>
        </w:rPr>
      </w:pPr>
    </w:p>
    <w:p w14:paraId="2C75EF58">
      <w:pPr>
        <w:rPr>
          <w:rFonts w:ascii="Times New Roman" w:hAnsi="Times New Roman"/>
          <w:caps w:val="0"/>
          <w:smallCaps w:val="0"/>
          <w:color w:val="000000" w:themeColor="text1"/>
          <w:highlight w:val="none"/>
          <w:lang w:val="en-US" w:eastAsia="zh-CN"/>
          <w14:textFill>
            <w14:solidFill>
              <w14:schemeClr w14:val="tx1"/>
            </w14:solidFill>
          </w14:textFill>
        </w:rPr>
      </w:pPr>
    </w:p>
    <w:p w14:paraId="436BBB9D">
      <w:pPr>
        <w:rPr>
          <w:rFonts w:ascii="Times New Roman" w:hAnsi="Times New Roman"/>
          <w:caps w:val="0"/>
          <w:smallCaps w:val="0"/>
          <w:color w:val="000000" w:themeColor="text1"/>
          <w:highlight w:val="none"/>
          <w:lang w:val="en-US" w:eastAsia="zh-CN"/>
          <w14:textFill>
            <w14:solidFill>
              <w14:schemeClr w14:val="tx1"/>
            </w14:solidFill>
          </w14:textFill>
        </w:rPr>
      </w:pPr>
    </w:p>
    <w:p w14:paraId="17095C2A">
      <w:pPr>
        <w:rPr>
          <w:rFonts w:ascii="Times New Roman" w:hAnsi="Times New Roman"/>
          <w:caps w:val="0"/>
          <w:smallCaps w:val="0"/>
          <w:color w:val="000000" w:themeColor="text1"/>
          <w:highlight w:val="none"/>
          <w:lang w:val="en-US" w:eastAsia="zh-CN"/>
          <w14:textFill>
            <w14:solidFill>
              <w14:schemeClr w14:val="tx1"/>
            </w14:solidFill>
          </w14:textFill>
        </w:rPr>
      </w:pPr>
    </w:p>
    <w:p w14:paraId="5D2180D6">
      <w:pPr>
        <w:rPr>
          <w:rFonts w:ascii="Times New Roman" w:hAnsi="Times New Roman"/>
          <w:caps w:val="0"/>
          <w:smallCaps w:val="0"/>
          <w:color w:val="000000" w:themeColor="text1"/>
          <w:highlight w:val="none"/>
          <w:lang w:val="en-US" w:eastAsia="zh-CN"/>
          <w14:textFill>
            <w14:solidFill>
              <w14:schemeClr w14:val="tx1"/>
            </w14:solidFill>
          </w14:textFill>
        </w:rPr>
      </w:pPr>
    </w:p>
    <w:p w14:paraId="695879D1">
      <w:pPr>
        <w:rPr>
          <w:rFonts w:ascii="Times New Roman" w:hAnsi="Times New Roman"/>
          <w:caps w:val="0"/>
          <w:smallCaps w:val="0"/>
          <w:color w:val="000000" w:themeColor="text1"/>
          <w:highlight w:val="none"/>
          <w:lang w:val="en-US" w:eastAsia="zh-CN"/>
          <w14:textFill>
            <w14:solidFill>
              <w14:schemeClr w14:val="tx1"/>
            </w14:solidFill>
          </w14:textFill>
        </w:rPr>
      </w:pPr>
    </w:p>
    <w:p w14:paraId="02462C3C">
      <w:pPr>
        <w:rPr>
          <w:rFonts w:ascii="Times New Roman" w:hAnsi="Times New Roman"/>
          <w:caps w:val="0"/>
          <w:smallCaps w:val="0"/>
          <w:color w:val="000000" w:themeColor="text1"/>
          <w:highlight w:val="none"/>
          <w:lang w:val="en-US" w:eastAsia="zh-CN"/>
          <w14:textFill>
            <w14:solidFill>
              <w14:schemeClr w14:val="tx1"/>
            </w14:solidFill>
          </w14:textFill>
        </w:rPr>
      </w:pPr>
    </w:p>
    <w:p w14:paraId="591B9D16">
      <w:pPr>
        <w:rPr>
          <w:rFonts w:ascii="Times New Roman" w:hAnsi="Times New Roman"/>
          <w:caps w:val="0"/>
          <w:smallCaps w:val="0"/>
          <w:color w:val="000000" w:themeColor="text1"/>
          <w:highlight w:val="none"/>
          <w:lang w:val="en-US" w:eastAsia="zh-CN"/>
          <w14:textFill>
            <w14:solidFill>
              <w14:schemeClr w14:val="tx1"/>
            </w14:solidFill>
          </w14:textFill>
        </w:rPr>
      </w:pPr>
    </w:p>
    <w:p w14:paraId="1366440B">
      <w:pPr>
        <w:rPr>
          <w:rFonts w:ascii="Times New Roman" w:hAnsi="Times New Roman"/>
          <w:caps w:val="0"/>
          <w:smallCaps w:val="0"/>
          <w:color w:val="000000" w:themeColor="text1"/>
          <w:highlight w:val="none"/>
          <w:lang w:val="en-US" w:eastAsia="zh-CN"/>
          <w14:textFill>
            <w14:solidFill>
              <w14:schemeClr w14:val="tx1"/>
            </w14:solidFill>
          </w14:textFill>
        </w:rPr>
      </w:pPr>
    </w:p>
    <w:p w14:paraId="554D0574">
      <w:pPr>
        <w:rPr>
          <w:rFonts w:ascii="Times New Roman" w:hAnsi="Times New Roman"/>
          <w:caps w:val="0"/>
          <w:smallCaps w:val="0"/>
          <w:color w:val="000000" w:themeColor="text1"/>
          <w:highlight w:val="none"/>
          <w:lang w:val="en-US" w:eastAsia="zh-CN"/>
          <w14:textFill>
            <w14:solidFill>
              <w14:schemeClr w14:val="tx1"/>
            </w14:solidFill>
          </w14:textFill>
        </w:rPr>
      </w:pPr>
    </w:p>
    <w:p w14:paraId="06D71A78">
      <w:pPr>
        <w:rPr>
          <w:rFonts w:ascii="Times New Roman" w:hAnsi="Times New Roman"/>
          <w:caps w:val="0"/>
          <w:smallCaps w:val="0"/>
          <w:color w:val="000000" w:themeColor="text1"/>
          <w:highlight w:val="none"/>
          <w:lang w:val="en-US" w:eastAsia="zh-CN"/>
          <w14:textFill>
            <w14:solidFill>
              <w14:schemeClr w14:val="tx1"/>
            </w14:solidFill>
          </w14:textFill>
        </w:rPr>
      </w:pPr>
    </w:p>
    <w:p w14:paraId="051F3395">
      <w:pPr>
        <w:rPr>
          <w:rFonts w:ascii="Times New Roman" w:hAnsi="Times New Roman"/>
          <w:caps w:val="0"/>
          <w:smallCaps w:val="0"/>
          <w:color w:val="000000" w:themeColor="text1"/>
          <w:highlight w:val="none"/>
          <w:lang w:val="en-US" w:eastAsia="zh-CN"/>
          <w14:textFill>
            <w14:solidFill>
              <w14:schemeClr w14:val="tx1"/>
            </w14:solidFill>
          </w14:textFill>
        </w:rPr>
      </w:pPr>
    </w:p>
    <w:p w14:paraId="190A8145">
      <w:pPr>
        <w:rPr>
          <w:rFonts w:ascii="Times New Roman" w:hAnsi="Times New Roman"/>
          <w:caps w:val="0"/>
          <w:smallCaps w:val="0"/>
          <w:color w:val="000000" w:themeColor="text1"/>
          <w:highlight w:val="none"/>
          <w:lang w:val="en-US" w:eastAsia="zh-CN"/>
          <w14:textFill>
            <w14:solidFill>
              <w14:schemeClr w14:val="tx1"/>
            </w14:solidFill>
          </w14:textFill>
        </w:rPr>
      </w:pPr>
    </w:p>
    <w:p w14:paraId="430DF900">
      <w:pPr>
        <w:rPr>
          <w:rFonts w:ascii="Times New Roman" w:hAnsi="Times New Roman"/>
          <w:caps w:val="0"/>
          <w:smallCaps w:val="0"/>
          <w:color w:val="000000" w:themeColor="text1"/>
          <w:highlight w:val="none"/>
          <w:lang w:val="en-US" w:eastAsia="zh-CN"/>
          <w14:textFill>
            <w14:solidFill>
              <w14:schemeClr w14:val="tx1"/>
            </w14:solidFill>
          </w14:textFill>
        </w:rPr>
      </w:pPr>
    </w:p>
    <w:p w14:paraId="0A16530A">
      <w:pPr>
        <w:rPr>
          <w:rFonts w:ascii="Times New Roman" w:hAnsi="Times New Roman"/>
          <w:caps w:val="0"/>
          <w:smallCaps w:val="0"/>
          <w:color w:val="000000" w:themeColor="text1"/>
          <w:highlight w:val="none"/>
          <w:lang w:val="en-US" w:eastAsia="zh-CN"/>
          <w14:textFill>
            <w14:solidFill>
              <w14:schemeClr w14:val="tx1"/>
            </w14:solidFill>
          </w14:textFill>
        </w:rPr>
      </w:pPr>
    </w:p>
    <w:p w14:paraId="157C588A">
      <w:pPr>
        <w:rPr>
          <w:rFonts w:ascii="Times New Roman" w:hAnsi="Times New Roman"/>
          <w:caps w:val="0"/>
          <w:smallCaps w:val="0"/>
          <w:color w:val="000000" w:themeColor="text1"/>
          <w:highlight w:val="none"/>
          <w:lang w:val="en-US" w:eastAsia="zh-CN"/>
          <w14:textFill>
            <w14:solidFill>
              <w14:schemeClr w14:val="tx1"/>
            </w14:solidFill>
          </w14:textFill>
        </w:rPr>
      </w:pPr>
    </w:p>
    <w:p w14:paraId="2969896A">
      <w:pPr>
        <w:rPr>
          <w:rFonts w:ascii="Times New Roman" w:hAnsi="Times New Roman"/>
          <w:caps w:val="0"/>
          <w:smallCaps w:val="0"/>
          <w:color w:val="000000" w:themeColor="text1"/>
          <w:highlight w:val="none"/>
          <w:lang w:val="en-US" w:eastAsia="zh-CN"/>
          <w14:textFill>
            <w14:solidFill>
              <w14:schemeClr w14:val="tx1"/>
            </w14:solidFill>
          </w14:textFill>
        </w:rPr>
      </w:pPr>
    </w:p>
    <w:p w14:paraId="46878CB9">
      <w:pPr>
        <w:rPr>
          <w:rFonts w:ascii="Times New Roman" w:hAnsi="Times New Roman"/>
          <w:caps w:val="0"/>
          <w:smallCaps w:val="0"/>
          <w:color w:val="000000" w:themeColor="text1"/>
          <w:highlight w:val="none"/>
          <w:lang w:val="en-US" w:eastAsia="zh-CN"/>
          <w14:textFill>
            <w14:solidFill>
              <w14:schemeClr w14:val="tx1"/>
            </w14:solidFill>
          </w14:textFill>
        </w:rPr>
      </w:pPr>
    </w:p>
    <w:p w14:paraId="196978D0">
      <w:pPr>
        <w:pStyle w:val="2"/>
        <w:keepNext w:val="0"/>
        <w:keepLines w:val="0"/>
        <w:pageBreakBefore/>
        <w:widowControl w:val="0"/>
        <w:kinsoku/>
        <w:wordWrap/>
        <w:overflowPunct/>
        <w:topLinePunct w:val="0"/>
        <w:autoSpaceDE w:val="0"/>
        <w:autoSpaceDN w:val="0"/>
        <w:bidi w:val="0"/>
        <w:adjustRightInd/>
        <w:snapToGrid/>
        <w:spacing w:before="0" w:line="360" w:lineRule="auto"/>
        <w:ind w:left="0" w:firstLine="0"/>
        <w:jc w:val="center"/>
        <w:textAlignment w:val="auto"/>
        <w:rPr>
          <w:rFonts w:ascii="Times New Roman" w:hAnsi="Times New Roman" w:eastAsia="华光小标宋_CNKI"/>
          <w:caps w:val="0"/>
          <w:smallCaps w:val="0"/>
          <w:color w:val="000000" w:themeColor="text1"/>
          <w:spacing w:val="5"/>
          <w:highlight w:val="none"/>
          <w:lang w:eastAsia="zh-CN"/>
          <w14:textFill>
            <w14:solidFill>
              <w14:schemeClr w14:val="tx1"/>
            </w14:solidFill>
          </w14:textFill>
        </w:rPr>
      </w:pPr>
      <w:bookmarkStart w:id="33" w:name="_Toc11034"/>
      <w:bookmarkStart w:id="34" w:name="_Toc212360796"/>
      <w:r>
        <w:rPr>
          <w:rFonts w:hint="eastAsia" w:ascii="Times New Roman" w:hAnsi="Times New Roman" w:eastAsia="华光小标宋_CNKI"/>
          <w:caps w:val="0"/>
          <w:smallCaps w:val="0"/>
          <w:color w:val="000000" w:themeColor="text1"/>
          <w:spacing w:val="5"/>
          <w:highlight w:val="none"/>
          <w14:textFill>
            <w14:solidFill>
              <w14:schemeClr w14:val="tx1"/>
            </w14:solidFill>
          </w14:textFill>
        </w:rPr>
        <w:t>构筑蓝绿</w:t>
      </w:r>
      <w:r>
        <w:rPr>
          <w:rFonts w:hint="eastAsia" w:ascii="Times New Roman" w:hAnsi="Times New Roman" w:eastAsia="华光小标宋_CNKI"/>
          <w:caps w:val="0"/>
          <w:smallCaps w:val="0"/>
          <w:color w:val="000000" w:themeColor="text1"/>
          <w:spacing w:val="5"/>
          <w:highlight w:val="none"/>
          <w:lang w:val="en-US" w:eastAsia="zh-CN"/>
          <w14:textFill>
            <w14:solidFill>
              <w14:schemeClr w14:val="tx1"/>
            </w14:solidFill>
          </w14:textFill>
        </w:rPr>
        <w:t>交织、</w:t>
      </w:r>
      <w:r>
        <w:rPr>
          <w:rFonts w:hint="eastAsia" w:ascii="Times New Roman" w:hAnsi="Times New Roman" w:eastAsia="华光小标宋_CNKI"/>
          <w:caps w:val="0"/>
          <w:smallCaps w:val="0"/>
          <w:color w:val="000000" w:themeColor="text1"/>
          <w:spacing w:val="5"/>
          <w:highlight w:val="none"/>
          <w14:textFill>
            <w14:solidFill>
              <w14:schemeClr w14:val="tx1"/>
            </w14:solidFill>
          </w14:textFill>
        </w:rPr>
        <w:t>田</w:t>
      </w:r>
      <w:r>
        <w:rPr>
          <w:rFonts w:hint="eastAsia" w:ascii="Times New Roman" w:hAnsi="Times New Roman" w:eastAsia="华光小标宋_CNKI"/>
          <w:caps w:val="0"/>
          <w:smallCaps w:val="0"/>
          <w:color w:val="000000" w:themeColor="text1"/>
          <w:spacing w:val="5"/>
          <w:highlight w:val="none"/>
          <w:lang w:val="en-US" w:eastAsia="zh-CN"/>
          <w14:textFill>
            <w14:solidFill>
              <w14:schemeClr w14:val="tx1"/>
            </w14:solidFill>
          </w14:textFill>
        </w:rPr>
        <w:t>城</w:t>
      </w:r>
      <w:r>
        <w:rPr>
          <w:rFonts w:hint="eastAsia" w:ascii="Times New Roman" w:hAnsi="Times New Roman" w:eastAsia="华光小标宋_CNKI"/>
          <w:caps w:val="0"/>
          <w:smallCaps w:val="0"/>
          <w:color w:val="000000" w:themeColor="text1"/>
          <w:spacing w:val="5"/>
          <w:highlight w:val="none"/>
          <w14:textFill>
            <w14:solidFill>
              <w14:schemeClr w14:val="tx1"/>
            </w14:solidFill>
          </w14:textFill>
        </w:rPr>
        <w:t>相</w:t>
      </w:r>
      <w:r>
        <w:rPr>
          <w:rFonts w:hint="eastAsia" w:ascii="Times New Roman" w:hAnsi="Times New Roman" w:eastAsia="华光小标宋_CNKI"/>
          <w:caps w:val="0"/>
          <w:smallCaps w:val="0"/>
          <w:color w:val="000000" w:themeColor="text1"/>
          <w:spacing w:val="5"/>
          <w:highlight w:val="none"/>
          <w:lang w:val="en-US" w:eastAsia="zh-CN"/>
          <w14:textFill>
            <w14:solidFill>
              <w14:schemeClr w14:val="tx1"/>
            </w14:solidFill>
          </w14:textFill>
        </w:rPr>
        <w:t>拥</w:t>
      </w:r>
      <w:r>
        <w:rPr>
          <w:rFonts w:hint="eastAsia" w:ascii="Times New Roman" w:hAnsi="Times New Roman" w:eastAsia="华光小标宋_CNKI"/>
          <w:caps w:val="0"/>
          <w:smallCaps w:val="0"/>
          <w:color w:val="000000" w:themeColor="text1"/>
          <w:spacing w:val="5"/>
          <w:highlight w:val="none"/>
          <w14:textFill>
            <w14:solidFill>
              <w14:schemeClr w14:val="tx1"/>
            </w14:solidFill>
          </w14:textFill>
        </w:rPr>
        <w:t>生态空间，促进人与自然和谐共生</w:t>
      </w:r>
      <w:bookmarkEnd w:id="33"/>
      <w:bookmarkEnd w:id="34"/>
    </w:p>
    <w:p w14:paraId="26307ACB">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着力提升生态系统多样性、稳定性、持续性，加快实施重要 生态系统保护和修复重大工程，科学开展国土绿化。突出洪河、减河、毛河、申河等重要水系在维护区域生态安全中的重要作用。统筹林资源、水环境、水生态治理，努力促进张庄寨镇人与自然和谐共生。</w:t>
      </w:r>
    </w:p>
    <w:p w14:paraId="5606D1BC">
      <w:pPr>
        <w:pStyle w:val="3"/>
        <w:numPr>
          <w:ilvl w:val="0"/>
          <w:numId w:val="7"/>
        </w:numPr>
        <w:spacing w:before="240" w:after="240"/>
        <w:ind w:left="0" w:firstLine="0"/>
        <w:jc w:val="center"/>
        <w:rPr>
          <w:rFonts w:ascii="Times New Roman" w:hAnsi="Times New Roman" w:eastAsia="黑体"/>
          <w:caps w:val="0"/>
          <w:smallCaps w:val="0"/>
          <w:color w:val="000000" w:themeColor="text1"/>
          <w:highlight w:val="none"/>
          <w:lang w:eastAsia="zh-CN"/>
          <w14:textFill>
            <w14:solidFill>
              <w14:schemeClr w14:val="tx1"/>
            </w14:solidFill>
          </w14:textFill>
        </w:rPr>
      </w:pPr>
      <w:bookmarkStart w:id="35" w:name="_Toc212360797"/>
      <w:bookmarkStart w:id="36" w:name="_Toc9679"/>
      <w:r>
        <w:rPr>
          <w:rFonts w:hint="eastAsia" w:ascii="Times New Roman" w:hAnsi="Times New Roman" w:eastAsia="黑体"/>
          <w:caps w:val="0"/>
          <w:smallCaps w:val="0"/>
          <w:color w:val="000000" w:themeColor="text1"/>
          <w:highlight w:val="none"/>
          <w:lang w:eastAsia="zh-CN"/>
          <w14:textFill>
            <w14:solidFill>
              <w14:schemeClr w14:val="tx1"/>
            </w14:solidFill>
          </w14:textFill>
        </w:rPr>
        <w:t>加强河湖生态管控</w:t>
      </w:r>
      <w:bookmarkEnd w:id="35"/>
      <w:bookmarkEnd w:id="36"/>
    </w:p>
    <w:p w14:paraId="5EA90651">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强化水资源刚性约束</w:t>
      </w:r>
    </w:p>
    <w:p w14:paraId="15643648">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b/>
          <w:bCs/>
          <w:caps w:val="0"/>
          <w:smallCaps w:val="0"/>
          <w:color w:val="000000" w:themeColor="text1"/>
          <w:highlight w:val="none"/>
          <w:lang w:val="en-US" w:eastAsia="zh-CN"/>
          <w14:textFill>
            <w14:solidFill>
              <w14:schemeClr w14:val="tx1"/>
            </w14:solidFill>
          </w14:textFill>
        </w:rPr>
        <w:t>落实用水总量控制指标。</w:t>
      </w: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坚持以水定城、以水定地、以水定人、以水定产的原则，严守用水总量控制，推进水资源总量管理、科学配置、全面节约、循环利用，推行规划水资源论证，严格建设项目水资源论证，强化取用水监管，守住取水红线，确保经济社会发展与水资源承载能力相适应。</w:t>
      </w:r>
    </w:p>
    <w:p w14:paraId="40832E5D">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14:textFill>
            <w14:solidFill>
              <w14:schemeClr w14:val="tx1"/>
            </w14:solidFill>
          </w14:textFill>
        </w:rPr>
        <w:t>实行最严格的水资源管理制度</w:t>
      </w:r>
    </w:p>
    <w:p w14:paraId="03968732">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bookmarkStart w:id="37" w:name="_Hlk150607084"/>
      <w:r>
        <w:rPr>
          <w:rFonts w:hint="eastAsia" w:ascii="Times New Roman" w:hAnsi="Times New Roman" w:eastAsia="仿宋_GB2312" w:cs="Times New Roman"/>
          <w:b/>
          <w:bCs/>
          <w:caps w:val="0"/>
          <w:smallCaps w:val="0"/>
          <w:color w:val="000000" w:themeColor="text1"/>
          <w:highlight w:val="none"/>
          <w:lang w:val="en-US" w:eastAsia="zh-CN"/>
          <w14:textFill>
            <w14:solidFill>
              <w14:schemeClr w14:val="tx1"/>
            </w14:solidFill>
          </w14:textFill>
        </w:rPr>
        <w:t>加强河流和水库保护。</w:t>
      </w: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保护坑塘、河流水面等蓝色空间。严格落实“河长制”制度，坚持保护与防治相结合，以碱河、洪碱河、申沟、王寨沟等为主脉，加强水系连通。加强水域岸线生态空间管控，严格控制非生态用地边界，严禁侵占河流水体、入河口、缓冲带等重要生态用地和生态敏感区。严格管控各类水域岸线利用行为，保护水网肌理，依法依规审批涉河建设项目。</w:t>
      </w:r>
    </w:p>
    <w:bookmarkEnd w:id="37"/>
    <w:p w14:paraId="40CD41BC">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14:textFill>
            <w14:solidFill>
              <w14:schemeClr w14:val="tx1"/>
            </w14:solidFill>
          </w14:textFill>
        </w:rPr>
        <w:t>落实河</w:t>
      </w: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道</w:t>
      </w:r>
      <w:r>
        <w:rPr>
          <w:rFonts w:hint="eastAsia" w:ascii="Times New Roman" w:hAnsi="Times New Roman" w:eastAsia="仿宋"/>
          <w:caps w:val="0"/>
          <w:smallCaps w:val="0"/>
          <w:color w:val="000000" w:themeColor="text1"/>
          <w:w w:val="105"/>
          <w:sz w:val="32"/>
          <w:highlight w:val="none"/>
          <w14:textFill>
            <w14:solidFill>
              <w14:schemeClr w14:val="tx1"/>
            </w14:solidFill>
          </w14:textFill>
        </w:rPr>
        <w:t>管理范围线</w:t>
      </w:r>
    </w:p>
    <w:p w14:paraId="1D5FA875">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加强河道管理范围线管控。对河道等水域空间及其防护空间进行重点保护，</w:t>
      </w:r>
      <w:r>
        <w:rPr>
          <w:rFonts w:hint="eastAsia" w:ascii="Times New Roman" w:hAnsi="Times New Roman" w:eastAsia="仿宋_GB2312" w:cs="Times New Roman"/>
          <w:caps w:val="0"/>
          <w:smallCaps w:val="0"/>
          <w:color w:val="000000" w:themeColor="text1"/>
          <w:highlight w:val="none"/>
          <w:lang w:val="zh-TW" w:eastAsia="zh-CN"/>
          <w14:textFill>
            <w14:solidFill>
              <w14:schemeClr w14:val="tx1"/>
            </w14:solidFill>
          </w14:textFill>
        </w:rPr>
        <w:t>明确管控边界，统筹用途管制、功能布局，合理划分生产、生活和生态岸线，</w:t>
      </w: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严格建设管控。参照《中华人民共和国河道管理条例》的相关要求进行严格管控，确保区域行洪安全。禁止开展除必要的跨河交通、市政设施之外的城镇集中建设活动，水体保护控制线内的现状居民点应有序搬迁至两侧的安全地带。</w:t>
      </w:r>
    </w:p>
    <w:p w14:paraId="79CE5E34">
      <w:pPr>
        <w:pStyle w:val="3"/>
        <w:numPr>
          <w:ilvl w:val="0"/>
          <w:numId w:val="7"/>
        </w:numPr>
        <w:spacing w:before="240" w:after="240"/>
        <w:ind w:left="0" w:firstLine="0"/>
        <w:jc w:val="center"/>
        <w:rPr>
          <w:rFonts w:ascii="Times New Roman" w:hAnsi="Times New Roman" w:eastAsia="黑体"/>
          <w:caps w:val="0"/>
          <w:smallCaps w:val="0"/>
          <w:color w:val="000000" w:themeColor="text1"/>
          <w:highlight w:val="none"/>
          <w:lang w:eastAsia="zh-CN"/>
          <w14:textFill>
            <w14:solidFill>
              <w14:schemeClr w14:val="tx1"/>
            </w14:solidFill>
          </w14:textFill>
        </w:rPr>
      </w:pPr>
      <w:bookmarkStart w:id="38" w:name="_bookmark13"/>
      <w:bookmarkEnd w:id="38"/>
      <w:bookmarkStart w:id="39" w:name="_Toc212360798"/>
      <w:bookmarkStart w:id="40" w:name="_Toc15559"/>
      <w:r>
        <w:rPr>
          <w:rFonts w:hint="eastAsia" w:ascii="Times New Roman" w:hAnsi="Times New Roman" w:eastAsia="黑体"/>
          <w:caps w:val="0"/>
          <w:smallCaps w:val="0"/>
          <w:color w:val="000000" w:themeColor="text1"/>
          <w:highlight w:val="none"/>
          <w:lang w:eastAsia="zh-CN"/>
          <w14:textFill>
            <w14:solidFill>
              <w14:schemeClr w14:val="tx1"/>
            </w14:solidFill>
          </w14:textFill>
        </w:rPr>
        <w:t>构建绿色生态屏障</w:t>
      </w:r>
      <w:bookmarkEnd w:id="39"/>
      <w:bookmarkEnd w:id="40"/>
    </w:p>
    <w:p w14:paraId="7D00D897">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优化调整林地结构</w:t>
      </w:r>
    </w:p>
    <w:p w14:paraId="248201AF">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优化林地资源配置。保障以生产林产品为主体功能的商品林面积，科学调整林地结构，对生态脆弱区林地采用封育等近自然培育技术措施，重点加强镇域林地资源保护，保障优质林地资源面积不减少。</w:t>
      </w:r>
    </w:p>
    <w:p w14:paraId="4745A205">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14:textFill>
            <w14:solidFill>
              <w14:schemeClr w14:val="tx1"/>
            </w14:solidFill>
          </w14:textFill>
        </w:rPr>
        <w:t>加强林地资源保护</w:t>
      </w:r>
    </w:p>
    <w:p w14:paraId="55657873">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bookmarkStart w:id="41" w:name="_Hlk150610266"/>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加强林地资源保护管理。统筹安排和合理使用林地定额，严把项目关口，严格审批制度，严管林地使用，除必须且经审批的工程建设外，严格控制占用林地。严禁毁林开垦，实行占用林地总量控制。在不影响整体森林生态系统功能发挥的前提下，可以按照相关技术规程的规定开展抚育和更新性质的采伐，在不破坏森林植被的前提下，可以合理利用林地资源，适度开展林下种植、养殖和森林游憩等非木质资源开发与利用，科学发展林下经济。</w:t>
      </w:r>
      <w:bookmarkEnd w:id="41"/>
    </w:p>
    <w:p w14:paraId="69D08BD9">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强化林地管控</w:t>
      </w:r>
    </w:p>
    <w:p w14:paraId="37377D68">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强化林地管理，对区域内各类林地实行“总量控制、区域稳定、动态管理、增减平衡”的管理机制。规范林地保护，除必需的工程建设外，严格控制占用森林，不得以其他任何方式改变林地用途。推行集约经营、农林复合经营，在法律允许范围内合理安排各类生产活动，最大限度挖掘林地生产力。</w:t>
      </w:r>
    </w:p>
    <w:p w14:paraId="30CABD6D">
      <w:pPr>
        <w:pStyle w:val="3"/>
        <w:numPr>
          <w:ilvl w:val="0"/>
          <w:numId w:val="7"/>
        </w:numPr>
        <w:spacing w:before="240" w:after="240"/>
        <w:ind w:left="0" w:firstLine="0"/>
        <w:jc w:val="center"/>
        <w:rPr>
          <w:rFonts w:ascii="Times New Roman" w:hAnsi="Times New Roman" w:eastAsia="黑体"/>
          <w:caps w:val="0"/>
          <w:smallCaps w:val="0"/>
          <w:color w:val="000000" w:themeColor="text1"/>
          <w:highlight w:val="none"/>
          <w:lang w:eastAsia="zh-CN"/>
          <w14:textFill>
            <w14:solidFill>
              <w14:schemeClr w14:val="tx1"/>
            </w14:solidFill>
          </w14:textFill>
        </w:rPr>
      </w:pPr>
      <w:bookmarkStart w:id="42" w:name="_Toc212360799"/>
      <w:bookmarkStart w:id="43" w:name="_Toc15046"/>
      <w:r>
        <w:rPr>
          <w:rFonts w:hint="eastAsia" w:ascii="Times New Roman" w:hAnsi="Times New Roman" w:eastAsia="黑体"/>
          <w:caps w:val="0"/>
          <w:smallCaps w:val="0"/>
          <w:color w:val="000000" w:themeColor="text1"/>
          <w:highlight w:val="none"/>
          <w:lang w:eastAsia="zh-CN"/>
          <w14:textFill>
            <w14:solidFill>
              <w14:schemeClr w14:val="tx1"/>
            </w14:solidFill>
          </w14:textFill>
        </w:rPr>
        <w:t>系统实施生态修复</w:t>
      </w:r>
      <w:bookmarkEnd w:id="42"/>
      <w:bookmarkEnd w:id="43"/>
    </w:p>
    <w:p w14:paraId="7B46CB25">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实施造林绿化工程</w:t>
      </w:r>
    </w:p>
    <w:p w14:paraId="313D433A">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依据上位规划安排，在镇域范围内科学推进造林绿化工程。通过实施植树造林、植被恢复等生态措施，有效增加区域森林覆盖率，提升生态系统稳定性。重点开展宜林荒地绿化、通道绿化建设，构建完善的生态防护林体系，增强水源涵养能力，改善区域生态环境质量。</w:t>
      </w:r>
    </w:p>
    <w:p w14:paraId="097C01D1">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推进河湖综合治理工程</w:t>
      </w:r>
    </w:p>
    <w:p w14:paraId="7B7CF4D2">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统筹推进域内重点河湖治理工程，主要包括安徽省沿淮行蓄洪区等其他洼地近期治理工程、萧县洪碱河治理工程等重点项目。通过实施河道疏浚、堤防加固、岸线生态修复等综合治理措施，全面提升区域防洪排涝能力与水生态环境质量。加强水系连通与生态廊道建设，构建健康、完整、稳定的河湖生态系统。</w:t>
      </w:r>
    </w:p>
    <w:p w14:paraId="1D315406">
      <w:pPr>
        <w:rPr>
          <w:rFonts w:hint="eastAsia" w:eastAsia="仿宋_GB2312"/>
          <w:color w:val="000000" w:themeColor="text1"/>
          <w:highlight w:val="none"/>
          <w:lang w:val="en-US" w:eastAsia="zh-CN"/>
          <w14:textFill>
            <w14:solidFill>
              <w14:schemeClr w14:val="tx1"/>
            </w14:solidFill>
          </w14:textFill>
        </w:rPr>
      </w:pPr>
      <w:r>
        <w:rPr>
          <w:rFonts w:eastAsia="仿宋_GB2312"/>
          <w:color w:val="000000" w:themeColor="text1"/>
          <w:highlight w:val="none"/>
          <w:lang w:val="en-US" w:eastAsia="zh-CN"/>
          <w14:textFill>
            <w14:solidFill>
              <w14:schemeClr w14:val="tx1"/>
            </w14:solidFill>
          </w14:textFill>
        </w:rPr>
        <w:br w:type="page"/>
      </w:r>
    </w:p>
    <w:p w14:paraId="087133B0">
      <w:pPr>
        <w:pStyle w:val="2"/>
        <w:spacing w:before="0" w:line="360" w:lineRule="auto"/>
        <w:ind w:left="0" w:firstLine="0"/>
        <w:jc w:val="center"/>
        <w:rPr>
          <w:rFonts w:hint="eastAsia" w:ascii="华光小标宋_CNKI" w:hAnsi="华光小标宋_CNKI" w:eastAsia="华光小标宋_CNKI"/>
          <w:color w:val="000000" w:themeColor="text1"/>
          <w:spacing w:val="5"/>
          <w:highlight w:val="none"/>
          <w14:textFill>
            <w14:solidFill>
              <w14:schemeClr w14:val="tx1"/>
            </w14:solidFill>
          </w14:textFill>
        </w:rPr>
      </w:pPr>
      <w:bookmarkStart w:id="44" w:name="_Toc12163"/>
      <w:r>
        <w:rPr>
          <w:rFonts w:hint="eastAsia" w:ascii="华光小标宋_CNKI" w:hAnsi="华光小标宋_CNKI" w:eastAsia="华光小标宋_CNKI"/>
          <w:color w:val="000000" w:themeColor="text1"/>
          <w:spacing w:val="5"/>
          <w:highlight w:val="none"/>
          <w14:textFill>
            <w14:solidFill>
              <w14:schemeClr w14:val="tx1"/>
            </w14:solidFill>
          </w14:textFill>
        </w:rPr>
        <w:t>促进城乡统筹，建设乡村振兴高地</w:t>
      </w:r>
      <w:bookmarkEnd w:id="44"/>
    </w:p>
    <w:p w14:paraId="79D8A1AE">
      <w:pPr>
        <w:spacing w:line="360" w:lineRule="auto"/>
        <w:rPr>
          <w:rFonts w:hint="eastAsia" w:eastAsia="PMingLiU"/>
          <w:color w:val="000000" w:themeColor="text1"/>
          <w:highlight w:val="none"/>
          <w14:textFill>
            <w14:solidFill>
              <w14:schemeClr w14:val="tx1"/>
            </w14:solidFill>
          </w14:textFill>
        </w:rPr>
      </w:pPr>
    </w:p>
    <w:p w14:paraId="06BF79A4">
      <w:pPr>
        <w:pStyle w:val="13"/>
        <w:spacing w:before="0" w:beforeLines="0" w:line="360" w:lineRule="auto"/>
        <w:ind w:left="0" w:leftChars="0" w:right="110" w:firstLine="681" w:firstLineChars="213"/>
        <w:rPr>
          <w:rFonts w:hint="eastAsia" w:eastAsia="PMingLiU"/>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优化农业农村生产空间、生活空间和生态空间格局，强化村庄规划管控引领，统筹镇域村庄布局，支撑</w:t>
      </w:r>
      <w:r>
        <w:rPr>
          <w:rFonts w:hint="eastAsia" w:eastAsia="仿宋_GB2312"/>
          <w:color w:val="000000" w:themeColor="text1"/>
          <w:highlight w:val="none"/>
          <w:lang w:val="en-US" w:eastAsia="zh-CN"/>
          <w14:textFill>
            <w14:solidFill>
              <w14:schemeClr w14:val="tx1"/>
            </w14:solidFill>
          </w14:textFill>
        </w:rPr>
        <w:t>张庄寨全面</w:t>
      </w:r>
      <w:r>
        <w:rPr>
          <w:rFonts w:hint="eastAsia" w:eastAsia="仿宋_GB2312"/>
          <w:color w:val="000000" w:themeColor="text1"/>
          <w:highlight w:val="none"/>
          <w14:textFill>
            <w14:solidFill>
              <w14:schemeClr w14:val="tx1"/>
            </w14:solidFill>
          </w14:textFill>
        </w:rPr>
        <w:t>实现农业农村现代化，建设宜居宜业和美乡村。</w:t>
      </w:r>
    </w:p>
    <w:p w14:paraId="348943AD">
      <w:pPr>
        <w:pStyle w:val="3"/>
        <w:numPr>
          <w:ilvl w:val="0"/>
          <w:numId w:val="8"/>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45" w:name="_Toc23393"/>
      <w:r>
        <w:rPr>
          <w:rFonts w:hint="eastAsia" w:ascii="黑体" w:hAnsi="黑体" w:eastAsia="黑体"/>
          <w:color w:val="000000" w:themeColor="text1"/>
          <w:highlight w:val="none"/>
          <w:lang w:eastAsia="zh-CN"/>
          <w14:textFill>
            <w14:solidFill>
              <w14:schemeClr w14:val="tx1"/>
            </w14:solidFill>
          </w14:textFill>
        </w:rPr>
        <w:t>优化村庄布局</w:t>
      </w:r>
      <w:bookmarkEnd w:id="45"/>
    </w:p>
    <w:p w14:paraId="10F625B5">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bookmarkStart w:id="46" w:name="_Hlk150612554"/>
      <w:r>
        <w:rPr>
          <w:rFonts w:hint="eastAsia" w:eastAsia="仿宋_GB2312"/>
          <w:color w:val="000000" w:themeColor="text1"/>
          <w:w w:val="105"/>
          <w:sz w:val="32"/>
          <w:highlight w:val="none"/>
          <w14:textFill>
            <w14:solidFill>
              <w14:schemeClr w14:val="tx1"/>
            </w14:solidFill>
          </w14:textFill>
        </w:rPr>
        <w:t>完善镇村体系</w:t>
      </w:r>
      <w:bookmarkEnd w:id="46"/>
    </w:p>
    <w:p w14:paraId="4E114CC5">
      <w:pPr>
        <w:pStyle w:val="13"/>
        <w:spacing w:before="0" w:beforeLines="0" w:line="360" w:lineRule="auto"/>
        <w:ind w:left="0" w:leftChars="0" w:right="110" w:firstLine="681" w:firstLineChars="213"/>
        <w:rPr>
          <w:rFonts w:hint="eastAsia" w:eastAsia="PMingLiU"/>
          <w:color w:val="000000" w:themeColor="text1"/>
          <w:highlight w:val="none"/>
          <w14:textFill>
            <w14:solidFill>
              <w14:schemeClr w14:val="tx1"/>
            </w14:solidFill>
          </w14:textFill>
        </w:rPr>
      </w:pPr>
      <w:bookmarkStart w:id="47" w:name="_Hlk150612547"/>
      <w:r>
        <w:rPr>
          <w:rFonts w:eastAsia="仿宋_GB2312"/>
          <w:color w:val="000000" w:themeColor="text1"/>
          <w:highlight w:val="none"/>
          <w14:textFill>
            <w14:solidFill>
              <w14:schemeClr w14:val="tx1"/>
            </w14:solidFill>
          </w14:textFill>
        </w:rPr>
        <w:t>构建“镇政府驻地—中心村—自然村”的村庄居民点布局体系</w:t>
      </w: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，形成“1+16+132”的布局模式</w:t>
      </w:r>
      <w:r>
        <w:rPr>
          <w:rFonts w:eastAsia="仿宋_GB2312"/>
          <w:color w:val="000000" w:themeColor="text1"/>
          <w:highlight w:val="none"/>
          <w14:textFill>
            <w14:solidFill>
              <w14:schemeClr w14:val="tx1"/>
            </w14:solidFill>
          </w14:textFill>
        </w:rPr>
        <w:t>。</w:t>
      </w:r>
      <w:bookmarkEnd w:id="47"/>
      <w:r>
        <w:rPr>
          <w:rFonts w:eastAsia="仿宋_GB2312"/>
          <w:color w:val="000000" w:themeColor="text1"/>
          <w:highlight w:val="none"/>
          <w14:textFill>
            <w14:solidFill>
              <w14:schemeClr w14:val="tx1"/>
            </w14:solidFill>
          </w14:textFill>
        </w:rPr>
        <w:t>发挥</w:t>
      </w:r>
      <w:r>
        <w:rPr>
          <w:rFonts w:hint="eastAsia" w:eastAsia="仿宋_GB2312"/>
          <w:color w:val="000000" w:themeColor="text1"/>
          <w:highlight w:val="none"/>
          <w:lang w:eastAsia="zh-CN"/>
          <w14:textFill>
            <w14:solidFill>
              <w14:schemeClr w14:val="tx1"/>
            </w14:solidFill>
          </w14:textFill>
        </w:rPr>
        <w:t>镇区</w:t>
      </w:r>
      <w:r>
        <w:rPr>
          <w:rFonts w:eastAsia="仿宋_GB2312"/>
          <w:color w:val="000000" w:themeColor="text1"/>
          <w:highlight w:val="none"/>
          <w14:textFill>
            <w14:solidFill>
              <w14:schemeClr w14:val="tx1"/>
            </w14:solidFill>
          </w14:textFill>
        </w:rPr>
        <w:t>在城镇化中的带动作用，以</w:t>
      </w:r>
      <w:r>
        <w:rPr>
          <w:rFonts w:hint="eastAsia" w:eastAsia="仿宋_GB2312"/>
          <w:color w:val="000000" w:themeColor="text1"/>
          <w:highlight w:val="none"/>
          <w:lang w:eastAsia="zh-CN"/>
          <w14:textFill>
            <w14:solidFill>
              <w14:schemeClr w14:val="tx1"/>
            </w14:solidFill>
          </w14:textFill>
        </w:rPr>
        <w:t>张庄寨镇</w:t>
      </w:r>
      <w:r>
        <w:rPr>
          <w:rFonts w:hint="eastAsia" w:eastAsia="仿宋_GB2312"/>
          <w:color w:val="000000" w:themeColor="text1"/>
          <w:highlight w:val="none"/>
          <w:lang w:val="en-US" w:eastAsia="zh-CN"/>
          <w14:textFill>
            <w14:solidFill>
              <w14:schemeClr w14:val="tx1"/>
            </w14:solidFill>
          </w14:textFill>
        </w:rPr>
        <w:t>镇区区域</w:t>
      </w:r>
      <w:r>
        <w:rPr>
          <w:rFonts w:eastAsia="仿宋_GB2312"/>
          <w:color w:val="000000" w:themeColor="text1"/>
          <w:highlight w:val="none"/>
          <w14:textFill>
            <w14:solidFill>
              <w14:schemeClr w14:val="tx1"/>
            </w14:solidFill>
          </w14:textFill>
        </w:rPr>
        <w:t>为引领</w:t>
      </w:r>
      <w:r>
        <w:rPr>
          <w:rFonts w:hint="eastAsia" w:eastAsia="仿宋_GB2312"/>
          <w:color w:val="000000" w:themeColor="text1"/>
          <w:highlight w:val="none"/>
          <w14:textFill>
            <w14:solidFill>
              <w14:schemeClr w14:val="tx1"/>
            </w14:solidFill>
          </w14:textFill>
        </w:rPr>
        <w:t>，全面</w:t>
      </w:r>
      <w:r>
        <w:rPr>
          <w:rFonts w:eastAsia="仿宋_GB2312"/>
          <w:color w:val="000000" w:themeColor="text1"/>
          <w:highlight w:val="none"/>
          <w14:textFill>
            <w14:solidFill>
              <w14:schemeClr w14:val="tx1"/>
            </w14:solidFill>
          </w14:textFill>
        </w:rPr>
        <w:t>提升</w:t>
      </w:r>
      <w:r>
        <w:rPr>
          <w:rFonts w:hint="eastAsia" w:eastAsia="仿宋_GB2312"/>
          <w:color w:val="000000" w:themeColor="text1"/>
          <w:highlight w:val="none"/>
          <w14:textFill>
            <w14:solidFill>
              <w14:schemeClr w14:val="tx1"/>
            </w14:solidFill>
          </w14:textFill>
        </w:rPr>
        <w:t>城乡生活圈公共服务水平</w:t>
      </w:r>
      <w:r>
        <w:rPr>
          <w:rFonts w:eastAsia="仿宋_GB2312"/>
          <w:color w:val="000000" w:themeColor="text1"/>
          <w:highlight w:val="none"/>
          <w14:textFill>
            <w14:solidFill>
              <w14:schemeClr w14:val="tx1"/>
            </w14:solidFill>
          </w14:textFill>
        </w:rPr>
        <w:t>。</w:t>
      </w:r>
    </w:p>
    <w:tbl>
      <w:tblPr>
        <w:tblStyle w:val="3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980"/>
      </w:tblGrid>
      <w:tr w14:paraId="0B22D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5000" w:type="pct"/>
          </w:tcPr>
          <w:p w14:paraId="08BB0E5E">
            <w:pPr>
              <w:pStyle w:val="37"/>
              <w:spacing w:line="360" w:lineRule="auto"/>
              <w:ind w:firstLine="599" w:firstLineChars="213"/>
              <w:jc w:val="center"/>
              <w:rPr>
                <w:rFonts w:hint="eastAsia"/>
                <w:b/>
                <w:color w:val="000000" w:themeColor="text1"/>
                <w:sz w:val="28"/>
                <w:highlight w:val="none"/>
                <w14:textFill>
                  <w14:solidFill>
                    <w14:schemeClr w14:val="tx1"/>
                  </w14:solidFill>
                </w14:textFill>
              </w:rPr>
            </w:pPr>
            <w:r>
              <w:rPr>
                <w:rFonts w:eastAsia="仿宋_GB2312"/>
                <w:b/>
                <w:color w:val="000000" w:themeColor="text1"/>
                <w:sz w:val="28"/>
                <w:highlight w:val="none"/>
                <w14:textFill>
                  <w14:solidFill>
                    <w14:schemeClr w14:val="tx1"/>
                  </w14:solidFill>
                </w14:textFill>
              </w:rPr>
              <w:t>专栏：</w:t>
            </w:r>
            <w:r>
              <w:rPr>
                <w:rFonts w:hint="eastAsia" w:eastAsia="仿宋_GB2312"/>
                <w:b/>
                <w:color w:val="000000" w:themeColor="text1"/>
                <w:sz w:val="28"/>
                <w:highlight w:val="none"/>
                <w14:textFill>
                  <w14:solidFill>
                    <w14:schemeClr w14:val="tx1"/>
                  </w14:solidFill>
                </w14:textFill>
              </w:rPr>
              <w:t>居民点</w:t>
            </w:r>
            <w:r>
              <w:rPr>
                <w:rFonts w:eastAsia="仿宋_GB2312"/>
                <w:b/>
                <w:color w:val="000000" w:themeColor="text1"/>
                <w:sz w:val="28"/>
                <w:highlight w:val="none"/>
                <w14:textFill>
                  <w14:solidFill>
                    <w14:schemeClr w14:val="tx1"/>
                  </w14:solidFill>
                </w14:textFill>
              </w:rPr>
              <w:t>体系</w:t>
            </w:r>
            <w:r>
              <w:rPr>
                <w:rFonts w:hint="eastAsia" w:eastAsia="仿宋_GB2312"/>
                <w:b/>
                <w:color w:val="000000" w:themeColor="text1"/>
                <w:sz w:val="28"/>
                <w:highlight w:val="none"/>
                <w14:textFill>
                  <w14:solidFill>
                    <w14:schemeClr w14:val="tx1"/>
                  </w14:solidFill>
                </w14:textFill>
              </w:rPr>
              <w:t>布局</w:t>
            </w:r>
            <w:r>
              <w:rPr>
                <w:rFonts w:eastAsia="仿宋_GB2312"/>
                <w:b/>
                <w:color w:val="000000" w:themeColor="text1"/>
                <w:sz w:val="28"/>
                <w:highlight w:val="none"/>
                <w14:textFill>
                  <w14:solidFill>
                    <w14:schemeClr w14:val="tx1"/>
                  </w14:solidFill>
                </w14:textFill>
              </w:rPr>
              <w:t>引导</w:t>
            </w:r>
          </w:p>
        </w:tc>
      </w:tr>
      <w:tr w14:paraId="18D73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1" w:hRule="atLeast"/>
        </w:trPr>
        <w:tc>
          <w:tcPr>
            <w:tcW w:w="5000" w:type="pct"/>
          </w:tcPr>
          <w:p w14:paraId="526E5FDE">
            <w:pPr>
              <w:pStyle w:val="37"/>
              <w:spacing w:line="360" w:lineRule="auto"/>
              <w:ind w:right="99" w:firstLine="566" w:firstLineChars="213"/>
              <w:jc w:val="both"/>
              <w:rPr>
                <w:rFonts w:hint="eastAsia" w:eastAsia="仿宋_GB2312"/>
                <w:color w:val="000000" w:themeColor="text1"/>
                <w:sz w:val="28"/>
                <w:highlight w:val="none"/>
                <w14:textFill>
                  <w14:solidFill>
                    <w14:schemeClr w14:val="tx1"/>
                  </w14:solidFill>
                </w14:textFill>
              </w:rPr>
            </w:pPr>
            <w:bookmarkStart w:id="48" w:name="_Hlk150612566"/>
            <w:r>
              <w:rPr>
                <w:rFonts w:hint="eastAsia" w:eastAsia="仿宋_GB2312"/>
                <w:color w:val="000000" w:themeColor="text1"/>
                <w:w w:val="95"/>
                <w:sz w:val="28"/>
                <w:highlight w:val="none"/>
                <w14:textFill>
                  <w14:solidFill>
                    <w14:schemeClr w14:val="tx1"/>
                  </w14:solidFill>
                </w14:textFill>
              </w:rPr>
              <w:t>镇政府驻地</w:t>
            </w:r>
            <w:bookmarkEnd w:id="48"/>
            <w:r>
              <w:rPr>
                <w:rFonts w:hint="eastAsia" w:eastAsia="仿宋_GB2312"/>
                <w:color w:val="000000" w:themeColor="text1"/>
                <w:w w:val="95"/>
                <w:sz w:val="28"/>
                <w:highlight w:val="none"/>
                <w:lang w:eastAsia="zh-CN"/>
                <w14:textFill>
                  <w14:solidFill>
                    <w14:schemeClr w14:val="tx1"/>
                  </w14:solidFill>
                </w14:textFill>
              </w:rPr>
              <w:t>：</w:t>
            </w:r>
            <w:r>
              <w:rPr>
                <w:rFonts w:hint="eastAsia" w:eastAsia="仿宋_GB2312"/>
                <w:color w:val="000000" w:themeColor="text1"/>
                <w:w w:val="95"/>
                <w:sz w:val="28"/>
                <w:highlight w:val="none"/>
                <w14:textFill>
                  <w14:solidFill>
                    <w14:schemeClr w14:val="tx1"/>
                  </w14:solidFill>
                </w14:textFill>
              </w:rPr>
              <w:t>为</w:t>
            </w:r>
            <w:r>
              <w:rPr>
                <w:rFonts w:hint="eastAsia" w:eastAsia="仿宋_GB2312"/>
                <w:color w:val="000000" w:themeColor="text1"/>
                <w:w w:val="95"/>
                <w:sz w:val="28"/>
                <w:highlight w:val="none"/>
                <w:lang w:eastAsia="zh-CN"/>
                <w14:textFill>
                  <w14:solidFill>
                    <w14:schemeClr w14:val="tx1"/>
                  </w14:solidFill>
                </w14:textFill>
              </w:rPr>
              <w:t>张庄寨镇</w:t>
            </w:r>
            <w:r>
              <w:rPr>
                <w:rFonts w:hint="eastAsia" w:eastAsia="仿宋_GB2312"/>
                <w:color w:val="000000" w:themeColor="text1"/>
                <w:w w:val="95"/>
                <w:sz w:val="28"/>
                <w:highlight w:val="none"/>
                <w14:textFill>
                  <w14:solidFill>
                    <w14:schemeClr w14:val="tx1"/>
                  </w14:solidFill>
                </w14:textFill>
              </w:rPr>
              <w:t>政府驻地</w:t>
            </w:r>
            <w:r>
              <w:rPr>
                <w:rFonts w:hint="eastAsia" w:eastAsia="仿宋_GB2312"/>
                <w:color w:val="000000" w:themeColor="text1"/>
                <w:w w:val="95"/>
                <w:sz w:val="28"/>
                <w:highlight w:val="none"/>
                <w:lang w:eastAsia="zh-CN"/>
                <w14:textFill>
                  <w14:solidFill>
                    <w14:schemeClr w14:val="tx1"/>
                  </w14:solidFill>
                </w14:textFill>
              </w:rPr>
              <w:t>，</w:t>
            </w:r>
            <w:r>
              <w:rPr>
                <w:rFonts w:hint="eastAsia" w:eastAsia="仿宋_GB2312"/>
                <w:color w:val="000000" w:themeColor="text1"/>
                <w:w w:val="95"/>
                <w:sz w:val="28"/>
                <w:highlight w:val="none"/>
                <w:lang w:val="en-US" w:eastAsia="zh-CN"/>
                <w14:textFill>
                  <w14:solidFill>
                    <w14:schemeClr w14:val="tx1"/>
                  </w14:solidFill>
                </w14:textFill>
              </w:rPr>
              <w:t>是</w:t>
            </w:r>
            <w:r>
              <w:rPr>
                <w:rFonts w:hint="eastAsia" w:eastAsia="仿宋_GB2312"/>
                <w:color w:val="000000" w:themeColor="text1"/>
                <w:w w:val="95"/>
                <w:sz w:val="28"/>
                <w:highlight w:val="none"/>
                <w:lang w:eastAsia="zh-CN"/>
                <w14:textFill>
                  <w14:solidFill>
                    <w14:schemeClr w14:val="tx1"/>
                  </w14:solidFill>
                </w14:textFill>
              </w:rPr>
              <w:t>张庄寨镇</w:t>
            </w:r>
            <w:r>
              <w:rPr>
                <w:rFonts w:eastAsia="仿宋_GB2312"/>
                <w:color w:val="000000" w:themeColor="text1"/>
                <w:w w:val="95"/>
                <w:sz w:val="28"/>
                <w:highlight w:val="none"/>
                <w14:textFill>
                  <w14:solidFill>
                    <w14:schemeClr w14:val="tx1"/>
                  </w14:solidFill>
                </w14:textFill>
              </w:rPr>
              <w:t>的党政机关所在地，镇域的政治、经济、文化中心。承担着镇域的管理职能、工贸职能、服</w:t>
            </w:r>
            <w:r>
              <w:rPr>
                <w:rFonts w:eastAsia="仿宋_GB2312"/>
                <w:color w:val="000000" w:themeColor="text1"/>
                <w:sz w:val="28"/>
                <w:highlight w:val="none"/>
                <w14:textFill>
                  <w14:solidFill>
                    <w14:schemeClr w14:val="tx1"/>
                  </w14:solidFill>
                </w14:textFill>
              </w:rPr>
              <w:t>务职能和居住职能。</w:t>
            </w:r>
          </w:p>
          <w:p w14:paraId="6F60A7EE">
            <w:pPr>
              <w:pStyle w:val="37"/>
              <w:spacing w:line="360" w:lineRule="auto"/>
              <w:ind w:right="103" w:firstLine="528" w:firstLineChars="213"/>
              <w:jc w:val="both"/>
              <w:rPr>
                <w:rFonts w:hint="eastAsia" w:eastAsia="仿宋_GB2312"/>
                <w:color w:val="000000" w:themeColor="text1"/>
                <w:spacing w:val="-9"/>
                <w:w w:val="95"/>
                <w:sz w:val="28"/>
                <w:highlight w:val="none"/>
                <w14:textFill>
                  <w14:solidFill>
                    <w14:schemeClr w14:val="tx1"/>
                  </w14:solidFill>
                </w14:textFill>
              </w:rPr>
            </w:pPr>
            <w:bookmarkStart w:id="49" w:name="_Hlk150612579"/>
            <w:r>
              <w:rPr>
                <w:rFonts w:hint="eastAsia" w:eastAsia="仿宋_GB2312"/>
                <w:color w:val="000000" w:themeColor="text1"/>
                <w:spacing w:val="-9"/>
                <w:w w:val="95"/>
                <w:sz w:val="28"/>
                <w:highlight w:val="none"/>
                <w14:textFill>
                  <w14:solidFill>
                    <w14:schemeClr w14:val="tx1"/>
                  </w14:solidFill>
                </w14:textFill>
              </w:rPr>
              <w:t>中心村</w:t>
            </w:r>
            <w:bookmarkEnd w:id="49"/>
            <w:r>
              <w:rPr>
                <w:rFonts w:hint="eastAsia" w:eastAsia="仿宋_GB2312"/>
                <w:color w:val="000000" w:themeColor="text1"/>
                <w:spacing w:val="-9"/>
                <w:w w:val="95"/>
                <w:sz w:val="28"/>
                <w:highlight w:val="none"/>
                <w:lang w:eastAsia="zh-CN"/>
                <w14:textFill>
                  <w14:solidFill>
                    <w14:schemeClr w14:val="tx1"/>
                  </w14:solidFill>
                </w14:textFill>
              </w:rPr>
              <w:t>：</w:t>
            </w:r>
            <w:r>
              <w:rPr>
                <w:rFonts w:eastAsia="仿宋_GB2312"/>
                <w:color w:val="000000" w:themeColor="text1"/>
                <w:spacing w:val="-9"/>
                <w:w w:val="95"/>
                <w:sz w:val="28"/>
                <w:highlight w:val="none"/>
                <w14:textFill>
                  <w14:solidFill>
                    <w14:schemeClr w14:val="tx1"/>
                  </w14:solidFill>
                </w14:textFill>
              </w:rPr>
              <w:t>为各行政村村民委员会所在地，</w:t>
            </w:r>
            <w:r>
              <w:rPr>
                <w:rFonts w:hint="eastAsia" w:eastAsia="仿宋_GB2312"/>
                <w:color w:val="000000" w:themeColor="text1"/>
                <w:spacing w:val="-9"/>
                <w:w w:val="95"/>
                <w:sz w:val="28"/>
                <w:highlight w:val="none"/>
                <w14:textFill>
                  <w14:solidFill>
                    <w14:schemeClr w14:val="tx1"/>
                  </w14:solidFill>
                </w14:textFill>
              </w:rPr>
              <w:t>是</w:t>
            </w:r>
            <w:r>
              <w:rPr>
                <w:rFonts w:eastAsia="仿宋_GB2312"/>
                <w:color w:val="000000" w:themeColor="text1"/>
                <w:spacing w:val="-9"/>
                <w:w w:val="95"/>
                <w:sz w:val="28"/>
                <w:highlight w:val="none"/>
                <w14:textFill>
                  <w14:solidFill>
                    <w14:schemeClr w14:val="tx1"/>
                  </w14:solidFill>
                </w14:textFill>
              </w:rPr>
              <w:t>各行政村中规模相对较大，配套设施较为齐全的村庄。</w:t>
            </w:r>
          </w:p>
          <w:p w14:paraId="6A173EF5">
            <w:pPr>
              <w:pStyle w:val="37"/>
              <w:spacing w:line="360" w:lineRule="auto"/>
              <w:ind w:right="103" w:firstLine="566" w:firstLineChars="213"/>
              <w:jc w:val="both"/>
              <w:rPr>
                <w:rFonts w:hint="eastAsia" w:eastAsia="PMingLiU"/>
                <w:color w:val="000000" w:themeColor="text1"/>
                <w:sz w:val="28"/>
                <w:highlight w:val="none"/>
                <w14:textFill>
                  <w14:solidFill>
                    <w14:schemeClr w14:val="tx1"/>
                  </w14:solidFill>
                </w14:textFill>
              </w:rPr>
            </w:pPr>
            <w:bookmarkStart w:id="50" w:name="_Hlk150612591"/>
            <w:r>
              <w:rPr>
                <w:rFonts w:hint="eastAsia" w:eastAsia="仿宋_GB2312"/>
                <w:color w:val="000000" w:themeColor="text1"/>
                <w:w w:val="95"/>
                <w:sz w:val="28"/>
                <w:highlight w:val="none"/>
                <w14:textFill>
                  <w14:solidFill>
                    <w14:schemeClr w14:val="tx1"/>
                  </w14:solidFill>
                </w14:textFill>
              </w:rPr>
              <w:t>自然村</w:t>
            </w:r>
            <w:bookmarkEnd w:id="50"/>
            <w:r>
              <w:rPr>
                <w:rFonts w:hint="eastAsia" w:eastAsia="仿宋_GB2312"/>
                <w:color w:val="000000" w:themeColor="text1"/>
                <w:w w:val="95"/>
                <w:sz w:val="28"/>
                <w:highlight w:val="none"/>
                <w:lang w:eastAsia="zh-CN"/>
                <w14:textFill>
                  <w14:solidFill>
                    <w14:schemeClr w14:val="tx1"/>
                  </w14:solidFill>
                </w14:textFill>
              </w:rPr>
              <w:t>：</w:t>
            </w:r>
            <w:r>
              <w:rPr>
                <w:rFonts w:hint="eastAsia" w:eastAsia="仿宋_GB2312"/>
                <w:color w:val="000000" w:themeColor="text1"/>
                <w:w w:val="95"/>
                <w:sz w:val="28"/>
                <w:highlight w:val="none"/>
                <w14:textFill>
                  <w14:solidFill>
                    <w14:schemeClr w14:val="tx1"/>
                  </w14:solidFill>
                </w14:textFill>
              </w:rPr>
              <w:t>为</w:t>
            </w:r>
            <w:r>
              <w:rPr>
                <w:rFonts w:eastAsia="仿宋_GB2312"/>
                <w:color w:val="000000" w:themeColor="text1"/>
                <w:w w:val="95"/>
                <w:sz w:val="28"/>
                <w:highlight w:val="none"/>
                <w14:textFill>
                  <w14:solidFill>
                    <w14:schemeClr w14:val="tx1"/>
                  </w14:solidFill>
                </w14:textFill>
              </w:rPr>
              <w:t>农民居住的集聚点，</w:t>
            </w:r>
            <w:r>
              <w:rPr>
                <w:rFonts w:hint="eastAsia" w:eastAsia="仿宋_GB2312"/>
                <w:color w:val="000000" w:themeColor="text1"/>
                <w:w w:val="95"/>
                <w:sz w:val="28"/>
                <w:highlight w:val="none"/>
                <w14:textFill>
                  <w14:solidFill>
                    <w14:schemeClr w14:val="tx1"/>
                  </w14:solidFill>
                </w14:textFill>
              </w:rPr>
              <w:t>承担</w:t>
            </w:r>
            <w:r>
              <w:rPr>
                <w:rFonts w:eastAsia="仿宋_GB2312"/>
                <w:color w:val="000000" w:themeColor="text1"/>
                <w:w w:val="95"/>
                <w:sz w:val="28"/>
                <w:highlight w:val="none"/>
                <w14:textFill>
                  <w14:solidFill>
                    <w14:schemeClr w14:val="tx1"/>
                  </w14:solidFill>
                </w14:textFill>
              </w:rPr>
              <w:t>农村基本生活职能，主要从事农业和家庭副业。</w:t>
            </w:r>
          </w:p>
        </w:tc>
      </w:tr>
    </w:tbl>
    <w:p w14:paraId="12E3FC7C">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严格控制村庄建设用地规模</w:t>
      </w:r>
    </w:p>
    <w:p w14:paraId="7F240D25">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以上位国土空间总体规划确定的乡镇建设用地规模为依据，结合现状用地规模、乡镇发展目标、产业用地需求，合理分解镇政府驻地、各行政村村庄建设用地规模。根据不同类型村庄发展用地需求，科学确定村庄建设用地增量和减量空间布局，划定村庄建设边界，合理分解确定村庄建设用地规模，做好建设和复垦等实施时序安排。</w:t>
      </w:r>
    </w:p>
    <w:p w14:paraId="4FEBBE65">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14:textFill>
            <w14:solidFill>
              <w14:schemeClr w14:val="tx1"/>
            </w14:solidFill>
          </w14:textFill>
        </w:rPr>
        <w:t>合理划定村庄建设边界</w:t>
      </w:r>
    </w:p>
    <w:p w14:paraId="21F415B7">
      <w:pPr>
        <w:pStyle w:val="13"/>
        <w:spacing w:before="0" w:beforeLines="0" w:line="360" w:lineRule="auto"/>
        <w:ind w:left="0" w:leftChars="0" w:right="110" w:firstLine="640" w:firstLineChars="0"/>
        <w:contextualSpacing/>
        <w:rPr>
          <w:rFonts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规划期内镇域新增用地的农民建房、农村基本公共服务设施，不应超出村庄建设边界。确需选址在村庄建设边界外的少量乡村基础设施、零星乡村产业用地，将所涉用地规模纳入村庄建设边界新增潜力空间统筹核算，并相应调整或缩减村庄建设边界。未划入村庄建设边界的现状建设用地，应以保留和缩减为主，严格控制翻建、改建、扩建等行为。在落实“三区三线”等管控要求、不改变本规划确定的村庄分类、村庄建设边界规模的前提下，可在村庄规划编制中实事求是细化、优化村庄建设边界和村庄用地布局，在村庄规划依法批准后，相应更新校正国土空间规划“一张图”。</w:t>
      </w:r>
    </w:p>
    <w:p w14:paraId="7CD033C9">
      <w:pPr>
        <w:pStyle w:val="3"/>
        <w:numPr>
          <w:ilvl w:val="0"/>
          <w:numId w:val="8"/>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51" w:name="_Toc28033"/>
      <w:r>
        <w:rPr>
          <w:rFonts w:hint="eastAsia" w:ascii="黑体" w:hAnsi="黑体" w:eastAsia="黑体"/>
          <w:color w:val="000000" w:themeColor="text1"/>
          <w:highlight w:val="none"/>
          <w:lang w:eastAsia="zh-CN"/>
          <w14:textFill>
            <w14:solidFill>
              <w14:schemeClr w14:val="tx1"/>
            </w14:solidFill>
          </w14:textFill>
        </w:rPr>
        <w:t>优化城乡公共服务设施配置</w:t>
      </w:r>
      <w:bookmarkEnd w:id="51"/>
    </w:p>
    <w:p w14:paraId="5A5FA266">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合理配置城乡</w:t>
      </w:r>
      <w:r>
        <w:rPr>
          <w:rFonts w:eastAsia="仿宋_GB2312"/>
          <w:color w:val="000000" w:themeColor="text1"/>
          <w:w w:val="105"/>
          <w:sz w:val="32"/>
          <w:highlight w:val="none"/>
          <w14:textFill>
            <w14:solidFill>
              <w14:schemeClr w14:val="tx1"/>
            </w14:solidFill>
          </w14:textFill>
        </w:rPr>
        <w:t>公共服务设施</w:t>
      </w:r>
    </w:p>
    <w:p w14:paraId="21E610FA">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建立“镇区—中心村—自然村”三级公共服务体系，构建30—15—5分钟生活圈，重点加强镇级和社区级公共服务设施的建设，提高设施服务水平。公共设施适度集中布局，功能混合，形成可识别的组团中心和社区中心</w:t>
      </w:r>
      <w:r>
        <w:rPr>
          <w:rFonts w:eastAsia="仿宋_GB2312"/>
          <w:color w:val="000000" w:themeColor="text1"/>
          <w:highlight w:val="none"/>
          <w14:textFill>
            <w14:solidFill>
              <w14:schemeClr w14:val="tx1"/>
            </w14:solidFill>
          </w14:textFill>
        </w:rPr>
        <w:t>。</w:t>
      </w:r>
    </w:p>
    <w:p w14:paraId="12260C35">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优化</w:t>
      </w:r>
      <w:r>
        <w:rPr>
          <w:rFonts w:eastAsia="仿宋_GB2312"/>
          <w:color w:val="000000" w:themeColor="text1"/>
          <w:w w:val="105"/>
          <w:sz w:val="32"/>
          <w:highlight w:val="none"/>
          <w14:textFill>
            <w14:solidFill>
              <w14:schemeClr w14:val="tx1"/>
            </w14:solidFill>
          </w14:textFill>
        </w:rPr>
        <w:t>各类公共服务设施布局</w:t>
      </w:r>
    </w:p>
    <w:p w14:paraId="58AF085F">
      <w:pPr>
        <w:pStyle w:val="13"/>
        <w:spacing w:before="0" w:beforeLines="0" w:line="360" w:lineRule="auto"/>
        <w:ind w:left="0" w:leftChars="0" w:right="110" w:firstLine="681" w:firstLineChars="213"/>
        <w:rPr>
          <w:rFonts w:hint="eastAsia" w:eastAsia="PMingLiU"/>
          <w:color w:val="000000" w:themeColor="text1"/>
          <w:highlight w:val="none"/>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1.</w:t>
      </w:r>
      <w:r>
        <w:rPr>
          <w:rFonts w:eastAsia="仿宋_GB2312"/>
          <w:color w:val="000000" w:themeColor="text1"/>
          <w:highlight w:val="none"/>
          <w14:textFill>
            <w14:solidFill>
              <w14:schemeClr w14:val="tx1"/>
            </w14:solidFill>
          </w14:textFill>
        </w:rPr>
        <w:t>教育服务设施</w:t>
      </w:r>
    </w:p>
    <w:p w14:paraId="4DE10A6A">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普及学前三年教育，合并改造现有小学，实现校校达标。扩建张庄寨中学和中心小学，改善办学条件。</w:t>
      </w:r>
    </w:p>
    <w:p w14:paraId="4D595F8C">
      <w:pPr>
        <w:pStyle w:val="13"/>
        <w:spacing w:before="0" w:beforeLines="0" w:line="360" w:lineRule="auto"/>
        <w:ind w:left="0" w:leftChars="0" w:right="110" w:firstLine="681" w:firstLineChars="213"/>
        <w:rPr>
          <w:rFonts w:hint="eastAsia" w:eastAsia="PMingLiU"/>
          <w:color w:val="000000" w:themeColor="text1"/>
          <w:highlight w:val="none"/>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2.</w:t>
      </w:r>
      <w:r>
        <w:rPr>
          <w:rFonts w:eastAsia="仿宋_GB2312"/>
          <w:color w:val="000000" w:themeColor="text1"/>
          <w:highlight w:val="none"/>
          <w14:textFill>
            <w14:solidFill>
              <w14:schemeClr w14:val="tx1"/>
            </w14:solidFill>
          </w14:textFill>
        </w:rPr>
        <w:t>文化娱乐设施</w:t>
      </w:r>
    </w:p>
    <w:p w14:paraId="78B34BEE">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 xml:space="preserve"> 建立健全“镇级—（社区）村级”城乡文化服务体系。配置综合文化站和文化管理用房。</w:t>
      </w:r>
      <w:r>
        <w:rPr>
          <w:rFonts w:hint="eastAsia" w:eastAsia="仿宋_GB2312"/>
          <w:color w:val="000000" w:themeColor="text1"/>
          <w:highlight w:val="none"/>
          <w:lang w:val="en-US" w:eastAsia="zh-CN"/>
          <w14:textFill>
            <w14:solidFill>
              <w14:schemeClr w14:val="tx1"/>
            </w14:solidFill>
          </w14:textFill>
        </w:rPr>
        <w:t>乡镇</w:t>
      </w:r>
      <w:r>
        <w:rPr>
          <w:rFonts w:eastAsia="仿宋_GB2312"/>
          <w:color w:val="000000" w:themeColor="text1"/>
          <w:highlight w:val="none"/>
          <w14:textFill>
            <w14:solidFill>
              <w14:schemeClr w14:val="tx1"/>
            </w14:solidFill>
          </w14:textFill>
        </w:rPr>
        <w:t>配置建筑面积不低于</w:t>
      </w:r>
      <w:r>
        <w:rPr>
          <w:rFonts w:eastAsia="PMingLiU"/>
          <w:color w:val="000000" w:themeColor="text1"/>
          <w:highlight w:val="none"/>
          <w14:textFill>
            <w14:solidFill>
              <w14:schemeClr w14:val="tx1"/>
            </w14:solidFill>
          </w14:textFill>
        </w:rPr>
        <w:t>1500</w:t>
      </w:r>
      <w:r>
        <w:rPr>
          <w:rFonts w:eastAsia="仿宋_GB2312"/>
          <w:color w:val="000000" w:themeColor="text1"/>
          <w:highlight w:val="none"/>
          <w14:textFill>
            <w14:solidFill>
              <w14:schemeClr w14:val="tx1"/>
            </w14:solidFill>
          </w14:textFill>
        </w:rPr>
        <w:t>㎡的综合文化站，中心村配置建筑面积不低于150㎡的</w:t>
      </w:r>
      <w:r>
        <w:rPr>
          <w:rFonts w:hint="eastAsia" w:eastAsia="仿宋_GB2312"/>
          <w:color w:val="000000" w:themeColor="text1"/>
          <w:highlight w:val="none"/>
          <w:lang w:val="en-US" w:eastAsia="zh-CN"/>
          <w14:textFill>
            <w14:solidFill>
              <w14:schemeClr w14:val="tx1"/>
            </w14:solidFill>
          </w14:textFill>
        </w:rPr>
        <w:t>文化管理用房</w:t>
      </w:r>
      <w:r>
        <w:rPr>
          <w:rFonts w:eastAsia="仿宋_GB2312"/>
          <w:color w:val="000000" w:themeColor="text1"/>
          <w:highlight w:val="none"/>
          <w14:textFill>
            <w14:solidFill>
              <w14:schemeClr w14:val="tx1"/>
            </w14:solidFill>
          </w14:textFill>
        </w:rPr>
        <w:t>。</w:t>
      </w:r>
    </w:p>
    <w:p w14:paraId="1174F402">
      <w:pPr>
        <w:pStyle w:val="13"/>
        <w:spacing w:before="0" w:beforeLines="0" w:line="360" w:lineRule="auto"/>
        <w:ind w:left="0" w:leftChars="0" w:right="110" w:firstLine="681" w:firstLineChars="213"/>
        <w:rPr>
          <w:rFonts w:hint="eastAsia" w:eastAsia="PMingLiU"/>
          <w:color w:val="000000" w:themeColor="text1"/>
          <w:highlight w:val="none"/>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3.</w:t>
      </w:r>
      <w:r>
        <w:rPr>
          <w:rFonts w:eastAsia="仿宋_GB2312"/>
          <w:color w:val="000000" w:themeColor="text1"/>
          <w:highlight w:val="none"/>
          <w14:textFill>
            <w14:solidFill>
              <w14:schemeClr w14:val="tx1"/>
            </w14:solidFill>
          </w14:textFill>
        </w:rPr>
        <w:t>体育设施</w:t>
      </w:r>
    </w:p>
    <w:p w14:paraId="4EC19EA8">
      <w:pPr>
        <w:pStyle w:val="13"/>
        <w:spacing w:before="0" w:beforeLines="0" w:line="360" w:lineRule="auto"/>
        <w:ind w:left="0" w:leftChars="0" w:right="110" w:firstLine="681" w:firstLineChars="213"/>
        <w:rPr>
          <w:rFonts w:hint="eastAsia" w:eastAsia="PMingLiU"/>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构建完善的全民健身公共服务体系，形成层级完善、布局均衡的体育设施服务网络。结合</w:t>
      </w:r>
      <w:r>
        <w:rPr>
          <w:rFonts w:hint="eastAsia" w:eastAsia="仿宋_GB2312"/>
          <w:color w:val="000000" w:themeColor="text1"/>
          <w:highlight w:val="none"/>
          <w:lang w:val="en-US" w:eastAsia="zh-CN"/>
          <w14:textFill>
            <w14:solidFill>
              <w14:schemeClr w14:val="tx1"/>
            </w14:solidFill>
          </w14:textFill>
        </w:rPr>
        <w:t>中心村</w:t>
      </w:r>
      <w:r>
        <w:rPr>
          <w:rFonts w:hint="eastAsia" w:eastAsia="仿宋_GB2312"/>
          <w:color w:val="000000" w:themeColor="text1"/>
          <w:highlight w:val="none"/>
          <w14:textFill>
            <w14:solidFill>
              <w14:schemeClr w14:val="tx1"/>
            </w14:solidFill>
          </w14:textFill>
        </w:rPr>
        <w:t>公共</w:t>
      </w:r>
      <w:r>
        <w:rPr>
          <w:rFonts w:hint="eastAsia" w:eastAsia="仿宋_GB2312"/>
          <w:color w:val="000000" w:themeColor="text1"/>
          <w:highlight w:val="none"/>
          <w:lang w:val="en-US" w:eastAsia="zh-CN"/>
          <w14:textFill>
            <w14:solidFill>
              <w14:schemeClr w14:val="tx1"/>
            </w14:solidFill>
          </w14:textFill>
        </w:rPr>
        <w:t>空间</w:t>
      </w:r>
      <w:r>
        <w:rPr>
          <w:rFonts w:hint="eastAsia" w:eastAsia="仿宋_GB2312"/>
          <w:color w:val="000000" w:themeColor="text1"/>
          <w:highlight w:val="none"/>
          <w14:textFill>
            <w14:solidFill>
              <w14:schemeClr w14:val="tx1"/>
            </w14:solidFill>
          </w14:textFill>
        </w:rPr>
        <w:t>建设健身活动广场</w:t>
      </w:r>
      <w:r>
        <w:rPr>
          <w:rFonts w:hint="eastAsia" w:asciiTheme="minorEastAsia" w:hAnsiTheme="minorEastAsia" w:eastAsiaTheme="minorEastAsia"/>
          <w:color w:val="000000" w:themeColor="text1"/>
          <w:highlight w:val="none"/>
          <w14:textFill>
            <w14:solidFill>
              <w14:schemeClr w14:val="tx1"/>
            </w14:solidFill>
          </w14:textFill>
        </w:rPr>
        <w:t>，</w:t>
      </w:r>
      <w:r>
        <w:rPr>
          <w:rFonts w:eastAsia="仿宋_GB2312"/>
          <w:color w:val="000000" w:themeColor="text1"/>
          <w:highlight w:val="none"/>
          <w14:textFill>
            <w14:solidFill>
              <w14:schemeClr w14:val="tx1"/>
            </w14:solidFill>
          </w14:textFill>
        </w:rPr>
        <w:t>配置占地面积不得小于500㎡。</w:t>
      </w:r>
    </w:p>
    <w:p w14:paraId="74F07A21">
      <w:pPr>
        <w:pStyle w:val="13"/>
        <w:spacing w:before="0" w:beforeLines="0" w:line="360" w:lineRule="auto"/>
        <w:ind w:left="0" w:leftChars="0" w:right="110" w:firstLine="681" w:firstLineChars="213"/>
        <w:rPr>
          <w:rFonts w:hint="eastAsia" w:eastAsia="PMingLiU"/>
          <w:color w:val="000000" w:themeColor="text1"/>
          <w:highlight w:val="none"/>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4.医疗</w:t>
      </w:r>
      <w:r>
        <w:rPr>
          <w:rFonts w:eastAsia="仿宋_GB2312"/>
          <w:color w:val="000000" w:themeColor="text1"/>
          <w:highlight w:val="none"/>
          <w14:textFill>
            <w14:solidFill>
              <w14:schemeClr w14:val="tx1"/>
            </w14:solidFill>
          </w14:textFill>
        </w:rPr>
        <w:t>卫生设施</w:t>
      </w:r>
    </w:p>
    <w:p w14:paraId="488A41CB">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完善镇中心卫生院建设，提高医疗服务水平；发展农村社区卫生服务，持续推进村卫生室标准化建设，实现行政村卫生室全覆盖</w:t>
      </w:r>
      <w:r>
        <w:rPr>
          <w:rFonts w:eastAsia="仿宋_GB2312"/>
          <w:color w:val="000000" w:themeColor="text1"/>
          <w:highlight w:val="none"/>
          <w14:textFill>
            <w14:solidFill>
              <w14:schemeClr w14:val="tx1"/>
            </w14:solidFill>
          </w14:textFill>
        </w:rPr>
        <w:t>发展农村社区卫生服务</w:t>
      </w:r>
      <w:r>
        <w:rPr>
          <w:rFonts w:hint="eastAsia" w:eastAsia="仿宋_GB2312"/>
          <w:color w:val="000000" w:themeColor="text1"/>
          <w:highlight w:val="none"/>
          <w14:textFill>
            <w14:solidFill>
              <w14:schemeClr w14:val="tx1"/>
            </w14:solidFill>
          </w14:textFill>
        </w:rPr>
        <w:t>，各中心村设置</w:t>
      </w:r>
      <w:r>
        <w:rPr>
          <w:rFonts w:eastAsia="仿宋_GB2312"/>
          <w:color w:val="000000" w:themeColor="text1"/>
          <w:highlight w:val="none"/>
          <w14:textFill>
            <w14:solidFill>
              <w14:schemeClr w14:val="tx1"/>
            </w14:solidFill>
          </w14:textFill>
        </w:rPr>
        <w:t>面积不小于150</w:t>
      </w:r>
      <w:r>
        <w:rPr>
          <w:rFonts w:hint="eastAsia" w:eastAsia="仿宋_GB2312"/>
          <w:color w:val="000000" w:themeColor="text1"/>
          <w:highlight w:val="none"/>
          <w14:textFill>
            <w14:solidFill>
              <w14:schemeClr w14:val="tx1"/>
            </w14:solidFill>
          </w14:textFill>
        </w:rPr>
        <w:t>m</w:t>
      </w:r>
      <w:r>
        <w:rPr>
          <w:rFonts w:ascii="Calibri" w:hAnsi="Calibri" w:eastAsia="仿宋_GB2312" w:cs="Calibri"/>
          <w:color w:val="000000" w:themeColor="text1"/>
          <w:highlight w:val="none"/>
          <w14:textFill>
            <w14:solidFill>
              <w14:schemeClr w14:val="tx1"/>
            </w14:solidFill>
          </w14:textFill>
        </w:rPr>
        <w:t>²</w:t>
      </w:r>
      <w:r>
        <w:rPr>
          <w:rFonts w:hint="eastAsia" w:eastAsia="仿宋_GB2312"/>
          <w:color w:val="000000" w:themeColor="text1"/>
          <w:highlight w:val="none"/>
          <w14:textFill>
            <w14:solidFill>
              <w14:schemeClr w14:val="tx1"/>
            </w14:solidFill>
          </w14:textFill>
        </w:rPr>
        <w:t>的村卫生室</w:t>
      </w:r>
      <w:r>
        <w:rPr>
          <w:rFonts w:eastAsia="仿宋_GB2312"/>
          <w:color w:val="000000" w:themeColor="text1"/>
          <w:highlight w:val="none"/>
          <w14:textFill>
            <w14:solidFill>
              <w14:schemeClr w14:val="tx1"/>
            </w14:solidFill>
          </w14:textFill>
        </w:rPr>
        <w:t>。</w:t>
      </w:r>
    </w:p>
    <w:p w14:paraId="7B0AE1AF">
      <w:pPr>
        <w:pStyle w:val="13"/>
        <w:spacing w:before="0" w:beforeLines="0" w:line="360" w:lineRule="auto"/>
        <w:ind w:left="0" w:leftChars="0" w:right="110" w:firstLine="681" w:firstLineChars="213"/>
        <w:rPr>
          <w:rFonts w:hint="eastAsia" w:eastAsia="PMingLiU"/>
          <w:color w:val="000000" w:themeColor="text1"/>
          <w:highlight w:val="none"/>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5.</w:t>
      </w:r>
      <w:r>
        <w:rPr>
          <w:rFonts w:eastAsia="仿宋_GB2312"/>
          <w:color w:val="000000" w:themeColor="text1"/>
          <w:highlight w:val="none"/>
          <w14:textFill>
            <w14:solidFill>
              <w14:schemeClr w14:val="tx1"/>
            </w14:solidFill>
          </w14:textFill>
        </w:rPr>
        <w:t>社会福利和社会救助</w:t>
      </w:r>
      <w:r>
        <w:rPr>
          <w:rFonts w:hint="eastAsia" w:eastAsia="仿宋_GB2312"/>
          <w:color w:val="000000" w:themeColor="text1"/>
          <w:highlight w:val="none"/>
          <w14:textFill>
            <w14:solidFill>
              <w14:schemeClr w14:val="tx1"/>
            </w14:solidFill>
          </w14:textFill>
        </w:rPr>
        <w:t>设施</w:t>
      </w:r>
    </w:p>
    <w:p w14:paraId="6B80E7B7">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完善社会救助和服务体系，依托敬老院和村级服务场所，建设农村养老服务站或日间照料中心，</w:t>
      </w:r>
      <w:r>
        <w:rPr>
          <w:rFonts w:hint="eastAsia" w:eastAsia="仿宋_GB2312"/>
          <w:color w:val="000000" w:themeColor="text1"/>
          <w:highlight w:val="none"/>
          <w:lang w:val="en-US" w:eastAsia="zh-CN"/>
          <w14:textFill>
            <w14:solidFill>
              <w14:schemeClr w14:val="tx1"/>
            </w14:solidFill>
          </w14:textFill>
        </w:rPr>
        <w:t>各</w:t>
      </w:r>
      <w:r>
        <w:rPr>
          <w:rFonts w:hint="eastAsia" w:eastAsia="仿宋_GB2312"/>
          <w:color w:val="000000" w:themeColor="text1"/>
          <w:highlight w:val="none"/>
          <w14:textFill>
            <w14:solidFill>
              <w14:schemeClr w14:val="tx1"/>
            </w14:solidFill>
          </w14:textFill>
        </w:rPr>
        <w:t>中心村</w:t>
      </w:r>
      <w:r>
        <w:rPr>
          <w:rFonts w:eastAsia="仿宋_GB2312"/>
          <w:color w:val="000000" w:themeColor="text1"/>
          <w:highlight w:val="none"/>
          <w14:textFill>
            <w14:solidFill>
              <w14:schemeClr w14:val="tx1"/>
            </w14:solidFill>
          </w14:textFill>
        </w:rPr>
        <w:t>配置</w:t>
      </w:r>
      <w:r>
        <w:rPr>
          <w:rFonts w:hint="eastAsia" w:eastAsia="仿宋_GB2312"/>
          <w:color w:val="000000" w:themeColor="text1"/>
          <w:highlight w:val="none"/>
          <w14:textFill>
            <w14:solidFill>
              <w14:schemeClr w14:val="tx1"/>
            </w14:solidFill>
          </w14:textFill>
        </w:rPr>
        <w:t>面积不小于3</w:t>
      </w:r>
      <w:r>
        <w:rPr>
          <w:rFonts w:eastAsia="仿宋_GB2312"/>
          <w:color w:val="000000" w:themeColor="text1"/>
          <w:highlight w:val="none"/>
          <w14:textFill>
            <w14:solidFill>
              <w14:schemeClr w14:val="tx1"/>
            </w14:solidFill>
          </w14:textFill>
        </w:rPr>
        <w:t>00</w:t>
      </w:r>
      <w:r>
        <w:rPr>
          <w:rFonts w:hint="eastAsia" w:eastAsia="仿宋_GB2312"/>
          <w:color w:val="000000" w:themeColor="text1"/>
          <w:highlight w:val="none"/>
          <w14:textFill>
            <w14:solidFill>
              <w14:schemeClr w14:val="tx1"/>
            </w14:solidFill>
          </w14:textFill>
        </w:rPr>
        <w:t>㎡的老年人日间照料中心</w:t>
      </w:r>
      <w:r>
        <w:rPr>
          <w:rFonts w:eastAsia="仿宋_GB2312"/>
          <w:color w:val="000000" w:themeColor="text1"/>
          <w:highlight w:val="none"/>
          <w14:textFill>
            <w14:solidFill>
              <w14:schemeClr w14:val="tx1"/>
            </w14:solidFill>
          </w14:textFill>
        </w:rPr>
        <w:t>。</w:t>
      </w:r>
    </w:p>
    <w:p w14:paraId="4B463C1C">
      <w:pPr>
        <w:pStyle w:val="13"/>
        <w:spacing w:before="0" w:beforeLines="0" w:line="360" w:lineRule="auto"/>
        <w:ind w:left="0" w:leftChars="0" w:right="110" w:firstLine="681" w:firstLineChars="213"/>
        <w:rPr>
          <w:rFonts w:hint="eastAsia" w:eastAsia="PMingLiU"/>
          <w:color w:val="000000" w:themeColor="text1"/>
          <w:highlight w:val="none"/>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6.</w:t>
      </w:r>
      <w:r>
        <w:rPr>
          <w:rFonts w:eastAsia="仿宋_GB2312"/>
          <w:color w:val="000000" w:themeColor="text1"/>
          <w:highlight w:val="none"/>
          <w14:textFill>
            <w14:solidFill>
              <w14:schemeClr w14:val="tx1"/>
            </w14:solidFill>
          </w14:textFill>
        </w:rPr>
        <w:t>殡葬服务</w:t>
      </w:r>
      <w:r>
        <w:rPr>
          <w:rFonts w:hint="eastAsia" w:eastAsia="仿宋_GB2312"/>
          <w:color w:val="000000" w:themeColor="text1"/>
          <w:highlight w:val="none"/>
          <w14:textFill>
            <w14:solidFill>
              <w14:schemeClr w14:val="tx1"/>
            </w14:solidFill>
          </w14:textFill>
        </w:rPr>
        <w:t>设施</w:t>
      </w:r>
    </w:p>
    <w:p w14:paraId="607CD5E9">
      <w:pPr>
        <w:pStyle w:val="13"/>
        <w:spacing w:before="0" w:beforeLines="0" w:line="360" w:lineRule="auto"/>
        <w:ind w:left="0" w:leftChars="0" w:right="110" w:firstLine="681" w:firstLineChars="213"/>
        <w:rPr>
          <w:rFonts w:hint="eastAsia" w:eastAsiaTheme="minorEastAsia"/>
          <w:color w:val="000000" w:themeColor="text1"/>
          <w:highlight w:val="none"/>
          <w:lang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建设生态化、高品质殡葬设施，</w:t>
      </w:r>
      <w:r>
        <w:rPr>
          <w:rFonts w:eastAsia="仿宋_GB2312"/>
          <w:color w:val="000000" w:themeColor="text1"/>
          <w:highlight w:val="none"/>
          <w14:textFill>
            <w14:solidFill>
              <w14:schemeClr w14:val="tx1"/>
            </w14:solidFill>
          </w14:textFill>
        </w:rPr>
        <w:t>至2035年，镇域公益性公墓服务覆盖率达到100%；新增骨灰安置量中的生态节地化比例达到60%以上</w:t>
      </w:r>
      <w:r>
        <w:rPr>
          <w:rFonts w:hint="eastAsia" w:eastAsia="仿宋_GB2312"/>
          <w:color w:val="000000" w:themeColor="text1"/>
          <w:highlight w:val="none"/>
          <w14:textFill>
            <w14:solidFill>
              <w14:schemeClr w14:val="tx1"/>
            </w14:solidFill>
          </w14:textFill>
        </w:rPr>
        <w:t>，</w:t>
      </w:r>
      <w:r>
        <w:rPr>
          <w:rFonts w:eastAsia="仿宋_GB2312"/>
          <w:color w:val="000000" w:themeColor="text1"/>
          <w:highlight w:val="none"/>
          <w14:textFill>
            <w14:solidFill>
              <w14:schemeClr w14:val="tx1"/>
            </w14:solidFill>
          </w14:textFill>
        </w:rPr>
        <w:t>科学合理做好殡葬设施布局规划。</w:t>
      </w:r>
    </w:p>
    <w:p w14:paraId="30274062">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合理布局镇村商业网点体系</w:t>
      </w:r>
    </w:p>
    <w:p w14:paraId="6CDDC94A">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落实上级商业体系建设要求，按照“乡镇商贸中心、村村通快递”的目标要求，立足张庄寨商贸重镇实际，完善乡村商业网点和村级商业网点体系</w:t>
      </w:r>
      <w:r>
        <w:rPr>
          <w:rFonts w:eastAsia="仿宋_GB2312"/>
          <w:color w:val="000000" w:themeColor="text1"/>
          <w:highlight w:val="none"/>
          <w14:textFill>
            <w14:solidFill>
              <w14:schemeClr w14:val="tx1"/>
            </w14:solidFill>
          </w14:textFill>
        </w:rPr>
        <w:t>。</w:t>
      </w:r>
    </w:p>
    <w:p w14:paraId="138005FC">
      <w:pPr>
        <w:pStyle w:val="3"/>
        <w:numPr>
          <w:ilvl w:val="0"/>
          <w:numId w:val="8"/>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52" w:name="_Toc27122"/>
      <w:bookmarkStart w:id="53" w:name="_Hlk150606426"/>
      <w:r>
        <w:rPr>
          <w:rFonts w:hint="eastAsia" w:ascii="黑体" w:hAnsi="黑体" w:eastAsia="黑体"/>
          <w:color w:val="000000" w:themeColor="text1"/>
          <w:highlight w:val="none"/>
          <w:lang w:eastAsia="zh-CN"/>
          <w14:textFill>
            <w14:solidFill>
              <w14:schemeClr w14:val="tx1"/>
            </w14:solidFill>
          </w14:textFill>
        </w:rPr>
        <w:t>构建区域协同的产业发展格局</w:t>
      </w:r>
      <w:bookmarkEnd w:id="52"/>
    </w:p>
    <w:bookmarkEnd w:id="53"/>
    <w:p w14:paraId="31724FD1">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镇域产业空间总体格局</w:t>
      </w:r>
    </w:p>
    <w:p w14:paraId="67D504EF">
      <w:pPr>
        <w:pStyle w:val="13"/>
        <w:spacing w:before="0" w:beforeLines="0" w:line="360" w:lineRule="auto"/>
        <w:ind w:left="0" w:leftChars="0" w:right="110" w:firstLine="681" w:firstLineChars="213"/>
        <w:rPr>
          <w:rFonts w:hint="default" w:eastAsia="仿宋_GB2312"/>
          <w:color w:val="000000" w:themeColor="text1"/>
          <w:highlight w:val="none"/>
          <w:lang w:val="en-US"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构建“一心、两轴、三区”的产业布局。以镇区为载体，大力发展商贸服务及木材加工产业；外围依托产业平台和农业资源，建设现代农业示范区和生态农业观光区</w:t>
      </w:r>
      <w:r>
        <w:rPr>
          <w:rFonts w:hint="eastAsia" w:eastAsia="仿宋_GB2312"/>
          <w:color w:val="000000" w:themeColor="text1"/>
          <w:highlight w:val="none"/>
          <w:lang w:val="en-US" w:eastAsia="zh-CN"/>
          <w14:textFill>
            <w14:solidFill>
              <w14:schemeClr w14:val="tx1"/>
            </w14:solidFill>
          </w14:textFill>
        </w:rPr>
        <w:t>。</w:t>
      </w:r>
    </w:p>
    <w:p w14:paraId="0E0D00E6">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科技赋能农业发展</w:t>
      </w:r>
    </w:p>
    <w:bookmarkEnd w:id="16"/>
    <w:p w14:paraId="6CDECA0F">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大力发展智慧农业。推动科技特派员与农技人员深入田间地头，为蔬菜大棚种植、果树种植等开展技术培训和现场指导，解决群众生产发展的“疑难杂症”。推广化肥农药减量增效及绿色农业发展模式，引导农户发展绿色产业。以张鲁庄村果蔬采摘园（草莓、火龙果等）为载体，发展现代休闲农业，通过农事体验、果蔬采摘等方式，丰富公共活动体验，打造乡村振兴示范。</w:t>
      </w:r>
    </w:p>
    <w:p w14:paraId="1B545707">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caps w:val="0"/>
          <w:smallCaps w:val="0"/>
          <w:color w:val="000000" w:themeColor="text1"/>
          <w:sz w:val="32"/>
          <w:szCs w:val="32"/>
          <w:highlight w:val="none"/>
          <w:lang w:val="en-US" w:eastAsia="zh-CN" w:bidi="zh-TW"/>
          <w14:textFill>
            <w14:solidFill>
              <w14:schemeClr w14:val="tx1"/>
            </w14:solidFill>
          </w14:textFill>
        </w:rPr>
        <w:t>大力发展智慧农业。依托萧县已培育家庭农场主、合作社领导者等新型劳动者的基础，结合科技特派员制度推广优良品种与实用技术，精准提升农民技术技能。推广化肥农药减量增效及绿色农业发展模式，通过测土配方施肥、有机肥替代化肥、病虫害监测预警及生物物理防治技术，使化肥农药利用率提升，引导农户发展绿色产业。以张庄寨镇特色农业资源为载体（如葡萄、辣椒、胡萝卜等“七彩”农业），发展现代休闲农业，通过农事体验、果蔬采摘等方式丰富公共活动体验，打造乡村振兴示范点。</w:t>
      </w:r>
    </w:p>
    <w:p w14:paraId="4FD9CBD1">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支持建设特色</w:t>
      </w:r>
      <w:r>
        <w:rPr>
          <w:rFonts w:hint="eastAsia" w:ascii="Times New Roman" w:hAnsi="Times New Roman" w:eastAsia="仿宋"/>
          <w:caps w:val="0"/>
          <w:smallCaps w:val="0"/>
          <w:color w:val="000000" w:themeColor="text1"/>
          <w:w w:val="105"/>
          <w:sz w:val="32"/>
          <w:highlight w:val="none"/>
          <w14:textFill>
            <w14:solidFill>
              <w14:schemeClr w14:val="tx1"/>
            </w14:solidFill>
          </w14:textFill>
        </w:rPr>
        <w:t>旅游目的地</w:t>
      </w:r>
    </w:p>
    <w:p w14:paraId="09FC8E29">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aps w:val="0"/>
          <w:smallCaps w:val="0"/>
          <w:color w:val="000000" w:themeColor="text1"/>
          <w:sz w:val="32"/>
          <w:szCs w:val="32"/>
          <w:highlight w:val="none"/>
          <w:lang w:val="en-US" w:eastAsia="zh-CN" w:bidi="zh-TW"/>
          <w14:textFill>
            <w14:solidFill>
              <w14:schemeClr w14:val="tx1"/>
            </w14:solidFill>
          </w14:textFill>
        </w:rPr>
      </w:pPr>
      <w:r>
        <w:rPr>
          <w:rFonts w:hint="eastAsia" w:ascii="Times New Roman" w:hAnsi="Times New Roman" w:eastAsia="仿宋_GB2312" w:cs="Times New Roman"/>
          <w:caps w:val="0"/>
          <w:smallCaps w:val="0"/>
          <w:color w:val="000000" w:themeColor="text1"/>
          <w:sz w:val="32"/>
          <w:szCs w:val="32"/>
          <w:highlight w:val="none"/>
          <w:lang w:val="en-US" w:eastAsia="zh-CN" w:bidi="zh-TW"/>
          <w14:textFill>
            <w14:solidFill>
              <w14:schemeClr w14:val="tx1"/>
            </w14:solidFill>
          </w14:textFill>
        </w:rPr>
        <w:t>整合张庄寨镇及周边旅游资源，积极推进现代休闲农业和乡村旅游融合发展。参考萧县已培育的“皖美农品”品牌（如“窦庄葡萄”“萧健”牌杏等）及长三角绿色农产品供应基地建设经验，鼓励社会资本参与建设集自然观光、农业体验、文化研学、休闲度假于一体的旅游目的地。可结合张庄寨镇洪河村、海青村等村庄内部空间布局，引入农耕体验、生态住宿、餐饮接待等业态，推动乡村旅游品牌化发展。</w:t>
      </w:r>
    </w:p>
    <w:p w14:paraId="0B059B79">
      <w:pP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pPr>
    </w:p>
    <w:p w14:paraId="7C517D88">
      <w:pPr>
        <w:pStyle w:val="33"/>
        <w:spacing w:before="0" w:line="360" w:lineRule="auto"/>
        <w:ind w:left="0" w:right="108" w:firstLine="718" w:firstLineChars="213"/>
        <w:rPr>
          <w:rFonts w:ascii="Times New Roman" w:hAnsi="Times New Roman" w:eastAsia="仿宋"/>
          <w:caps w:val="0"/>
          <w:smallCaps w:val="0"/>
          <w:color w:val="000000" w:themeColor="text1"/>
          <w:w w:val="105"/>
          <w:sz w:val="32"/>
          <w:highlight w:val="none"/>
          <w14:textFill>
            <w14:solidFill>
              <w14:schemeClr w14:val="tx1"/>
            </w14:solidFill>
          </w14:textFill>
        </w:rPr>
      </w:pPr>
      <w:r>
        <w:rPr>
          <w:rFonts w:hint="eastAsia" w:ascii="Times New Roman" w:hAnsi="Times New Roman" w:eastAsia="仿宋"/>
          <w:caps w:val="0"/>
          <w:smallCaps w:val="0"/>
          <w:color w:val="000000" w:themeColor="text1"/>
          <w:w w:val="105"/>
          <w:sz w:val="32"/>
          <w:highlight w:val="none"/>
          <w14:textFill>
            <w14:solidFill>
              <w14:schemeClr w14:val="tx1"/>
            </w14:solidFill>
          </w14:textFill>
        </w:rPr>
        <w:t>保障</w:t>
      </w:r>
      <w:r>
        <w:rPr>
          <w:rFonts w:hint="eastAsia" w:ascii="Times New Roman" w:hAnsi="Times New Roman" w:eastAsia="仿宋"/>
          <w:caps w:val="0"/>
          <w:smallCaps w:val="0"/>
          <w:color w:val="000000" w:themeColor="text1"/>
          <w:w w:val="105"/>
          <w:sz w:val="32"/>
          <w:highlight w:val="none"/>
          <w:lang w:val="en-US" w:eastAsia="zh-CN"/>
          <w14:textFill>
            <w14:solidFill>
              <w14:schemeClr w14:val="tx1"/>
            </w14:solidFill>
          </w14:textFill>
        </w:rPr>
        <w:t>乡村一二三产业融合</w:t>
      </w:r>
      <w:r>
        <w:rPr>
          <w:rFonts w:hint="eastAsia" w:ascii="Times New Roman" w:hAnsi="Times New Roman" w:eastAsia="仿宋"/>
          <w:caps w:val="0"/>
          <w:smallCaps w:val="0"/>
          <w:color w:val="000000" w:themeColor="text1"/>
          <w:w w:val="105"/>
          <w:sz w:val="32"/>
          <w:highlight w:val="none"/>
          <w14:textFill>
            <w14:solidFill>
              <w14:schemeClr w14:val="tx1"/>
            </w14:solidFill>
          </w14:textFill>
        </w:rPr>
        <w:t>发展用地空间</w:t>
      </w:r>
    </w:p>
    <w:p w14:paraId="756E7B31">
      <w:pPr>
        <w:pStyle w:val="13"/>
        <w:autoSpaceDE/>
        <w:autoSpaceDN/>
        <w:spacing w:before="0" w:beforeLines="0" w:line="360" w:lineRule="auto"/>
        <w:ind w:left="0" w:leftChars="0" w:right="0" w:rightChars="0" w:firstLine="640"/>
        <w:contextualSpacing/>
        <w:rPr>
          <w:rFonts w:hint="eastAsia" w:ascii="Times New Roman" w:hAnsi="Times New Roman"/>
          <w:caps w:val="0"/>
          <w:smallCaps w:val="0"/>
          <w:color w:val="000000" w:themeColor="text1"/>
          <w:highlight w:val="none"/>
          <w:lang w:val="en-US" w:eastAsia="zh-CN"/>
          <w14:textFill>
            <w14:solidFill>
              <w14:schemeClr w14:val="tx1"/>
            </w14:solidFill>
          </w14:textFill>
        </w:rPr>
      </w:pPr>
      <w:bookmarkStart w:id="54" w:name="_bookmark18"/>
      <w:bookmarkEnd w:id="54"/>
      <w:r>
        <w:rPr>
          <w:rFonts w:hint="eastAsia" w:ascii="Times New Roman" w:hAnsi="Times New Roman" w:eastAsia="仿宋_GB2312" w:cs="Times New Roman"/>
          <w:caps w:val="0"/>
          <w:smallCaps w:val="0"/>
          <w:color w:val="000000" w:themeColor="text1"/>
          <w:highlight w:val="none"/>
          <w:lang w:val="en-US" w:eastAsia="zh-CN"/>
          <w14:textFill>
            <w14:solidFill>
              <w14:schemeClr w14:val="tx1"/>
            </w14:solidFill>
          </w14:textFill>
        </w:rPr>
        <w:t>规划安排一定的建设用地指标重点保障乡村振兴产业发展用地，对暂时无法明确具体用途的地块留白，预留一定的建设用地规模。积极盘活农村老旧房屋与闲置宅基地，支撑乡村文旅文创、电子商务、冷链物流等新业态发展，引导不适宜农村产业发展的零散工业用地退出或向城镇集聚。鼓励集体经营性建设用地以出让、出租等方式兴办乡村企业，零星、分散的乡村产业项目及其配套的基础设施和公共服务设施建设的，按照“用多少、转（征）多少、供多少”的原则，实施点状供地。</w:t>
      </w:r>
    </w:p>
    <w:p w14:paraId="00842BFD">
      <w:pPr>
        <w:pStyle w:val="13"/>
        <w:spacing w:before="0" w:beforeLines="0" w:line="360" w:lineRule="auto"/>
        <w:ind w:left="0" w:leftChars="0" w:right="110" w:firstLine="681" w:firstLineChars="213"/>
        <w:rPr>
          <w:rFonts w:hint="eastAsia" w:eastAsia="仿宋_GB2312"/>
          <w:color w:val="000000" w:themeColor="text1"/>
          <w:highlight w:val="none"/>
          <w:lang w:val="en-US" w:eastAsia="zh-CN"/>
          <w14:textFill>
            <w14:solidFill>
              <w14:schemeClr w14:val="tx1"/>
            </w14:solidFill>
          </w14:textFill>
        </w:rPr>
      </w:pPr>
    </w:p>
    <w:p w14:paraId="0CB2EB3D">
      <w:pPr>
        <w:widowControl/>
        <w:autoSpaceDE/>
        <w:autoSpaceDN/>
        <w:spacing w:line="360" w:lineRule="auto"/>
        <w:ind w:firstLine="468" w:firstLineChars="213"/>
        <w:rPr>
          <w:rFonts w:hint="eastAsia" w:ascii="黑体" w:hAnsi="黑体" w:eastAsia="黑体" w:cs="黑体"/>
          <w:b/>
          <w:color w:val="000000" w:themeColor="text1"/>
          <w:sz w:val="36"/>
          <w:szCs w:val="36"/>
          <w:highlight w:val="none"/>
          <w14:textFill>
            <w14:solidFill>
              <w14:schemeClr w14:val="tx1"/>
            </w14:solidFill>
          </w14:textFill>
        </w:rPr>
      </w:pPr>
      <w:r>
        <w:rPr>
          <w:rFonts w:eastAsia="仿宋_GB2312"/>
          <w:color w:val="000000" w:themeColor="text1"/>
          <w:highlight w:val="none"/>
          <w14:textFill>
            <w14:solidFill>
              <w14:schemeClr w14:val="tx1"/>
            </w14:solidFill>
          </w14:textFill>
        </w:rPr>
        <w:br w:type="page"/>
      </w:r>
    </w:p>
    <w:p w14:paraId="46F74639">
      <w:pPr>
        <w:pStyle w:val="2"/>
        <w:spacing w:before="0" w:line="360" w:lineRule="auto"/>
        <w:ind w:left="0" w:firstLine="0"/>
        <w:jc w:val="center"/>
        <w:rPr>
          <w:rFonts w:hint="eastAsia" w:ascii="华光小标宋_CNKI" w:hAnsi="华光小标宋_CNKI" w:eastAsia="华光小标宋_CNKI"/>
          <w:color w:val="000000" w:themeColor="text1"/>
          <w:spacing w:val="5"/>
          <w:highlight w:val="none"/>
          <w14:textFill>
            <w14:solidFill>
              <w14:schemeClr w14:val="tx1"/>
            </w14:solidFill>
          </w14:textFill>
        </w:rPr>
      </w:pPr>
      <w:bookmarkStart w:id="55" w:name="_Toc166340624"/>
      <w:bookmarkStart w:id="56" w:name="_Toc31966"/>
      <w:r>
        <w:rPr>
          <w:rFonts w:hint="eastAsia" w:ascii="华光小标宋_CNKI" w:hAnsi="华光小标宋_CNKI" w:eastAsia="华光小标宋_CNKI"/>
          <w:color w:val="000000" w:themeColor="text1"/>
          <w:spacing w:val="5"/>
          <w:highlight w:val="none"/>
          <w14:textFill>
            <w14:solidFill>
              <w14:schemeClr w14:val="tx1"/>
            </w14:solidFill>
          </w14:textFill>
        </w:rPr>
        <w:t>统筹基础设施布局，</w:t>
      </w:r>
      <w:bookmarkEnd w:id="55"/>
      <w:r>
        <w:rPr>
          <w:rFonts w:hint="eastAsia" w:ascii="华光小标宋_CNKI" w:hAnsi="华光小标宋_CNKI" w:eastAsia="华光小标宋_CNKI"/>
          <w:color w:val="000000" w:themeColor="text1"/>
          <w:spacing w:val="5"/>
          <w:highlight w:val="none"/>
          <w14:textFill>
            <w14:solidFill>
              <w14:schemeClr w14:val="tx1"/>
            </w14:solidFill>
          </w14:textFill>
        </w:rPr>
        <w:t>提升设施保障能力</w:t>
      </w:r>
      <w:bookmarkEnd w:id="56"/>
      <w:r>
        <w:rPr>
          <w:rFonts w:hint="eastAsia" w:ascii="华光小标宋_CNKI" w:hAnsi="华光小标宋_CNKI" w:eastAsia="华光小标宋_CNKI"/>
          <w:color w:val="000000" w:themeColor="text1"/>
          <w:spacing w:val="5"/>
          <w:highlight w:val="none"/>
          <w14:textFill>
            <w14:solidFill>
              <w14:schemeClr w14:val="tx1"/>
            </w14:solidFill>
          </w14:textFill>
        </w:rPr>
        <w:t xml:space="preserve"> </w:t>
      </w:r>
    </w:p>
    <w:p w14:paraId="174DC1FD">
      <w:pPr>
        <w:pStyle w:val="13"/>
        <w:spacing w:before="0" w:beforeLines="0" w:line="360" w:lineRule="auto"/>
        <w:ind w:left="110" w:right="110" w:firstLine="640"/>
        <w:rPr>
          <w:rFonts w:hint="eastAsia" w:eastAsia="仿宋_GB2312"/>
          <w:color w:val="000000" w:themeColor="text1"/>
          <w:highlight w:val="none"/>
          <w:lang w:eastAsia="zh-CN"/>
          <w14:textFill>
            <w14:solidFill>
              <w14:schemeClr w14:val="tx1"/>
            </w14:solidFill>
          </w14:textFill>
        </w:rPr>
      </w:pPr>
      <w:bookmarkStart w:id="57" w:name="_bookmark22"/>
      <w:bookmarkEnd w:id="57"/>
      <w:r>
        <w:rPr>
          <w:rFonts w:hint="eastAsia" w:eastAsia="仿宋_GB2312"/>
          <w:color w:val="000000" w:themeColor="text1"/>
          <w:highlight w:val="none"/>
          <w14:textFill>
            <w14:solidFill>
              <w14:schemeClr w14:val="tx1"/>
            </w14:solidFill>
          </w14:textFill>
        </w:rPr>
        <w:t>构建“外通内联、快速畅通、绿色智慧、安全便捷”的现代化综合交通运输体系。坚持生态优先、绿色发展，建设更高水平、更有效率的基础设施系统。鼓励提升安全保障能力，提高城镇综合应急保障水平</w:t>
      </w:r>
      <w:r>
        <w:rPr>
          <w:rFonts w:eastAsia="仿宋_GB2312"/>
          <w:color w:val="000000" w:themeColor="text1"/>
          <w:highlight w:val="none"/>
          <w14:textFill>
            <w14:solidFill>
              <w14:schemeClr w14:val="tx1"/>
            </w14:solidFill>
          </w14:textFill>
        </w:rPr>
        <w:t>。</w:t>
      </w:r>
    </w:p>
    <w:p w14:paraId="1D17D31D">
      <w:pPr>
        <w:pStyle w:val="3"/>
        <w:numPr>
          <w:ilvl w:val="0"/>
          <w:numId w:val="9"/>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58" w:name="_bookmark19"/>
      <w:bookmarkEnd w:id="58"/>
      <w:bookmarkStart w:id="59" w:name="_Toc152782109"/>
      <w:bookmarkStart w:id="60" w:name="_Toc2384"/>
      <w:r>
        <w:rPr>
          <w:rFonts w:hint="eastAsia" w:ascii="黑体" w:hAnsi="黑体" w:eastAsia="黑体"/>
          <w:color w:val="000000" w:themeColor="text1"/>
          <w:highlight w:val="none"/>
          <w:lang w:eastAsia="zh-CN"/>
          <w14:textFill>
            <w14:solidFill>
              <w14:schemeClr w14:val="tx1"/>
            </w14:solidFill>
          </w14:textFill>
        </w:rPr>
        <w:t>发展绿色低碳智慧交通</w:t>
      </w:r>
      <w:bookmarkEnd w:id="59"/>
      <w:bookmarkEnd w:id="60"/>
    </w:p>
    <w:p w14:paraId="360ACEF6">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bookmarkStart w:id="61" w:name="_Hlk150612789"/>
      <w:r>
        <w:rPr>
          <w:rFonts w:hint="eastAsia" w:eastAsia="仿宋_GB2312"/>
          <w:color w:val="000000" w:themeColor="text1"/>
          <w:w w:val="105"/>
          <w:sz w:val="32"/>
          <w:highlight w:val="none"/>
          <w14:textFill>
            <w14:solidFill>
              <w14:schemeClr w14:val="tx1"/>
            </w14:solidFill>
          </w14:textFill>
        </w:rPr>
        <w:t>落实区域性交通设施线</w:t>
      </w:r>
    </w:p>
    <w:bookmarkEnd w:id="61"/>
    <w:p w14:paraId="57B27B86">
      <w:pPr>
        <w:pStyle w:val="13"/>
        <w:spacing w:before="0" w:beforeLines="0" w:line="360" w:lineRule="auto"/>
        <w:ind w:left="110" w:right="110" w:firstLine="640"/>
        <w:rPr>
          <w:rFonts w:hint="eastAsia" w:eastAsiaTheme="minorEastAsia"/>
          <w:color w:val="000000" w:themeColor="text1"/>
          <w:highlight w:val="none"/>
          <w:lang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依托连霍高速、G237国道、S301省道打造多通道复合快速衔接系统，配合做好G237国道（张庄寨段）升级改造工程，优化过境交通组织，减少对镇区内部交通的干扰。加强与连霍高速出入口的快速连接通道建设</w:t>
      </w:r>
      <w:r>
        <w:rPr>
          <w:rFonts w:hint="eastAsia" w:eastAsia="仿宋_GB2312"/>
          <w:color w:val="000000" w:themeColor="text1"/>
          <w:highlight w:val="none"/>
          <w:lang w:eastAsia="zh-CN"/>
          <w14:textFill>
            <w14:solidFill>
              <w14:schemeClr w14:val="tx1"/>
            </w14:solidFill>
          </w14:textFill>
        </w:rPr>
        <w:t>。</w:t>
      </w:r>
    </w:p>
    <w:p w14:paraId="75399A72">
      <w:pPr>
        <w:pStyle w:val="13"/>
        <w:spacing w:before="0" w:beforeLines="0" w:line="360" w:lineRule="auto"/>
        <w:ind w:left="110" w:right="110" w:firstLine="80"/>
        <w:rPr>
          <w:rFonts w:hint="eastAsia" w:eastAsia="仿宋_GB2312"/>
          <w:color w:val="000000" w:themeColor="text1"/>
          <w:sz w:val="4"/>
          <w:highlight w:val="none"/>
          <w14:textFill>
            <w14:solidFill>
              <w14:schemeClr w14:val="tx1"/>
            </w14:solidFill>
          </w14:textFill>
        </w:rPr>
      </w:pPr>
    </w:p>
    <w:p w14:paraId="3DE6EE4B">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完善城乡道路交通系统</w:t>
      </w:r>
    </w:p>
    <w:p w14:paraId="5F5075DB">
      <w:pPr>
        <w:pStyle w:val="13"/>
        <w:spacing w:before="0" w:beforeLines="0" w:line="360" w:lineRule="auto"/>
        <w:ind w:left="110" w:right="110" w:firstLine="640"/>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在镇域范围内构建便捷通畅的交通网络。升级改造县乡道路，提质建设“四好农村路”，构建连接镇区、中心村和自然村的便捷交通网络，实现行政村双车道通达率100%。</w:t>
      </w:r>
    </w:p>
    <w:p w14:paraId="4C62570B">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优化镇域公共交通系统</w:t>
      </w:r>
    </w:p>
    <w:p w14:paraId="73B20E2B">
      <w:pPr>
        <w:pStyle w:val="13"/>
        <w:spacing w:before="0" w:beforeLines="0" w:line="360" w:lineRule="auto"/>
        <w:ind w:left="110" w:right="110" w:firstLine="640"/>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打造“客运站--首末站--招呼站”三级公交服务站点，完善镇村公交线路，结合枢纽站和首末站设置慢行接驳设施，方便居民出行</w:t>
      </w:r>
      <w:r>
        <w:rPr>
          <w:rFonts w:eastAsia="仿宋_GB2312"/>
          <w:color w:val="000000" w:themeColor="text1"/>
          <w:highlight w:val="none"/>
          <w14:textFill>
            <w14:solidFill>
              <w14:schemeClr w14:val="tx1"/>
            </w14:solidFill>
          </w14:textFill>
        </w:rPr>
        <w:t>。</w:t>
      </w:r>
    </w:p>
    <w:p w14:paraId="10D68B46">
      <w:pPr>
        <w:pStyle w:val="3"/>
        <w:numPr>
          <w:ilvl w:val="0"/>
          <w:numId w:val="9"/>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62" w:name="_bookmark21"/>
      <w:bookmarkEnd w:id="62"/>
      <w:bookmarkStart w:id="63" w:name="_bookmark20"/>
      <w:bookmarkEnd w:id="63"/>
      <w:bookmarkStart w:id="64" w:name="_Toc14990"/>
      <w:bookmarkStart w:id="65" w:name="_Toc152782110"/>
      <w:r>
        <w:rPr>
          <w:rFonts w:hint="eastAsia" w:ascii="黑体" w:hAnsi="黑体" w:eastAsia="黑体"/>
          <w:color w:val="000000" w:themeColor="text1"/>
          <w:highlight w:val="none"/>
          <w:lang w:eastAsia="zh-CN"/>
          <w14:textFill>
            <w14:solidFill>
              <w14:schemeClr w14:val="tx1"/>
            </w14:solidFill>
          </w14:textFill>
        </w:rPr>
        <w:t>建设绿色韧性市政基础设施</w:t>
      </w:r>
      <w:bookmarkEnd w:id="64"/>
      <w:bookmarkEnd w:id="65"/>
    </w:p>
    <w:p w14:paraId="11A9B574">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打造全域覆盖的供水网络</w:t>
      </w:r>
    </w:p>
    <w:p w14:paraId="36A2DF62">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推进城乡供水一体化，扩建张庄寨镇水厂，实施管网延伸工程，逐步实现全镇统一供水。加强水源地保护，确保饮水安全。完善供水管网建设，按照城乡统筹、资源共享的原则，逐步实现全镇统一供水</w:t>
      </w:r>
      <w:r>
        <w:rPr>
          <w:rFonts w:eastAsia="仿宋_GB2312"/>
          <w:color w:val="000000" w:themeColor="text1"/>
          <w:highlight w:val="none"/>
          <w14:textFill>
            <w14:solidFill>
              <w14:schemeClr w14:val="tx1"/>
            </w14:solidFill>
          </w14:textFill>
        </w:rPr>
        <w:t>。</w:t>
      </w:r>
    </w:p>
    <w:p w14:paraId="39E185DD">
      <w:pPr>
        <w:pStyle w:val="33"/>
        <w:spacing w:before="0" w:line="360" w:lineRule="auto"/>
        <w:ind w:left="0" w:right="108" w:firstLine="675" w:firstLineChars="200"/>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建设完善雨污排放系统</w:t>
      </w:r>
    </w:p>
    <w:p w14:paraId="78AC2FBE">
      <w:pPr>
        <w:pStyle w:val="13"/>
        <w:spacing w:before="0" w:beforeLines="0" w:line="360" w:lineRule="auto"/>
        <w:ind w:left="110" w:right="110" w:firstLine="640"/>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加快污水处理设施及配套管网建设，提高再生水利用率。近期重点建设张庄寨镇污水处理厂，配套建设镇区污水管网，实行雨污分流。农村地区因地制宜推广分散式或微动力污水处理设施，逐步消除农村生活污水乱排现象</w:t>
      </w:r>
      <w:r>
        <w:rPr>
          <w:rFonts w:eastAsia="仿宋_GB2312"/>
          <w:color w:val="000000" w:themeColor="text1"/>
          <w:highlight w:val="none"/>
          <w14:textFill>
            <w14:solidFill>
              <w14:schemeClr w14:val="tx1"/>
            </w14:solidFill>
          </w14:textFill>
        </w:rPr>
        <w:t>。</w:t>
      </w:r>
    </w:p>
    <w:p w14:paraId="00B09260">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构建全域覆盖的</w:t>
      </w:r>
      <w:r>
        <w:rPr>
          <w:rFonts w:hint="eastAsia" w:eastAsia="仿宋_GB2312"/>
          <w:color w:val="000000" w:themeColor="text1"/>
          <w:w w:val="105"/>
          <w:sz w:val="32"/>
          <w:highlight w:val="none"/>
          <w14:textFill>
            <w14:solidFill>
              <w14:schemeClr w14:val="tx1"/>
            </w14:solidFill>
          </w14:textFill>
        </w:rPr>
        <w:t>环卫系统</w:t>
      </w:r>
    </w:p>
    <w:p w14:paraId="4BD04352">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完善“户分类、村收集、镇转运、县处理”的垃圾处理体系。升级改造镇区垃圾中转站，合理配置村庄垃圾收集点，实现垃圾无害化处理</w:t>
      </w:r>
      <w:r>
        <w:rPr>
          <w:rFonts w:eastAsia="仿宋_GB2312"/>
          <w:color w:val="000000" w:themeColor="text1"/>
          <w:highlight w:val="none"/>
          <w14:textFill>
            <w14:solidFill>
              <w14:schemeClr w14:val="tx1"/>
            </w14:solidFill>
          </w14:textFill>
        </w:rPr>
        <w:t>。</w:t>
      </w:r>
    </w:p>
    <w:p w14:paraId="0FB36EC1">
      <w:pPr>
        <w:pStyle w:val="33"/>
        <w:spacing w:before="0" w:line="360" w:lineRule="auto"/>
        <w:ind w:left="0" w:right="108" w:firstLine="675" w:firstLineChars="200"/>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建设多源保障的供电网络</w:t>
      </w:r>
    </w:p>
    <w:p w14:paraId="71ACA8B1">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扩容升级镇区35kV变电站，规划新建110kV输变电工程</w:t>
      </w:r>
      <w:r>
        <w:rPr>
          <w:rFonts w:eastAsia="仿宋_GB2312"/>
          <w:color w:val="000000" w:themeColor="text1"/>
          <w:highlight w:val="none"/>
          <w14:textFill>
            <w14:solidFill>
              <w14:schemeClr w14:val="tx1"/>
            </w14:solidFill>
          </w14:textFill>
        </w:rPr>
        <w:t>。各中心村设10千伏开闭所，基层村设变配电房，以减少线损，并保证</w:t>
      </w:r>
      <w:r>
        <w:rPr>
          <w:rFonts w:hint="eastAsia" w:eastAsia="仿宋_GB2312"/>
          <w:color w:val="000000" w:themeColor="text1"/>
          <w:highlight w:val="none"/>
          <w:lang w:val="en-US" w:eastAsia="zh-CN"/>
          <w14:textFill>
            <w14:solidFill>
              <w14:schemeClr w14:val="tx1"/>
            </w14:solidFill>
          </w14:textFill>
        </w:rPr>
        <w:t>产业</w:t>
      </w:r>
      <w:r>
        <w:rPr>
          <w:rFonts w:eastAsia="仿宋_GB2312"/>
          <w:color w:val="000000" w:themeColor="text1"/>
          <w:highlight w:val="none"/>
          <w14:textFill>
            <w14:solidFill>
              <w14:schemeClr w14:val="tx1"/>
            </w14:solidFill>
          </w14:textFill>
        </w:rPr>
        <w:t>生产</w:t>
      </w:r>
      <w:r>
        <w:rPr>
          <w:rFonts w:hint="eastAsia" w:eastAsia="仿宋_GB2312"/>
          <w:color w:val="000000" w:themeColor="text1"/>
          <w:highlight w:val="none"/>
          <w:lang w:eastAsia="zh-CN"/>
          <w14:textFill>
            <w14:solidFill>
              <w14:schemeClr w14:val="tx1"/>
            </w14:solidFill>
          </w14:textFill>
        </w:rPr>
        <w:t>、</w:t>
      </w:r>
      <w:r>
        <w:rPr>
          <w:rFonts w:hint="eastAsia" w:eastAsia="仿宋_GB2312"/>
          <w:color w:val="000000" w:themeColor="text1"/>
          <w:highlight w:val="none"/>
          <w:lang w:val="en-US" w:eastAsia="zh-CN"/>
          <w14:textFill>
            <w14:solidFill>
              <w14:schemeClr w14:val="tx1"/>
            </w14:solidFill>
          </w14:textFill>
        </w:rPr>
        <w:t>居民</w:t>
      </w:r>
      <w:r>
        <w:rPr>
          <w:rFonts w:eastAsia="仿宋_GB2312"/>
          <w:color w:val="000000" w:themeColor="text1"/>
          <w:highlight w:val="none"/>
          <w14:textFill>
            <w14:solidFill>
              <w14:schemeClr w14:val="tx1"/>
            </w14:solidFill>
          </w14:textFill>
        </w:rPr>
        <w:t>生活和抗旱排涝的需要。</w:t>
      </w:r>
    </w:p>
    <w:p w14:paraId="6792F5A0">
      <w:pPr>
        <w:pStyle w:val="13"/>
        <w:spacing w:before="0" w:beforeLines="0" w:line="360" w:lineRule="auto"/>
        <w:ind w:left="110" w:right="110" w:firstLine="640"/>
        <w:rPr>
          <w:rFonts w:hint="eastAsia" w:eastAsia="仿宋_GB2312"/>
          <w:color w:val="000000" w:themeColor="text1"/>
          <w:highlight w:val="none"/>
          <w:lang w:eastAsia="zh-CN"/>
          <w14:textFill>
            <w14:solidFill>
              <w14:schemeClr w14:val="tx1"/>
            </w14:solidFill>
          </w14:textFill>
        </w:rPr>
      </w:pPr>
      <w:r>
        <w:rPr>
          <w:rFonts w:eastAsia="仿宋_GB2312"/>
          <w:color w:val="000000" w:themeColor="text1"/>
          <w:highlight w:val="none"/>
          <w14:textFill>
            <w14:solidFill>
              <w14:schemeClr w14:val="tx1"/>
            </w14:solidFill>
          </w14:textFill>
        </w:rPr>
        <w:t>进一步加强电力建设和电网改造，保持电力线沿主要公路架线的方式，在部分路段对现有电力线进行改造或增设，使电网布局更加合理可靠，进一步提高供电能力。</w:t>
      </w:r>
      <w:r>
        <w:rPr>
          <w:rFonts w:hint="eastAsia" w:eastAsia="仿宋_GB2312"/>
          <w:color w:val="000000" w:themeColor="text1"/>
          <w:highlight w:val="none"/>
          <w:lang w:val="en-US" w:eastAsia="zh-CN"/>
          <w14:textFill>
            <w14:solidFill>
              <w14:schemeClr w14:val="tx1"/>
            </w14:solidFill>
          </w14:textFill>
        </w:rPr>
        <w:t>对镇域内500kV、220kV和110kV线路廊道进行控制，边导线防护距离分别不小于20米、15米和10米。</w:t>
      </w:r>
    </w:p>
    <w:p w14:paraId="0BE5E321">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构建区域一体化的天然气供应保障体系</w:t>
      </w:r>
    </w:p>
    <w:p w14:paraId="0D4720F7">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完善镇区燃气管网，推进天然气进村入户工程，提高清洁能源使用比例。农村居民点积极推广使用罐装液化石油气，加强安全管理</w:t>
      </w:r>
      <w:r>
        <w:rPr>
          <w:rFonts w:eastAsia="仿宋_GB2312"/>
          <w:color w:val="000000" w:themeColor="text1"/>
          <w:highlight w:val="none"/>
          <w14:textFill>
            <w14:solidFill>
              <w14:schemeClr w14:val="tx1"/>
            </w14:solidFill>
          </w14:textFill>
        </w:rPr>
        <w:t>。</w:t>
      </w:r>
    </w:p>
    <w:p w14:paraId="7CC84B24">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支持智慧高效的</w:t>
      </w:r>
      <w:r>
        <w:rPr>
          <w:rFonts w:hint="eastAsia" w:eastAsia="仿宋_GB2312"/>
          <w:color w:val="000000" w:themeColor="text1"/>
          <w:w w:val="105"/>
          <w:sz w:val="32"/>
          <w:highlight w:val="none"/>
          <w14:textFill>
            <w14:solidFill>
              <w14:schemeClr w14:val="tx1"/>
            </w14:solidFill>
          </w14:textFill>
        </w:rPr>
        <w:t>通</w:t>
      </w:r>
      <w:r>
        <w:rPr>
          <w:rFonts w:hint="eastAsia" w:eastAsia="仿宋_GB2312"/>
          <w:color w:val="000000" w:themeColor="text1"/>
          <w:w w:val="105"/>
          <w:sz w:val="32"/>
          <w:highlight w:val="none"/>
          <w:lang w:val="en-US" w:eastAsia="zh-CN"/>
          <w14:textFill>
            <w14:solidFill>
              <w14:schemeClr w14:val="tx1"/>
            </w14:solidFill>
          </w14:textFill>
        </w:rPr>
        <w:t>讯设施建设</w:t>
      </w:r>
    </w:p>
    <w:p w14:paraId="5738CB73">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推进5G和宽带网络建设，加快新一代光传输网、新一代小（微）基站建设，增加5G基站布局，实现重点区域5G网络全覆盖，提升农村地区光纤宽带接入能力</w:t>
      </w:r>
      <w:r>
        <w:rPr>
          <w:rFonts w:eastAsia="仿宋_GB2312"/>
          <w:color w:val="000000" w:themeColor="text1"/>
          <w:highlight w:val="none"/>
          <w14:textFill>
            <w14:solidFill>
              <w14:schemeClr w14:val="tx1"/>
            </w14:solidFill>
          </w14:textFill>
        </w:rPr>
        <w:t>。</w:t>
      </w:r>
    </w:p>
    <w:p w14:paraId="38E1D956">
      <w:pPr>
        <w:pStyle w:val="3"/>
        <w:numPr>
          <w:ilvl w:val="0"/>
          <w:numId w:val="9"/>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66" w:name="_bookmark23"/>
      <w:bookmarkEnd w:id="66"/>
      <w:bookmarkStart w:id="67" w:name="_Toc152782111"/>
      <w:bookmarkStart w:id="68" w:name="_Toc28805"/>
      <w:r>
        <w:rPr>
          <w:rFonts w:hint="eastAsia" w:ascii="黑体" w:hAnsi="黑体" w:eastAsia="黑体"/>
          <w:color w:val="000000" w:themeColor="text1"/>
          <w:highlight w:val="none"/>
          <w:lang w:eastAsia="zh-CN"/>
          <w14:textFill>
            <w14:solidFill>
              <w14:schemeClr w14:val="tx1"/>
            </w14:solidFill>
          </w14:textFill>
        </w:rPr>
        <w:t>构建综合防灾设施体系</w:t>
      </w:r>
      <w:bookmarkEnd w:id="67"/>
      <w:bookmarkEnd w:id="68"/>
    </w:p>
    <w:p w14:paraId="4B5B9AEC">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建设综合应急管理体系</w:t>
      </w:r>
    </w:p>
    <w:p w14:paraId="1453320B">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坚持政府主导与社会参与相结合，坚持以防为主、防抗救相结合，高标准规划建设重大防灾减灾基础设施，全面提升监测预警、预防救援、应急处置、危机管理等综合防范能力</w:t>
      </w:r>
      <w:r>
        <w:rPr>
          <w:rFonts w:eastAsia="仿宋_GB2312"/>
          <w:color w:val="000000" w:themeColor="text1"/>
          <w:highlight w:val="none"/>
          <w14:textFill>
            <w14:solidFill>
              <w14:schemeClr w14:val="tx1"/>
            </w14:solidFill>
          </w14:textFill>
        </w:rPr>
        <w:t>。</w:t>
      </w:r>
    </w:p>
    <w:p w14:paraId="56B38F76">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加强抗震设防体系建设</w:t>
      </w:r>
    </w:p>
    <w:p w14:paraId="5ED27568">
      <w:pPr>
        <w:pStyle w:val="13"/>
        <w:spacing w:before="0" w:beforeLines="0" w:line="360" w:lineRule="auto"/>
        <w:ind w:left="110" w:right="110" w:firstLine="640"/>
        <w:rPr>
          <w:rFonts w:hint="eastAsia" w:eastAsia="仿宋_GB2312"/>
          <w:color w:val="000000" w:themeColor="text1"/>
          <w:highlight w:val="none"/>
          <w:u w:val="none"/>
          <w:lang w:eastAsia="zh-CN"/>
          <w14:textFill>
            <w14:solidFill>
              <w14:schemeClr w14:val="tx1"/>
            </w14:solidFill>
          </w14:textFill>
        </w:rPr>
      </w:pPr>
      <w:r>
        <w:rPr>
          <w:rFonts w:hint="eastAsia" w:eastAsia="仿宋_GB2312"/>
          <w:color w:val="000000" w:themeColor="text1"/>
          <w:highlight w:val="none"/>
          <w:u w:val="single"/>
          <w14:textFill>
            <w14:solidFill>
              <w14:schemeClr w14:val="tx1"/>
            </w14:solidFill>
          </w14:textFill>
        </w:rPr>
        <w:t>按地震基本烈度</w:t>
      </w:r>
      <w:r>
        <w:rPr>
          <w:rFonts w:hint="eastAsia" w:eastAsia="仿宋_GB2312"/>
          <w:color w:val="000000" w:themeColor="text1"/>
          <w:highlight w:val="none"/>
          <w:u w:val="single"/>
          <w:lang w:val="en-US" w:eastAsia="zh-CN"/>
          <w14:textFill>
            <w14:solidFill>
              <w14:schemeClr w14:val="tx1"/>
            </w14:solidFill>
          </w14:textFill>
        </w:rPr>
        <w:t>Ⅶ</w:t>
      </w:r>
      <w:r>
        <w:rPr>
          <w:rFonts w:hint="eastAsia" w:eastAsia="仿宋_GB2312"/>
          <w:color w:val="000000" w:themeColor="text1"/>
          <w:highlight w:val="none"/>
          <w:u w:val="single"/>
          <w14:textFill>
            <w14:solidFill>
              <w14:schemeClr w14:val="tx1"/>
            </w14:solidFill>
          </w14:textFill>
        </w:rPr>
        <w:t>度要求设防。</w:t>
      </w:r>
      <w:r>
        <w:rPr>
          <w:rFonts w:hint="eastAsia" w:eastAsia="仿宋_GB2312"/>
          <w:color w:val="000000" w:themeColor="text1"/>
          <w:highlight w:val="none"/>
          <w:u w:val="none"/>
          <w14:textFill>
            <w14:solidFill>
              <w14:schemeClr w14:val="tx1"/>
            </w14:solidFill>
          </w14:textFill>
        </w:rPr>
        <w:t>新建、改建、扩建工程严格执行抗震设防标准。重大建设工程、可能发生严重次生灾害的建设工程，应当进行地震安全性评价。</w:t>
      </w:r>
    </w:p>
    <w:p w14:paraId="4AEEEE86">
      <w:pPr>
        <w:pStyle w:val="33"/>
        <w:spacing w:before="0" w:line="360" w:lineRule="auto"/>
        <w:ind w:left="0" w:right="108" w:firstLine="675" w:firstLineChars="200"/>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区域统筹防洪设施建设</w:t>
      </w:r>
    </w:p>
    <w:p w14:paraId="4B41590E">
      <w:pPr>
        <w:pStyle w:val="13"/>
        <w:spacing w:before="0" w:beforeLines="0" w:line="360" w:lineRule="auto"/>
        <w:ind w:left="110" w:right="110" w:firstLine="640"/>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u w:val="single"/>
          <w:lang w:val="en-US" w:eastAsia="zh-CN"/>
          <w14:textFill>
            <w14:solidFill>
              <w14:schemeClr w14:val="tx1"/>
            </w14:solidFill>
          </w14:textFill>
        </w:rPr>
        <w:t>洪河、毛河、申河</w:t>
      </w:r>
      <w:r>
        <w:rPr>
          <w:rFonts w:hint="eastAsia" w:eastAsia="仿宋_GB2312"/>
          <w:color w:val="000000" w:themeColor="text1"/>
          <w:highlight w:val="none"/>
          <w:u w:val="single"/>
          <w14:textFill>
            <w14:solidFill>
              <w14:schemeClr w14:val="tx1"/>
            </w14:solidFill>
          </w14:textFill>
        </w:rPr>
        <w:t>防洪标准为</w:t>
      </w:r>
      <w:r>
        <w:rPr>
          <w:rFonts w:hint="eastAsia" w:eastAsia="仿宋_GB2312"/>
          <w:color w:val="000000" w:themeColor="text1"/>
          <w:highlight w:val="none"/>
          <w:u w:val="single"/>
          <w:lang w:val="en-US" w:eastAsia="zh-CN"/>
          <w14:textFill>
            <w14:solidFill>
              <w14:schemeClr w14:val="tx1"/>
            </w14:solidFill>
          </w14:textFill>
        </w:rPr>
        <w:t>20</w:t>
      </w:r>
      <w:r>
        <w:rPr>
          <w:rFonts w:eastAsia="仿宋_GB2312"/>
          <w:color w:val="000000" w:themeColor="text1"/>
          <w:highlight w:val="none"/>
          <w:u w:val="single"/>
          <w14:textFill>
            <w14:solidFill>
              <w14:schemeClr w14:val="tx1"/>
            </w14:solidFill>
          </w14:textFill>
        </w:rPr>
        <w:t>年一遇设防。</w:t>
      </w:r>
      <w:r>
        <w:rPr>
          <w:rFonts w:hint="eastAsia" w:eastAsia="仿宋_GB2312"/>
          <w:color w:val="000000" w:themeColor="text1"/>
          <w:highlight w:val="none"/>
          <w14:textFill>
            <w14:solidFill>
              <w14:schemeClr w14:val="tx1"/>
            </w14:solidFill>
          </w14:textFill>
        </w:rPr>
        <w:t>镇区防洪标准达到20年一遇，排涝标准有效抵御20年一遇24小时暴雨。</w:t>
      </w:r>
    </w:p>
    <w:p w14:paraId="250247C7">
      <w:pPr>
        <w:pStyle w:val="33"/>
        <w:spacing w:before="0" w:line="360" w:lineRule="auto"/>
        <w:ind w:left="0" w:right="108" w:firstLine="675" w:firstLineChars="200"/>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打造全域覆盖的消防体系</w:t>
      </w:r>
    </w:p>
    <w:p w14:paraId="63886107">
      <w:pPr>
        <w:pStyle w:val="13"/>
        <w:spacing w:before="0" w:beforeLines="0" w:line="360" w:lineRule="auto"/>
        <w:ind w:left="110" w:right="110" w:firstLine="640"/>
        <w:rPr>
          <w:rFonts w:hint="eastAsia" w:eastAsia="仿宋_GB2312"/>
          <w:color w:val="000000" w:themeColor="text1"/>
          <w:highlight w:val="none"/>
          <w:lang w:val="en-US"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加强镇专职消防队建设，按标准配备消防车辆和器材。完善镇区及农村消防栓等消防供水设施，打通消防通道，构建全覆盖的城乡消防安全体系。</w:t>
      </w:r>
    </w:p>
    <w:p w14:paraId="01FF2B2E">
      <w:pPr>
        <w:pStyle w:val="3"/>
        <w:numPr>
          <w:ilvl w:val="0"/>
          <w:numId w:val="9"/>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69" w:name="_Toc18747"/>
      <w:r>
        <w:rPr>
          <w:rFonts w:hint="eastAsia" w:ascii="黑体" w:hAnsi="黑体" w:eastAsia="黑体"/>
          <w:color w:val="000000" w:themeColor="text1"/>
          <w:highlight w:val="none"/>
          <w:lang w:eastAsia="zh-CN"/>
          <w14:textFill>
            <w14:solidFill>
              <w14:schemeClr w14:val="tx1"/>
            </w14:solidFill>
          </w14:textFill>
        </w:rPr>
        <w:t>提升应对重大疫情风险能力</w:t>
      </w:r>
      <w:bookmarkEnd w:id="69"/>
    </w:p>
    <w:p w14:paraId="35282AD3">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eastAsia="zh-CN"/>
          <w14:textFill>
            <w14:solidFill>
              <w14:schemeClr w14:val="tx1"/>
            </w14:solidFill>
          </w14:textFill>
        </w:rPr>
        <w:t>完善</w:t>
      </w:r>
      <w:r>
        <w:rPr>
          <w:rFonts w:hint="eastAsia" w:eastAsia="仿宋_GB2312"/>
          <w:color w:val="000000" w:themeColor="text1"/>
          <w:w w:val="105"/>
          <w:sz w:val="32"/>
          <w:highlight w:val="none"/>
          <w14:textFill>
            <w14:solidFill>
              <w14:schemeClr w14:val="tx1"/>
            </w14:solidFill>
          </w14:textFill>
        </w:rPr>
        <w:t>疾病预防控制体系</w:t>
      </w:r>
    </w:p>
    <w:p w14:paraId="60FFB373">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依托镇卫生院和村卫生室，构建完善的公共卫生防疫体系。科学划定防疫分区和防疫单元，分区分级分类统筹资源配置。</w:t>
      </w:r>
    </w:p>
    <w:p w14:paraId="4C94289B">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提升重大疫情救治能力</w:t>
      </w:r>
    </w:p>
    <w:p w14:paraId="6AE69660">
      <w:pPr>
        <w:pStyle w:val="13"/>
        <w:spacing w:before="0" w:beforeLines="0" w:line="360" w:lineRule="auto"/>
        <w:ind w:left="0" w:leftChars="0" w:right="110" w:firstLine="681" w:firstLineChars="213"/>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加强镇卫生院发热门诊建设，提升基层医疗机构的传染病筛查和救治能力。补齐基层卫生机构缺口，提高救治能力。</w:t>
      </w:r>
    </w:p>
    <w:p w14:paraId="2B23D970">
      <w:pPr>
        <w:pStyle w:val="33"/>
        <w:spacing w:before="0" w:line="360" w:lineRule="auto"/>
        <w:ind w:left="0" w:right="108" w:firstLine="675" w:firstLineChars="200"/>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科学谋划重大“平急两用”设施布局</w:t>
      </w:r>
    </w:p>
    <w:p w14:paraId="19595B35">
      <w:pPr>
        <w:pStyle w:val="13"/>
        <w:spacing w:before="0" w:beforeLines="0" w:line="360" w:lineRule="auto"/>
        <w:ind w:left="0" w:leftChars="0" w:right="110" w:firstLine="681" w:firstLineChars="213"/>
        <w:rPr>
          <w:rFonts w:hint="eastAsia" w:eastAsiaTheme="minorEastAsia"/>
          <w:color w:val="000000" w:themeColor="text1"/>
          <w:highlight w:val="none"/>
          <w:lang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依托社区服务中心、学校操场、公园广场等，预留应急避难场所和临时医疗设施用地，考虑设施的平灾结合性</w:t>
      </w:r>
      <w:r>
        <w:rPr>
          <w:rFonts w:eastAsia="仿宋_GB2312"/>
          <w:color w:val="000000" w:themeColor="text1"/>
          <w:highlight w:val="none"/>
          <w14:textFill>
            <w14:solidFill>
              <w14:schemeClr w14:val="tx1"/>
            </w14:solidFill>
          </w14:textFill>
        </w:rPr>
        <w:t>。</w:t>
      </w:r>
    </w:p>
    <w:p w14:paraId="140CB89A">
      <w:pPr>
        <w:pStyle w:val="33"/>
        <w:spacing w:before="0" w:line="360" w:lineRule="auto"/>
        <w:ind w:left="0" w:right="108" w:firstLine="675" w:firstLineChars="200"/>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完善大型公共设施平灾转换和平疫转换能力</w:t>
      </w:r>
    </w:p>
    <w:p w14:paraId="4712B633">
      <w:pPr>
        <w:pStyle w:val="13"/>
        <w:spacing w:before="0" w:beforeLines="0" w:line="360" w:lineRule="auto"/>
        <w:ind w:left="0" w:leftChars="0" w:right="110" w:firstLine="681" w:firstLineChars="213"/>
        <w:rPr>
          <w:rFonts w:hint="eastAsia" w:eastAsia="PMingLiU"/>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做好集中隔离观察点和定点隔离治疗设施预留与场地预留，完善电力电讯、给水排水、供热等市政设施接口安排。</w:t>
      </w:r>
    </w:p>
    <w:p w14:paraId="33E49C98">
      <w:pPr>
        <w:spacing w:line="360" w:lineRule="auto"/>
        <w:ind w:firstLine="468" w:firstLineChars="213"/>
        <w:jc w:val="both"/>
        <w:rPr>
          <w:rFonts w:hint="eastAsia" w:eastAsia="PMingLiU"/>
          <w:color w:val="000000" w:themeColor="text1"/>
          <w:highlight w:val="none"/>
          <w14:textFill>
            <w14:solidFill>
              <w14:schemeClr w14:val="tx1"/>
            </w14:solidFill>
          </w14:textFill>
        </w:rPr>
        <w:sectPr>
          <w:pgSz w:w="11910" w:h="16850"/>
          <w:pgMar w:top="1360" w:right="1380" w:bottom="1640" w:left="1560" w:header="645" w:footer="1443" w:gutter="0"/>
          <w:cols w:space="720" w:num="1"/>
        </w:sectPr>
      </w:pPr>
    </w:p>
    <w:p w14:paraId="6458336E">
      <w:pPr>
        <w:pStyle w:val="2"/>
        <w:spacing w:before="0" w:line="360" w:lineRule="auto"/>
        <w:ind w:left="0" w:firstLine="0"/>
        <w:jc w:val="center"/>
        <w:rPr>
          <w:rFonts w:hint="eastAsia" w:ascii="华光小标宋_CNKI" w:hAnsi="华光小标宋_CNKI" w:eastAsia="华光小标宋_CNKI"/>
          <w:color w:val="000000" w:themeColor="text1"/>
          <w:spacing w:val="5"/>
          <w:highlight w:val="none"/>
          <w:lang w:eastAsia="zh-CN"/>
          <w14:textFill>
            <w14:solidFill>
              <w14:schemeClr w14:val="tx1"/>
            </w14:solidFill>
          </w14:textFill>
        </w:rPr>
      </w:pPr>
      <w:bookmarkStart w:id="70" w:name="_bookmark25"/>
      <w:bookmarkEnd w:id="70"/>
      <w:bookmarkStart w:id="71" w:name="_Toc2108"/>
      <w:r>
        <w:rPr>
          <w:rFonts w:hint="eastAsia" w:ascii="华光小标宋_CNKI" w:hAnsi="华光小标宋_CNKI" w:eastAsia="华光小标宋_CNKI"/>
          <w:color w:val="000000" w:themeColor="text1"/>
          <w:spacing w:val="5"/>
          <w:highlight w:val="none"/>
          <w14:textFill>
            <w14:solidFill>
              <w14:schemeClr w14:val="tx1"/>
            </w14:solidFill>
          </w14:textFill>
        </w:rPr>
        <w:t>传承历史文化</w:t>
      </w:r>
      <w:r>
        <w:rPr>
          <w:rFonts w:ascii="华光小标宋_CNKI" w:hAnsi="华光小标宋_CNKI" w:eastAsia="华光小标宋_CNKI"/>
          <w:color w:val="000000" w:themeColor="text1"/>
          <w:spacing w:val="5"/>
          <w:highlight w:val="none"/>
          <w14:textFill>
            <w14:solidFill>
              <w14:schemeClr w14:val="tx1"/>
            </w14:solidFill>
          </w14:textFill>
        </w:rPr>
        <w:t>，塑造特色风貌</w:t>
      </w:r>
      <w:bookmarkEnd w:id="71"/>
    </w:p>
    <w:p w14:paraId="26B9F65A">
      <w:pPr>
        <w:pStyle w:val="13"/>
        <w:spacing w:before="0" w:beforeLines="0" w:line="360" w:lineRule="auto"/>
        <w:ind w:left="0" w:leftChars="0" w:right="110" w:firstLine="681" w:firstLineChars="213"/>
        <w:rPr>
          <w:rFonts w:hint="eastAsia" w:eastAsia="PMingLiU" w:cs="宋体"/>
          <w:color w:val="000000" w:themeColor="text1"/>
          <w:highlight w:val="none"/>
          <w:lang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加大</w:t>
      </w:r>
      <w:r>
        <w:rPr>
          <w:rFonts w:hint="eastAsia" w:eastAsia="仿宋_GB2312"/>
          <w:color w:val="000000" w:themeColor="text1"/>
          <w:highlight w:val="none"/>
          <w:lang w:eastAsia="zh-CN"/>
          <w14:textFill>
            <w14:solidFill>
              <w14:schemeClr w14:val="tx1"/>
            </w14:solidFill>
          </w14:textFill>
        </w:rPr>
        <w:t>张庄寨镇</w:t>
      </w:r>
      <w:r>
        <w:rPr>
          <w:rFonts w:hint="eastAsia" w:eastAsia="仿宋_GB2312"/>
          <w:color w:val="000000" w:themeColor="text1"/>
          <w:highlight w:val="none"/>
          <w14:textFill>
            <w14:solidFill>
              <w14:schemeClr w14:val="tx1"/>
            </w14:solidFill>
          </w14:textFill>
        </w:rPr>
        <w:t>文物和文化遗产保护力度，加强历史文化保护传承，构建覆盖全域的历史文化保护体系。</w:t>
      </w:r>
    </w:p>
    <w:p w14:paraId="472CAA0B">
      <w:pPr>
        <w:pStyle w:val="3"/>
        <w:numPr>
          <w:ilvl w:val="0"/>
          <w:numId w:val="10"/>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72" w:name="_Toc1277"/>
      <w:r>
        <w:rPr>
          <w:rFonts w:hint="eastAsia" w:ascii="黑体" w:hAnsi="黑体" w:eastAsia="黑体"/>
          <w:color w:val="000000" w:themeColor="text1"/>
          <w:highlight w:val="none"/>
          <w:lang w:eastAsia="zh-CN"/>
          <w14:textFill>
            <w14:solidFill>
              <w14:schemeClr w14:val="tx1"/>
            </w14:solidFill>
          </w14:textFill>
        </w:rPr>
        <w:t>保护利用历史文化遗产</w:t>
      </w:r>
      <w:bookmarkEnd w:id="72"/>
    </w:p>
    <w:p w14:paraId="17844F8D">
      <w:pPr>
        <w:pStyle w:val="33"/>
        <w:spacing w:before="0" w:line="360" w:lineRule="auto"/>
        <w:ind w:left="0" w:right="108" w:firstLine="675" w:firstLineChars="200"/>
        <w:rPr>
          <w:rFonts w:hint="eastAsia" w:eastAsia="仿宋_GB2312"/>
          <w:color w:val="000000" w:themeColor="text1"/>
          <w:w w:val="105"/>
          <w:sz w:val="32"/>
          <w:highlight w:val="none"/>
          <w:lang w:val="en-US" w:eastAsia="zh-CN"/>
          <w14:textFill>
            <w14:solidFill>
              <w14:schemeClr w14:val="tx1"/>
            </w14:solidFill>
          </w14:textFill>
        </w:rPr>
      </w:pPr>
      <w:bookmarkStart w:id="73" w:name="_Hlk171686827"/>
      <w:r>
        <w:rPr>
          <w:rFonts w:hint="eastAsia" w:eastAsia="仿宋_GB2312"/>
          <w:color w:val="000000" w:themeColor="text1"/>
          <w:w w:val="105"/>
          <w:sz w:val="32"/>
          <w:highlight w:val="none"/>
          <w:lang w:val="en-US" w:eastAsia="zh-CN"/>
          <w14:textFill>
            <w14:solidFill>
              <w14:schemeClr w14:val="tx1"/>
            </w14:solidFill>
          </w14:textFill>
        </w:rPr>
        <w:t>完善城乡历史文化保护传承体系</w:t>
      </w:r>
    </w:p>
    <w:p w14:paraId="49EC88BF">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全面保护镇域文物保护单位、历史建筑等历史文化遗产，建立各类历史文化保护对象全域普查、定期评估机制，加快认定公布保护对象，编制城乡历史文化保护传承方案和管理办法，划定保护范围，明确建设控制要求。</w:t>
      </w:r>
    </w:p>
    <w:bookmarkEnd w:id="73"/>
    <w:p w14:paraId="1246EDE4">
      <w:pPr>
        <w:pStyle w:val="33"/>
        <w:spacing w:before="0" w:line="360" w:lineRule="auto"/>
        <w:ind w:left="0" w:right="108" w:firstLine="675" w:firstLineChars="200"/>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划定历史文化保护线</w:t>
      </w:r>
    </w:p>
    <w:p w14:paraId="462109E3">
      <w:pPr>
        <w:pStyle w:val="13"/>
        <w:spacing w:before="120" w:line="360" w:lineRule="auto"/>
        <w:ind w:left="110" w:right="110" w:firstLine="681" w:firstLineChars="213"/>
        <w:rPr>
          <w:rFonts w:hint="eastAsia" w:eastAsia="仿宋_GB2312"/>
          <w:color w:val="000000" w:themeColor="text1"/>
          <w:highlight w:val="none"/>
          <w:lang w:val="en-US" w:eastAsia="zh-CN"/>
          <w14:textFill>
            <w14:solidFill>
              <w14:schemeClr w14:val="tx1"/>
            </w14:solidFill>
          </w14:textFill>
        </w:rPr>
      </w:pPr>
      <w:r>
        <w:rPr>
          <w:rFonts w:hint="eastAsia" w:eastAsia="仿宋_GB2312"/>
          <w:color w:val="000000" w:themeColor="text1"/>
          <w:highlight w:val="none"/>
          <w:lang w:val="en-US"/>
          <w14:textFill>
            <w14:solidFill>
              <w14:schemeClr w14:val="tx1"/>
            </w14:solidFill>
          </w14:textFill>
        </w:rPr>
        <w:t>目前</w:t>
      </w:r>
      <w:r>
        <w:rPr>
          <w:rFonts w:hint="eastAsia" w:eastAsia="仿宋_GB2312"/>
          <w:color w:val="000000" w:themeColor="text1"/>
          <w:highlight w:val="none"/>
          <w:lang w:val="en-US" w:eastAsia="zh-CN"/>
          <w14:textFill>
            <w14:solidFill>
              <w14:schemeClr w14:val="tx1"/>
            </w14:solidFill>
          </w14:textFill>
        </w:rPr>
        <w:t>张庄寨镇</w:t>
      </w:r>
      <w:r>
        <w:rPr>
          <w:rFonts w:hint="eastAsia" w:eastAsia="仿宋_GB2312"/>
          <w:color w:val="000000" w:themeColor="text1"/>
          <w:highlight w:val="none"/>
          <w:lang w:val="en-US"/>
          <w14:textFill>
            <w14:solidFill>
              <w14:schemeClr w14:val="tx1"/>
            </w14:solidFill>
          </w14:textFill>
        </w:rPr>
        <w:t>历史建筑1处</w:t>
      </w:r>
      <w:r>
        <w:rPr>
          <w:rFonts w:hint="eastAsia" w:eastAsia="仿宋_GB2312"/>
          <w:color w:val="000000" w:themeColor="text1"/>
          <w:highlight w:val="none"/>
          <w:lang w:val="en-US" w:eastAsia="zh-CN"/>
          <w14:textFill>
            <w14:solidFill>
              <w14:schemeClr w14:val="tx1"/>
            </w14:solidFill>
          </w14:textFill>
        </w:rPr>
        <w:t>，为杭子张氏支祠</w:t>
      </w:r>
      <w:r>
        <w:rPr>
          <w:rFonts w:hint="eastAsia" w:eastAsia="仿宋_GB2312"/>
          <w:color w:val="000000" w:themeColor="text1"/>
          <w:highlight w:val="none"/>
          <w:lang w:val="en-US"/>
          <w14:textFill>
            <w14:solidFill>
              <w14:schemeClr w14:val="tx1"/>
            </w14:solidFill>
          </w14:textFill>
        </w:rPr>
        <w:t>。划定文物保护单位的保护范围和建设控制地带，落实保护责任主体，明确管理保护要求，严禁在保护范围内进行破坏性建设。</w:t>
      </w:r>
    </w:p>
    <w:p w14:paraId="7C851CEE">
      <w:pPr>
        <w:pStyle w:val="3"/>
        <w:numPr>
          <w:ilvl w:val="0"/>
          <w:numId w:val="10"/>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74" w:name="_Toc166340631"/>
      <w:bookmarkStart w:id="75" w:name="_Hlk171686868"/>
      <w:bookmarkStart w:id="76" w:name="_Toc25051"/>
      <w:r>
        <w:rPr>
          <w:rFonts w:hint="eastAsia" w:ascii="黑体" w:hAnsi="黑体" w:eastAsia="黑体"/>
          <w:color w:val="000000" w:themeColor="text1"/>
          <w:highlight w:val="none"/>
          <w:lang w:eastAsia="zh-CN"/>
          <w14:textFill>
            <w14:solidFill>
              <w14:schemeClr w14:val="tx1"/>
            </w14:solidFill>
          </w14:textFill>
        </w:rPr>
        <w:t>塑造</w:t>
      </w:r>
      <w:bookmarkEnd w:id="74"/>
      <w:r>
        <w:rPr>
          <w:rFonts w:hint="eastAsia" w:ascii="黑体" w:hAnsi="黑体" w:eastAsia="黑体"/>
          <w:color w:val="000000" w:themeColor="text1"/>
          <w:highlight w:val="none"/>
          <w:lang w:eastAsia="zh-CN"/>
          <w14:textFill>
            <w14:solidFill>
              <w14:schemeClr w14:val="tx1"/>
            </w14:solidFill>
          </w14:textFill>
        </w:rPr>
        <w:t>自然生态魅力城镇</w:t>
      </w:r>
      <w:bookmarkEnd w:id="75"/>
      <w:bookmarkEnd w:id="76"/>
    </w:p>
    <w:p w14:paraId="19B3E401">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塑造城乡特色风貌</w:t>
      </w:r>
    </w:p>
    <w:p w14:paraId="253EB27D">
      <w:pPr>
        <w:pStyle w:val="13"/>
        <w:spacing w:before="0" w:beforeLines="0" w:line="360" w:lineRule="auto"/>
        <w:ind w:left="0" w:leftChars="0" w:right="110" w:firstLine="681" w:firstLineChars="213"/>
        <w:rPr>
          <w:rFonts w:hint="eastAsia" w:eastAsiaTheme="minorEastAsia"/>
          <w:color w:val="000000" w:themeColor="text1"/>
          <w:highlight w:val="none"/>
          <w:lang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结合张庄寨商贸重镇特征，挖掘板材产业文化与皖北民居特色，构筑蓝绿生态骨架。镇区建设应控制建筑高度和体量，沿G237和主要街道形成整洁有序的街道界面，构建具有地域特色的城镇风貌。</w:t>
      </w:r>
    </w:p>
    <w:p w14:paraId="71521AC2">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保护自然田园格局</w:t>
      </w:r>
    </w:p>
    <w:p w14:paraId="75D96AE7">
      <w:pPr>
        <w:pStyle w:val="13"/>
        <w:spacing w:before="0" w:beforeLines="0" w:line="360" w:lineRule="auto"/>
        <w:ind w:left="0" w:leftChars="0" w:right="110" w:firstLine="681" w:firstLineChars="213"/>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强化洪河水网交错、林田交织的自然生态格局，塑造多样化的自然景观特色。重点打造洪河滨水景观带，形成“水城相融”的特色风貌。</w:t>
      </w:r>
    </w:p>
    <w:p w14:paraId="30E70572">
      <w:pPr>
        <w:pStyle w:val="3"/>
        <w:numPr>
          <w:ilvl w:val="0"/>
          <w:numId w:val="10"/>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77" w:name="_Toc4241"/>
      <w:r>
        <w:rPr>
          <w:rFonts w:hint="eastAsia" w:ascii="黑体" w:hAnsi="黑体" w:eastAsia="黑体"/>
          <w:color w:val="000000" w:themeColor="text1"/>
          <w:highlight w:val="none"/>
          <w:lang w:eastAsia="zh-CN"/>
          <w14:textFill>
            <w14:solidFill>
              <w14:schemeClr w14:val="tx1"/>
            </w14:solidFill>
          </w14:textFill>
        </w:rPr>
        <w:t>凸显田园风光镇村特色</w:t>
      </w:r>
      <w:bookmarkEnd w:id="77"/>
    </w:p>
    <w:p w14:paraId="29C8C50D">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强化镇村高度管控</w:t>
      </w:r>
    </w:p>
    <w:p w14:paraId="163C4703">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镇区范围内引导建筑高度有序控制，乡村地区严格控制农房高度，一般不超过3层。统筹考虑城乡空间管控的刚性要求，协调好新建建筑与生态环境的关系。</w:t>
      </w:r>
    </w:p>
    <w:p w14:paraId="217CF5EA">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保护乡村田园风光</w:t>
      </w:r>
    </w:p>
    <w:p w14:paraId="51F2D1D9">
      <w:pPr>
        <w:pStyle w:val="13"/>
        <w:spacing w:before="0" w:beforeLines="0" w:line="360" w:lineRule="auto"/>
        <w:ind w:left="0" w:leftChars="0" w:right="110" w:firstLine="681" w:firstLineChars="213"/>
        <w:jc w:val="left"/>
        <w:rPr>
          <w:rFonts w:hint="eastAsia" w:eastAsia="仿宋_GB2312"/>
          <w:color w:val="000000" w:themeColor="text1"/>
          <w:highlight w:val="none"/>
          <w14:textFill>
            <w14:solidFill>
              <w14:schemeClr w14:val="tx1"/>
            </w14:solidFill>
          </w14:textFill>
        </w:rPr>
      </w:pPr>
      <w:bookmarkStart w:id="78" w:name="_Hlk152692932"/>
      <w:r>
        <w:rPr>
          <w:rFonts w:hint="eastAsia" w:eastAsia="仿宋_GB2312"/>
          <w:color w:val="000000" w:themeColor="text1"/>
          <w:highlight w:val="none"/>
          <w14:textFill>
            <w14:solidFill>
              <w14:schemeClr w14:val="tx1"/>
            </w14:solidFill>
          </w14:textFill>
        </w:rPr>
        <w:t>乡村建设应保持田园风光，突出乡土气息。农房建设鼓励采用</w:t>
      </w:r>
      <w:r>
        <w:rPr>
          <w:rFonts w:hint="eastAsia" w:eastAsia="仿宋_GB2312"/>
          <w:color w:val="000000" w:themeColor="text1"/>
          <w:highlight w:val="none"/>
          <w:lang w:val="en-US" w:eastAsia="zh-CN"/>
          <w14:textFill>
            <w14:solidFill>
              <w14:schemeClr w14:val="tx1"/>
            </w14:solidFill>
          </w14:textFill>
        </w:rPr>
        <w:t>具有</w:t>
      </w:r>
      <w:r>
        <w:rPr>
          <w:rFonts w:hint="eastAsia" w:eastAsia="仿宋_GB2312"/>
          <w:color w:val="000000" w:themeColor="text1"/>
          <w:highlight w:val="none"/>
          <w14:textFill>
            <w14:solidFill>
              <w14:schemeClr w14:val="tx1"/>
            </w14:solidFill>
          </w14:textFill>
        </w:rPr>
        <w:t>皖北特色的建筑风格，推广坡屋顶、淡雅色彩，避免“千村一面”和“大拆大建”。</w:t>
      </w:r>
    </w:p>
    <w:p w14:paraId="20F862E0">
      <w:pPr>
        <w:rPr>
          <w:rFonts w:hint="eastAsia" w:eastAsia="仿宋_GB2312"/>
          <w:color w:val="000000" w:themeColor="text1"/>
          <w:highlight w:val="none"/>
          <w14:textFill>
            <w14:solidFill>
              <w14:schemeClr w14:val="tx1"/>
            </w14:solidFill>
          </w14:textFill>
        </w:rPr>
      </w:pPr>
    </w:p>
    <w:p w14:paraId="6B694261">
      <w:pPr>
        <w:pStyle w:val="13"/>
        <w:spacing w:before="0" w:beforeLines="0" w:line="360" w:lineRule="auto"/>
        <w:ind w:left="0" w:leftChars="0" w:right="110" w:firstLine="681" w:firstLineChars="213"/>
        <w:jc w:val="left"/>
        <w:rPr>
          <w:rFonts w:hint="eastAsia" w:eastAsia="PMingLiU"/>
          <w:color w:val="000000" w:themeColor="text1"/>
          <w:highlight w:val="none"/>
          <w:lang w:eastAsia="zh-CN"/>
          <w14:textFill>
            <w14:solidFill>
              <w14:schemeClr w14:val="tx1"/>
            </w14:solidFill>
          </w14:textFill>
        </w:rPr>
        <w:sectPr>
          <w:pgSz w:w="11906" w:h="16838"/>
          <w:pgMar w:top="1440" w:right="1800" w:bottom="1440" w:left="1800" w:header="720" w:footer="720" w:gutter="0"/>
          <w:cols w:space="720" w:num="1"/>
          <w:docGrid w:linePitch="299" w:charSpace="0"/>
        </w:sectPr>
      </w:pPr>
    </w:p>
    <w:bookmarkEnd w:id="78"/>
    <w:p w14:paraId="40246731">
      <w:pPr>
        <w:pStyle w:val="2"/>
        <w:spacing w:before="0" w:line="360" w:lineRule="auto"/>
        <w:ind w:left="0" w:firstLine="0"/>
        <w:jc w:val="center"/>
        <w:rPr>
          <w:rFonts w:hint="eastAsia" w:ascii="华光小标宋_CNKI" w:hAnsi="华光小标宋_CNKI" w:eastAsia="PMingLiU"/>
          <w:color w:val="000000" w:themeColor="text1"/>
          <w:spacing w:val="5"/>
          <w:highlight w:val="none"/>
          <w14:textFill>
            <w14:solidFill>
              <w14:schemeClr w14:val="tx1"/>
            </w14:solidFill>
          </w14:textFill>
        </w:rPr>
      </w:pPr>
      <w:bookmarkStart w:id="79" w:name="_bookmark31"/>
      <w:bookmarkEnd w:id="79"/>
      <w:bookmarkStart w:id="80" w:name="_Toc14447"/>
      <w:r>
        <w:rPr>
          <w:rFonts w:hint="eastAsia" w:ascii="华光小标宋_CNKI" w:hAnsi="华光小标宋_CNKI" w:eastAsia="华光小标宋_CNKI"/>
          <w:color w:val="000000" w:themeColor="text1"/>
          <w:spacing w:val="5"/>
          <w:highlight w:val="none"/>
          <w14:textFill>
            <w14:solidFill>
              <w14:schemeClr w14:val="tx1"/>
            </w14:solidFill>
          </w14:textFill>
        </w:rPr>
        <w:t>优化</w:t>
      </w:r>
      <w:r>
        <w:rPr>
          <w:rFonts w:hint="eastAsia" w:ascii="华光小标宋_CNKI" w:hAnsi="华光小标宋_CNKI" w:eastAsia="华光小标宋_CNKI"/>
          <w:color w:val="000000" w:themeColor="text1"/>
          <w:spacing w:val="5"/>
          <w:highlight w:val="none"/>
          <w:lang w:eastAsia="zh-CN"/>
          <w14:textFill>
            <w14:solidFill>
              <w14:schemeClr w14:val="tx1"/>
            </w14:solidFill>
          </w14:textFill>
        </w:rPr>
        <w:t>镇区</w:t>
      </w:r>
      <w:r>
        <w:rPr>
          <w:rFonts w:ascii="华光小标宋_CNKI" w:hAnsi="华光小标宋_CNKI" w:eastAsia="华光小标宋_CNKI"/>
          <w:color w:val="000000" w:themeColor="text1"/>
          <w:spacing w:val="5"/>
          <w:highlight w:val="none"/>
          <w14:textFill>
            <w14:solidFill>
              <w14:schemeClr w14:val="tx1"/>
            </w14:solidFill>
          </w14:textFill>
        </w:rPr>
        <w:t>空间布局，提升乡镇宜居品质</w:t>
      </w:r>
      <w:bookmarkEnd w:id="80"/>
    </w:p>
    <w:p w14:paraId="4F97A8A1">
      <w:pPr>
        <w:pStyle w:val="13"/>
        <w:spacing w:before="0" w:beforeLines="0" w:line="360" w:lineRule="auto"/>
        <w:ind w:left="0" w:leftChars="0" w:right="110" w:firstLine="681" w:firstLineChars="213"/>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传承水城相融的空间形态，构建“一轴、两带、三区”的镇区空间结构。面向新时期人民对美好生活的向往，优化城镇用地布局，完善公共服务设施配置，优化市政基础设施布局，加强城镇空间形态管控。</w:t>
      </w:r>
    </w:p>
    <w:p w14:paraId="082CFC90">
      <w:pPr>
        <w:pStyle w:val="3"/>
        <w:numPr>
          <w:ilvl w:val="0"/>
          <w:numId w:val="11"/>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81" w:name="_bookmark32"/>
      <w:bookmarkEnd w:id="81"/>
      <w:bookmarkStart w:id="82" w:name="_Toc22789"/>
      <w:r>
        <w:rPr>
          <w:rFonts w:hint="eastAsia" w:ascii="黑体" w:hAnsi="黑体" w:eastAsia="黑体"/>
          <w:color w:val="000000" w:themeColor="text1"/>
          <w:highlight w:val="none"/>
          <w:lang w:eastAsia="zh-CN"/>
          <w14:textFill>
            <w14:solidFill>
              <w14:schemeClr w14:val="tx1"/>
            </w14:solidFill>
          </w14:textFill>
        </w:rPr>
        <w:t>优化镇区用地布局</w:t>
      </w:r>
      <w:bookmarkEnd w:id="82"/>
    </w:p>
    <w:p w14:paraId="1F12ACFA">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构建“一轴</w:t>
      </w:r>
      <w:r>
        <w:rPr>
          <w:rFonts w:hint="eastAsia" w:eastAsia="仿宋_GB2312"/>
          <w:color w:val="000000" w:themeColor="text1"/>
          <w:w w:val="105"/>
          <w:sz w:val="32"/>
          <w:highlight w:val="none"/>
          <w:lang w:val="en-US" w:eastAsia="zh-CN"/>
          <w14:textFill>
            <w14:solidFill>
              <w14:schemeClr w14:val="tx1"/>
            </w14:solidFill>
          </w14:textFill>
        </w:rPr>
        <w:t>一</w:t>
      </w:r>
      <w:r>
        <w:rPr>
          <w:rFonts w:hint="eastAsia" w:eastAsia="仿宋_GB2312"/>
          <w:color w:val="000000" w:themeColor="text1"/>
          <w:w w:val="105"/>
          <w:sz w:val="32"/>
          <w:highlight w:val="none"/>
          <w14:textFill>
            <w14:solidFill>
              <w14:schemeClr w14:val="tx1"/>
            </w14:solidFill>
          </w14:textFill>
        </w:rPr>
        <w:t>带</w:t>
      </w:r>
      <w:r>
        <w:rPr>
          <w:rFonts w:hint="eastAsia" w:eastAsia="仿宋_GB2312"/>
          <w:color w:val="000000" w:themeColor="text1"/>
          <w:w w:val="105"/>
          <w:sz w:val="32"/>
          <w:highlight w:val="none"/>
          <w:lang w:val="en-US" w:eastAsia="zh-CN"/>
          <w14:textFill>
            <w14:solidFill>
              <w14:schemeClr w14:val="tx1"/>
            </w14:solidFill>
          </w14:textFill>
        </w:rPr>
        <w:t>三区</w:t>
      </w:r>
      <w:r>
        <w:rPr>
          <w:rFonts w:hint="eastAsia" w:eastAsia="仿宋_GB2312"/>
          <w:color w:val="000000" w:themeColor="text1"/>
          <w:w w:val="105"/>
          <w:sz w:val="32"/>
          <w:highlight w:val="none"/>
          <w14:textFill>
            <w14:solidFill>
              <w14:schemeClr w14:val="tx1"/>
            </w14:solidFill>
          </w14:textFill>
        </w:rPr>
        <w:t>”的空间格局</w:t>
      </w:r>
    </w:p>
    <w:p w14:paraId="2A82B68F">
      <w:pPr>
        <w:pStyle w:val="13"/>
        <w:spacing w:before="0" w:beforeLines="0" w:line="360" w:lineRule="auto"/>
        <w:ind w:left="0" w:leftChars="0" w:right="110" w:firstLine="681" w:firstLineChars="213"/>
        <w:rPr>
          <w:rFonts w:hint="eastAsia" w:eastAsia="PMingLiU"/>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推进</w:t>
      </w:r>
      <w:r>
        <w:rPr>
          <w:rFonts w:hint="eastAsia" w:eastAsia="仿宋_GB2312"/>
          <w:color w:val="000000" w:themeColor="text1"/>
          <w:highlight w:val="none"/>
          <w:lang w:eastAsia="zh-CN"/>
          <w14:textFill>
            <w14:solidFill>
              <w14:schemeClr w14:val="tx1"/>
            </w14:solidFill>
          </w14:textFill>
        </w:rPr>
        <w:t>张庄寨镇</w:t>
      </w:r>
      <w:r>
        <w:rPr>
          <w:rFonts w:hint="eastAsia" w:eastAsia="仿宋_GB2312"/>
          <w:color w:val="000000" w:themeColor="text1"/>
          <w:highlight w:val="none"/>
          <w:lang w:val="en-US" w:eastAsia="zh-CN"/>
          <w14:textFill>
            <w14:solidFill>
              <w14:schemeClr w14:val="tx1"/>
            </w14:solidFill>
          </w14:textFill>
        </w:rPr>
        <w:t>中心优化，组团拓展</w:t>
      </w:r>
      <w:r>
        <w:rPr>
          <w:rFonts w:hint="eastAsia" w:eastAsia="仿宋_GB2312"/>
          <w:color w:val="000000" w:themeColor="text1"/>
          <w:highlight w:val="none"/>
          <w14:textFill>
            <w14:solidFill>
              <w14:schemeClr w14:val="tx1"/>
            </w14:solidFill>
          </w14:textFill>
        </w:rPr>
        <w:t>，构建“</w:t>
      </w:r>
      <w:r>
        <w:rPr>
          <w:rFonts w:hint="eastAsia" w:eastAsia="仿宋_GB2312"/>
          <w:color w:val="000000" w:themeColor="text1"/>
          <w:w w:val="105"/>
          <w:sz w:val="32"/>
          <w:highlight w:val="none"/>
          <w14:textFill>
            <w14:solidFill>
              <w14:schemeClr w14:val="tx1"/>
            </w14:solidFill>
          </w14:textFill>
        </w:rPr>
        <w:t>一轴</w:t>
      </w:r>
      <w:r>
        <w:rPr>
          <w:rFonts w:hint="eastAsia" w:eastAsia="仿宋_GB2312"/>
          <w:color w:val="000000" w:themeColor="text1"/>
          <w:w w:val="105"/>
          <w:sz w:val="32"/>
          <w:highlight w:val="none"/>
          <w:lang w:val="en-US" w:eastAsia="zh-CN"/>
          <w14:textFill>
            <w14:solidFill>
              <w14:schemeClr w14:val="tx1"/>
            </w14:solidFill>
          </w14:textFill>
        </w:rPr>
        <w:t>一</w:t>
      </w:r>
      <w:r>
        <w:rPr>
          <w:rFonts w:hint="eastAsia" w:eastAsia="仿宋_GB2312"/>
          <w:color w:val="000000" w:themeColor="text1"/>
          <w:w w:val="105"/>
          <w:sz w:val="32"/>
          <w:highlight w:val="none"/>
          <w14:textFill>
            <w14:solidFill>
              <w14:schemeClr w14:val="tx1"/>
            </w14:solidFill>
          </w14:textFill>
        </w:rPr>
        <w:t>带三区</w:t>
      </w:r>
      <w:r>
        <w:rPr>
          <w:rFonts w:hint="eastAsia" w:eastAsia="仿宋_GB2312"/>
          <w:color w:val="000000" w:themeColor="text1"/>
          <w:highlight w:val="none"/>
          <w14:textFill>
            <w14:solidFill>
              <w14:schemeClr w14:val="tx1"/>
            </w14:solidFill>
          </w14:textFill>
        </w:rPr>
        <w:t>”的城镇空间结构。</w:t>
      </w:r>
    </w:p>
    <w:p w14:paraId="278488B2">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eastAsia="仿宋_GB2312"/>
          <w:color w:val="000000" w:themeColor="text1"/>
          <w:w w:val="105"/>
          <w:sz w:val="32"/>
          <w:highlight w:val="none"/>
          <w14:textFill>
            <w14:solidFill>
              <w14:schemeClr w14:val="tx1"/>
            </w14:solidFill>
          </w14:textFill>
        </w:rPr>
        <w:t>优化</w:t>
      </w:r>
      <w:r>
        <w:rPr>
          <w:rFonts w:hint="eastAsia" w:eastAsia="仿宋_GB2312"/>
          <w:color w:val="000000" w:themeColor="text1"/>
          <w:w w:val="105"/>
          <w:sz w:val="32"/>
          <w:highlight w:val="none"/>
          <w:lang w:eastAsia="zh-CN"/>
          <w14:textFill>
            <w14:solidFill>
              <w14:schemeClr w14:val="tx1"/>
            </w14:solidFill>
          </w14:textFill>
        </w:rPr>
        <w:t>镇区</w:t>
      </w:r>
      <w:r>
        <w:rPr>
          <w:rFonts w:eastAsia="仿宋_GB2312"/>
          <w:color w:val="000000" w:themeColor="text1"/>
          <w:w w:val="105"/>
          <w:sz w:val="32"/>
          <w:highlight w:val="none"/>
          <w14:textFill>
            <w14:solidFill>
              <w14:schemeClr w14:val="tx1"/>
            </w14:solidFill>
          </w14:textFill>
        </w:rPr>
        <w:t>组团布局</w:t>
      </w:r>
    </w:p>
    <w:p w14:paraId="31D97030">
      <w:pPr>
        <w:pStyle w:val="13"/>
        <w:spacing w:before="0" w:beforeLines="0" w:line="360" w:lineRule="auto"/>
        <w:ind w:left="0" w:leftChars="0" w:right="110" w:firstLine="681" w:firstLineChars="213"/>
        <w:rPr>
          <w:rFonts w:hint="default" w:eastAsia="仿宋_GB2312"/>
          <w:color w:val="000000" w:themeColor="text1"/>
          <w:highlight w:val="none"/>
          <w:lang w:val="en-US"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合理确定组团规模，引导居住用地向镇区中部和南部集中，工业仓储用地向北部产业集聚区集中，严禁在居住区混杂布局工业项目，提升产城融合度</w:t>
      </w:r>
      <w:r>
        <w:rPr>
          <w:rFonts w:hint="eastAsia" w:eastAsia="仿宋_GB2312"/>
          <w:color w:val="000000" w:themeColor="text1"/>
          <w:highlight w:val="none"/>
          <w:lang w:val="en-US" w:eastAsia="zh-CN"/>
          <w14:textFill>
            <w14:solidFill>
              <w14:schemeClr w14:val="tx1"/>
            </w14:solidFill>
          </w14:textFill>
        </w:rPr>
        <w:t>。</w:t>
      </w:r>
    </w:p>
    <w:p w14:paraId="4D23C510">
      <w:pPr>
        <w:pStyle w:val="3"/>
        <w:numPr>
          <w:ilvl w:val="0"/>
          <w:numId w:val="11"/>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83" w:name="_Toc21022"/>
      <w:r>
        <w:rPr>
          <w:rFonts w:hint="eastAsia" w:ascii="黑体" w:hAnsi="黑体" w:eastAsia="黑体"/>
          <w:color w:val="000000" w:themeColor="text1"/>
          <w:highlight w:val="none"/>
          <w:lang w:eastAsia="zh-CN"/>
          <w14:textFill>
            <w14:solidFill>
              <w14:schemeClr w14:val="tx1"/>
            </w14:solidFill>
          </w14:textFill>
        </w:rPr>
        <w:t>构建绿色安全的交通网络</w:t>
      </w:r>
      <w:bookmarkEnd w:id="83"/>
    </w:p>
    <w:p w14:paraId="704BE002">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构建通达便捷的交通网络格局</w:t>
      </w:r>
    </w:p>
    <w:p w14:paraId="29DDADD4">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b/>
          <w:bCs/>
          <w:color w:val="000000" w:themeColor="text1"/>
          <w:highlight w:val="none"/>
          <w14:textFill>
            <w14:solidFill>
              <w14:schemeClr w14:val="tx1"/>
            </w14:solidFill>
          </w14:textFill>
        </w:rPr>
        <w:t>对外提升道路等级</w:t>
      </w:r>
      <w:r>
        <w:rPr>
          <w:rFonts w:hint="eastAsia" w:eastAsia="仿宋_GB2312"/>
          <w:b/>
          <w:bCs/>
          <w:color w:val="000000" w:themeColor="text1"/>
          <w:highlight w:val="none"/>
          <w:lang w:eastAsia="zh-CN"/>
          <w14:textFill>
            <w14:solidFill>
              <w14:schemeClr w14:val="tx1"/>
            </w14:solidFill>
          </w14:textFill>
        </w:rPr>
        <w:t>。</w:t>
      </w:r>
      <w:r>
        <w:rPr>
          <w:rFonts w:hint="eastAsia" w:eastAsia="仿宋_GB2312"/>
          <w:color w:val="000000" w:themeColor="text1"/>
          <w:highlight w:val="none"/>
          <w14:textFill>
            <w14:solidFill>
              <w14:schemeClr w14:val="tx1"/>
            </w14:solidFill>
          </w14:textFill>
        </w:rPr>
        <w:t>全力配合G237国道改线工程，优化过境交通组织，减少对镇区内部交通的干扰</w:t>
      </w:r>
      <w:r>
        <w:rPr>
          <w:rFonts w:eastAsia="仿宋_GB2312"/>
          <w:color w:val="000000" w:themeColor="text1"/>
          <w:highlight w:val="none"/>
          <w14:textFill>
            <w14:solidFill>
              <w14:schemeClr w14:val="tx1"/>
            </w14:solidFill>
          </w14:textFill>
        </w:rPr>
        <w:t>。</w:t>
      </w:r>
    </w:p>
    <w:p w14:paraId="733104A0">
      <w:pPr>
        <w:pStyle w:val="13"/>
        <w:spacing w:before="0" w:beforeLines="0" w:line="360" w:lineRule="auto"/>
        <w:ind w:left="110" w:right="110" w:firstLine="643"/>
        <w:rPr>
          <w:rFonts w:hint="eastAsia" w:eastAsia="仿宋_GB2312"/>
          <w:color w:val="000000" w:themeColor="text1"/>
          <w:highlight w:val="none"/>
          <w14:textFill>
            <w14:solidFill>
              <w14:schemeClr w14:val="tx1"/>
            </w14:solidFill>
          </w14:textFill>
        </w:rPr>
      </w:pPr>
      <w:r>
        <w:rPr>
          <w:rFonts w:hint="eastAsia" w:eastAsia="仿宋_GB2312"/>
          <w:b/>
          <w:bCs/>
          <w:color w:val="000000" w:themeColor="text1"/>
          <w:highlight w:val="none"/>
          <w14:textFill>
            <w14:solidFill>
              <w14:schemeClr w14:val="tx1"/>
            </w14:solidFill>
          </w14:textFill>
        </w:rPr>
        <w:t>优化道路网布局</w:t>
      </w:r>
      <w:r>
        <w:rPr>
          <w:rFonts w:eastAsia="仿宋_GB2312"/>
          <w:b/>
          <w:bCs/>
          <w:color w:val="000000" w:themeColor="text1"/>
          <w:highlight w:val="none"/>
          <w14:textFill>
            <w14:solidFill>
              <w14:schemeClr w14:val="tx1"/>
            </w14:solidFill>
          </w14:textFill>
        </w:rPr>
        <w:t>。</w:t>
      </w:r>
      <w:r>
        <w:rPr>
          <w:rFonts w:hint="eastAsia" w:eastAsia="仿宋_GB2312"/>
          <w:color w:val="000000" w:themeColor="text1"/>
          <w:highlight w:val="none"/>
          <w14:textFill>
            <w14:solidFill>
              <w14:schemeClr w14:val="tx1"/>
            </w14:solidFill>
          </w14:textFill>
        </w:rPr>
        <w:t>提升现状道路网等级，增加主次干道数量，构建内畅外联的交通网络体系，形成“</w:t>
      </w:r>
      <w:r>
        <w:rPr>
          <w:rFonts w:hint="eastAsia" w:eastAsia="仿宋_GB2312"/>
          <w:color w:val="000000" w:themeColor="text1"/>
          <w:highlight w:val="none"/>
          <w:lang w:val="en-US" w:eastAsia="zh-CN"/>
          <w14:textFill>
            <w14:solidFill>
              <w14:schemeClr w14:val="tx1"/>
            </w14:solidFill>
          </w14:textFill>
        </w:rPr>
        <w:t>五</w:t>
      </w:r>
      <w:r>
        <w:rPr>
          <w:rFonts w:hint="eastAsia" w:eastAsia="仿宋_GB2312"/>
          <w:color w:val="000000" w:themeColor="text1"/>
          <w:highlight w:val="none"/>
          <w14:textFill>
            <w14:solidFill>
              <w14:schemeClr w14:val="tx1"/>
            </w14:solidFill>
          </w14:textFill>
        </w:rPr>
        <w:t>横</w:t>
      </w:r>
      <w:r>
        <w:rPr>
          <w:rFonts w:hint="eastAsia" w:eastAsia="仿宋_GB2312"/>
          <w:color w:val="000000" w:themeColor="text1"/>
          <w:highlight w:val="none"/>
          <w:lang w:val="en-US" w:eastAsia="zh-CN"/>
          <w14:textFill>
            <w14:solidFill>
              <w14:schemeClr w14:val="tx1"/>
            </w14:solidFill>
          </w14:textFill>
        </w:rPr>
        <w:t>四</w:t>
      </w:r>
      <w:r>
        <w:rPr>
          <w:rFonts w:hint="eastAsia" w:eastAsia="仿宋_GB2312"/>
          <w:color w:val="000000" w:themeColor="text1"/>
          <w:highlight w:val="none"/>
          <w14:textFill>
            <w14:solidFill>
              <w14:schemeClr w14:val="tx1"/>
            </w14:solidFill>
          </w14:textFill>
        </w:rPr>
        <w:t>纵</w:t>
      </w:r>
      <w:r>
        <w:rPr>
          <w:rFonts w:hint="eastAsia" w:eastAsia="仿宋_GB2312"/>
          <w:color w:val="000000" w:themeColor="text1"/>
          <w:highlight w:val="none"/>
          <w:lang w:eastAsia="zh-CN"/>
          <w14:textFill>
            <w14:solidFill>
              <w14:schemeClr w14:val="tx1"/>
            </w14:solidFill>
          </w14:textFill>
        </w:rPr>
        <w:t>”</w:t>
      </w:r>
      <w:r>
        <w:rPr>
          <w:rFonts w:hint="eastAsia" w:eastAsia="仿宋_GB2312"/>
          <w:color w:val="000000" w:themeColor="text1"/>
          <w:highlight w:val="none"/>
          <w14:textFill>
            <w14:solidFill>
              <w14:schemeClr w14:val="tx1"/>
            </w14:solidFill>
          </w14:textFill>
        </w:rPr>
        <w:t>的</w:t>
      </w:r>
      <w:r>
        <w:rPr>
          <w:rFonts w:hint="eastAsia" w:eastAsia="仿宋_GB2312"/>
          <w:color w:val="000000" w:themeColor="text1"/>
          <w:highlight w:val="none"/>
          <w:lang w:val="en-US" w:eastAsia="zh-CN"/>
          <w14:textFill>
            <w14:solidFill>
              <w14:schemeClr w14:val="tx1"/>
            </w14:solidFill>
          </w14:textFill>
        </w:rPr>
        <w:t>镇区干路网</w:t>
      </w:r>
      <w:r>
        <w:rPr>
          <w:rFonts w:hint="eastAsia" w:eastAsia="仿宋_GB2312"/>
          <w:color w:val="000000" w:themeColor="text1"/>
          <w:highlight w:val="none"/>
          <w14:textFill>
            <w14:solidFill>
              <w14:schemeClr w14:val="tx1"/>
            </w14:solidFill>
          </w14:textFill>
        </w:rPr>
        <w:t>结构。</w:t>
      </w:r>
    </w:p>
    <w:p w14:paraId="1C9FB893">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布局以公共交通为引领的绿色出行体系</w:t>
      </w:r>
    </w:p>
    <w:p w14:paraId="3678A7A2">
      <w:pPr>
        <w:pStyle w:val="13"/>
        <w:spacing w:before="0" w:beforeLines="0" w:line="360" w:lineRule="auto"/>
        <w:ind w:left="110" w:right="110" w:firstLine="640"/>
        <w:rPr>
          <w:rFonts w:hint="eastAsia" w:ascii="Times New Roman" w:hAnsi="Times New Roman" w:eastAsia="仿宋_GB2312" w:cs="Times New Roman"/>
          <w:bCs/>
          <w:color w:val="000000" w:themeColor="text1"/>
          <w:kern w:val="2"/>
          <w:sz w:val="32"/>
          <w:szCs w:val="28"/>
          <w:highlight w:val="none"/>
          <w:lang w:bidi="ar"/>
          <w14:textFill>
            <w14:solidFill>
              <w14:schemeClr w14:val="tx1"/>
            </w14:solidFill>
          </w14:textFill>
        </w:rPr>
      </w:pPr>
      <w:r>
        <w:rPr>
          <w:rFonts w:hint="eastAsia" w:ascii="Times New Roman" w:hAnsi="Times New Roman" w:eastAsia="仿宋_GB2312" w:cs="Times New Roman"/>
          <w:bCs/>
          <w:color w:val="000000" w:themeColor="text1"/>
          <w:kern w:val="2"/>
          <w:sz w:val="32"/>
          <w:szCs w:val="28"/>
          <w:highlight w:val="none"/>
          <w:lang w:val="en-US" w:eastAsia="zh-CN" w:bidi="ar"/>
          <w14:textFill>
            <w14:solidFill>
              <w14:schemeClr w14:val="tx1"/>
            </w14:solidFill>
          </w14:textFill>
        </w:rPr>
        <w:t>完善</w:t>
      </w:r>
      <w:r>
        <w:rPr>
          <w:rFonts w:hint="eastAsia" w:ascii="Times New Roman" w:hAnsi="Times New Roman" w:eastAsia="仿宋_GB2312" w:cs="Times New Roman"/>
          <w:bCs/>
          <w:color w:val="000000" w:themeColor="text1"/>
          <w:kern w:val="2"/>
          <w:sz w:val="32"/>
          <w:szCs w:val="28"/>
          <w:highlight w:val="none"/>
          <w:lang w:bidi="ar"/>
          <w14:textFill>
            <w14:solidFill>
              <w14:schemeClr w14:val="tx1"/>
            </w14:solidFill>
          </w14:textFill>
        </w:rPr>
        <w:t>客运站和公交首末站，构建“空间引导、内外衔接、集约高效”的公共交通体系。</w:t>
      </w:r>
    </w:p>
    <w:p w14:paraId="4DC3CF96">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打造全龄友好、生态共生的慢行交通环境</w:t>
      </w:r>
    </w:p>
    <w:p w14:paraId="6BFF903F">
      <w:pPr>
        <w:pStyle w:val="13"/>
        <w:spacing w:before="0" w:beforeLines="0" w:line="360" w:lineRule="auto"/>
        <w:ind w:left="110" w:right="110" w:firstLine="640"/>
        <w:rPr>
          <w:rFonts w:hint="eastAsia" w:eastAsia="仿宋_GB2312"/>
          <w:color w:val="000000" w:themeColor="text1"/>
          <w:highlight w:val="none"/>
          <w:lang w:eastAsia="zh-CN"/>
          <w14:textFill>
            <w14:solidFill>
              <w14:schemeClr w14:val="tx1"/>
            </w14:solidFill>
          </w14:textFill>
        </w:rPr>
      </w:pPr>
      <w:r>
        <w:rPr>
          <w:rFonts w:hint="eastAsia" w:ascii="Times New Roman" w:hAnsi="Times New Roman" w:eastAsia="仿宋_GB2312" w:cs="Times New Roman"/>
          <w:bCs/>
          <w:color w:val="000000" w:themeColor="text1"/>
          <w:kern w:val="2"/>
          <w:sz w:val="32"/>
          <w:szCs w:val="28"/>
          <w:highlight w:val="none"/>
          <w:lang w:bidi="ar"/>
          <w14:textFill>
            <w14:solidFill>
              <w14:schemeClr w14:val="tx1"/>
            </w14:solidFill>
          </w14:textFill>
        </w:rPr>
        <w:t>结合洪河滨水绿地，建设慢行步道和自行车道，提升慢行设施密度，打造舒适宜人的慢行交通环境。</w:t>
      </w:r>
    </w:p>
    <w:p w14:paraId="464DAA29">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构建智能化出行服务系统</w:t>
      </w:r>
    </w:p>
    <w:p w14:paraId="23707043">
      <w:pPr>
        <w:pStyle w:val="13"/>
        <w:spacing w:before="0" w:beforeLines="0" w:line="360" w:lineRule="auto"/>
        <w:ind w:left="110" w:right="110" w:firstLine="640"/>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鼓励智慧交通设施建设，提升交通管理水平。推动智能停车诱导系统建设，形成规范有序的停车环境。</w:t>
      </w:r>
    </w:p>
    <w:p w14:paraId="2B8F84E5">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差异化满足停车需求</w:t>
      </w:r>
    </w:p>
    <w:p w14:paraId="3BEA14C4">
      <w:pPr>
        <w:pStyle w:val="13"/>
        <w:spacing w:before="0" w:beforeLines="0" w:line="360" w:lineRule="auto"/>
        <w:ind w:left="110" w:right="110" w:firstLine="640"/>
        <w:rPr>
          <w:rFonts w:hint="eastAsia" w:ascii="Times New Roman" w:hAnsi="Times New Roman" w:eastAsia="仿宋_GB2312" w:cs="Times New Roman"/>
          <w:bCs/>
          <w:color w:val="000000" w:themeColor="text1"/>
          <w:kern w:val="2"/>
          <w:sz w:val="32"/>
          <w:szCs w:val="28"/>
          <w:highlight w:val="none"/>
          <w:lang w:bidi="ar"/>
          <w14:textFill>
            <w14:solidFill>
              <w14:schemeClr w14:val="tx1"/>
            </w14:solidFill>
          </w14:textFill>
        </w:rPr>
      </w:pPr>
      <w:r>
        <w:rPr>
          <w:rFonts w:hint="eastAsia" w:ascii="Times New Roman" w:hAnsi="Times New Roman" w:eastAsia="仿宋_GB2312" w:cs="Times New Roman"/>
          <w:bCs/>
          <w:color w:val="000000" w:themeColor="text1"/>
          <w:kern w:val="2"/>
          <w:sz w:val="32"/>
          <w:szCs w:val="28"/>
          <w:highlight w:val="none"/>
          <w:lang w:bidi="ar"/>
          <w14:textFill>
            <w14:solidFill>
              <w14:schemeClr w14:val="tx1"/>
            </w14:solidFill>
          </w14:textFill>
        </w:rPr>
        <w:t>结合商业中心、居住区和公共服务设施，合理配建公共停车场。重点保障医院、学校、集贸市场等区域的停车需求。</w:t>
      </w:r>
    </w:p>
    <w:p w14:paraId="1E2B794C">
      <w:pPr>
        <w:pStyle w:val="3"/>
        <w:numPr>
          <w:ilvl w:val="0"/>
          <w:numId w:val="11"/>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84" w:name="_Toc11255"/>
      <w:r>
        <w:rPr>
          <w:rFonts w:hint="eastAsia" w:ascii="黑体" w:hAnsi="黑体" w:eastAsia="黑体"/>
          <w:color w:val="000000" w:themeColor="text1"/>
          <w:highlight w:val="none"/>
          <w:lang w:eastAsia="zh-CN"/>
          <w14:textFill>
            <w14:solidFill>
              <w14:schemeClr w14:val="tx1"/>
            </w14:solidFill>
          </w14:textFill>
        </w:rPr>
        <w:t>打造配套完善的公共服务设施</w:t>
      </w:r>
      <w:bookmarkEnd w:id="84"/>
    </w:p>
    <w:p w14:paraId="04D92723">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构建便捷完善的城镇生活圈配套设施</w:t>
      </w:r>
    </w:p>
    <w:p w14:paraId="19BF2AFB">
      <w:pPr>
        <w:pStyle w:val="13"/>
        <w:spacing w:before="0" w:beforeLines="0" w:line="360" w:lineRule="auto"/>
        <w:ind w:left="110" w:right="110" w:firstLine="643"/>
        <w:rPr>
          <w:rFonts w:hint="eastAsia" w:eastAsia="仿宋_GB2312"/>
          <w:b/>
          <w:bCs/>
          <w:color w:val="000000" w:themeColor="text1"/>
          <w:highlight w:val="none"/>
          <w14:textFill>
            <w14:solidFill>
              <w14:schemeClr w14:val="tx1"/>
            </w14:solidFill>
          </w14:textFill>
        </w:rPr>
      </w:pPr>
      <w:r>
        <w:rPr>
          <w:rFonts w:hint="eastAsia" w:eastAsia="仿宋_GB2312"/>
          <w:b/>
          <w:bCs/>
          <w:color w:val="000000" w:themeColor="text1"/>
          <w:highlight w:val="none"/>
          <w:lang w:eastAsia="zh-CN"/>
          <w14:textFill>
            <w14:solidFill>
              <w14:schemeClr w14:val="tx1"/>
            </w14:solidFill>
          </w14:textFill>
        </w:rPr>
        <w:t>1.</w:t>
      </w:r>
      <w:r>
        <w:rPr>
          <w:rFonts w:eastAsia="仿宋_GB2312"/>
          <w:b/>
          <w:bCs/>
          <w:color w:val="000000" w:themeColor="text1"/>
          <w:highlight w:val="none"/>
          <w14:textFill>
            <w14:solidFill>
              <w14:schemeClr w14:val="tx1"/>
            </w14:solidFill>
          </w14:textFill>
        </w:rPr>
        <w:t>公共中心体系规划</w:t>
      </w:r>
    </w:p>
    <w:p w14:paraId="55E09AAD">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ascii="Times New Roman" w:hAnsi="Times New Roman" w:eastAsia="仿宋_GB2312" w:cs="仿宋_GB2312"/>
          <w:color w:val="000000" w:themeColor="text1"/>
          <w:sz w:val="32"/>
          <w:szCs w:val="28"/>
          <w:highlight w:val="none"/>
          <w:lang w:bidi="ar"/>
          <w14:textFill>
            <w14:solidFill>
              <w14:schemeClr w14:val="tx1"/>
            </w14:solidFill>
          </w14:textFill>
        </w:rPr>
        <w:t>构建“镇级</w:t>
      </w:r>
      <w:r>
        <w:rPr>
          <w:rFonts w:hint="eastAsia" w:ascii="Times New Roman" w:hAnsi="Times New Roman" w:eastAsia="仿宋_GB2312" w:cs="仿宋_GB2312"/>
          <w:color w:val="000000" w:themeColor="text1"/>
          <w:sz w:val="32"/>
          <w:szCs w:val="28"/>
          <w:highlight w:val="none"/>
          <w:lang w:eastAsia="zh-CN" w:bidi="ar"/>
          <w14:textFill>
            <w14:solidFill>
              <w14:schemeClr w14:val="tx1"/>
            </w14:solidFill>
          </w14:textFill>
        </w:rPr>
        <w:t>－</w:t>
      </w:r>
      <w:r>
        <w:rPr>
          <w:rFonts w:hint="eastAsia" w:ascii="Times New Roman" w:hAnsi="Times New Roman" w:eastAsia="仿宋_GB2312" w:cs="仿宋_GB2312"/>
          <w:color w:val="000000" w:themeColor="text1"/>
          <w:sz w:val="32"/>
          <w:szCs w:val="28"/>
          <w:highlight w:val="none"/>
          <w:lang w:bidi="ar"/>
          <w14:textFill>
            <w14:solidFill>
              <w14:schemeClr w14:val="tx1"/>
            </w14:solidFill>
          </w14:textFill>
        </w:rPr>
        <w:t>社区级”两级公服设施体系，重点配置教育、医疗、文化、体育等设施。</w:t>
      </w:r>
    </w:p>
    <w:p w14:paraId="249AC13B">
      <w:pPr>
        <w:pStyle w:val="13"/>
        <w:spacing w:before="0" w:beforeLines="0" w:line="360" w:lineRule="auto"/>
        <w:ind w:left="110" w:right="110" w:firstLine="643"/>
        <w:rPr>
          <w:rFonts w:hint="eastAsia" w:eastAsia="仿宋_GB2312"/>
          <w:b/>
          <w:bCs/>
          <w:color w:val="000000" w:themeColor="text1"/>
          <w:highlight w:val="none"/>
          <w14:textFill>
            <w14:solidFill>
              <w14:schemeClr w14:val="tx1"/>
            </w14:solidFill>
          </w14:textFill>
        </w:rPr>
      </w:pPr>
      <w:r>
        <w:rPr>
          <w:rFonts w:hint="eastAsia" w:eastAsia="仿宋_GB2312"/>
          <w:b/>
          <w:bCs/>
          <w:color w:val="000000" w:themeColor="text1"/>
          <w:highlight w:val="none"/>
          <w:lang w:eastAsia="zh-CN"/>
          <w14:textFill>
            <w14:solidFill>
              <w14:schemeClr w14:val="tx1"/>
            </w14:solidFill>
          </w14:textFill>
        </w:rPr>
        <w:t>2.</w:t>
      </w:r>
      <w:r>
        <w:rPr>
          <w:rFonts w:eastAsia="仿宋_GB2312"/>
          <w:b/>
          <w:bCs/>
          <w:color w:val="000000" w:themeColor="text1"/>
          <w:highlight w:val="none"/>
          <w14:textFill>
            <w14:solidFill>
              <w14:schemeClr w14:val="tx1"/>
            </w14:solidFill>
          </w14:textFill>
        </w:rPr>
        <w:t>文化设施用地规划</w:t>
      </w:r>
    </w:p>
    <w:p w14:paraId="5FF3BADD">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color w:val="000000" w:themeColor="text1"/>
          <w:sz w:val="32"/>
          <w:szCs w:val="32"/>
          <w:highlight w:val="none"/>
          <w14:textFill>
            <w14:solidFill>
              <w14:schemeClr w14:val="tx1"/>
            </w14:solidFill>
          </w14:textFill>
        </w:rPr>
        <w:t>建设镇级文体中心，配套建设图书馆、文化馆分馆。完善社区级文化服务体系。</w:t>
      </w:r>
    </w:p>
    <w:p w14:paraId="2454A699">
      <w:pPr>
        <w:pStyle w:val="13"/>
        <w:spacing w:before="0" w:beforeLines="0" w:line="360" w:lineRule="auto"/>
        <w:ind w:left="110" w:right="110" w:firstLine="643"/>
        <w:rPr>
          <w:rFonts w:hint="eastAsia" w:eastAsia="仿宋_GB2312"/>
          <w:b/>
          <w:bCs/>
          <w:color w:val="000000" w:themeColor="text1"/>
          <w:highlight w:val="none"/>
          <w14:textFill>
            <w14:solidFill>
              <w14:schemeClr w14:val="tx1"/>
            </w14:solidFill>
          </w14:textFill>
        </w:rPr>
      </w:pPr>
      <w:r>
        <w:rPr>
          <w:rFonts w:hint="eastAsia" w:eastAsia="仿宋_GB2312"/>
          <w:b/>
          <w:bCs/>
          <w:color w:val="000000" w:themeColor="text1"/>
          <w:highlight w:val="none"/>
          <w:lang w:eastAsia="zh-CN"/>
          <w14:textFill>
            <w14:solidFill>
              <w14:schemeClr w14:val="tx1"/>
            </w14:solidFill>
          </w14:textFill>
        </w:rPr>
        <w:t>3.</w:t>
      </w:r>
      <w:r>
        <w:rPr>
          <w:rFonts w:eastAsia="仿宋_GB2312"/>
          <w:b/>
          <w:bCs/>
          <w:color w:val="000000" w:themeColor="text1"/>
          <w:highlight w:val="none"/>
          <w14:textFill>
            <w14:solidFill>
              <w14:schemeClr w14:val="tx1"/>
            </w14:solidFill>
          </w14:textFill>
        </w:rPr>
        <w:t>教育用地规划</w:t>
      </w:r>
    </w:p>
    <w:p w14:paraId="5E880E27">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color w:val="000000" w:themeColor="text1"/>
          <w:sz w:val="32"/>
          <w:szCs w:val="32"/>
          <w:highlight w:val="none"/>
          <w14:textFill>
            <w14:solidFill>
              <w14:schemeClr w14:val="tx1"/>
            </w14:solidFill>
          </w14:textFill>
        </w:rPr>
        <w:t>扩建张庄寨中学和中心小学，改善办学条件。完善幼儿园布局，提高学前教育覆盖率。完善托幼、幼儿园的</w:t>
      </w:r>
      <w:r>
        <w:rPr>
          <w:rFonts w:eastAsia="仿宋_GB2312"/>
          <w:color w:val="000000" w:themeColor="text1"/>
          <w:sz w:val="32"/>
          <w:szCs w:val="32"/>
          <w:highlight w:val="none"/>
          <w14:textFill>
            <w14:solidFill>
              <w14:schemeClr w14:val="tx1"/>
            </w14:solidFill>
          </w14:textFill>
        </w:rPr>
        <w:t>300</w:t>
      </w:r>
      <w:r>
        <w:rPr>
          <w:rFonts w:hint="eastAsia" w:eastAsia="仿宋_GB2312"/>
          <w:color w:val="000000" w:themeColor="text1"/>
          <w:sz w:val="32"/>
          <w:szCs w:val="32"/>
          <w:highlight w:val="none"/>
          <w14:textFill>
            <w14:solidFill>
              <w14:schemeClr w14:val="tx1"/>
            </w14:solidFill>
          </w14:textFill>
        </w:rPr>
        <w:t>米服务半径布局，</w:t>
      </w:r>
      <w:r>
        <w:rPr>
          <w:rFonts w:hint="eastAsia" w:eastAsia="仿宋_GB2312"/>
          <w:color w:val="000000" w:themeColor="text1"/>
          <w:sz w:val="32"/>
          <w:szCs w:val="32"/>
          <w:highlight w:val="none"/>
          <w:lang w:val="en-US" w:eastAsia="zh-CN"/>
          <w14:textFill>
            <w14:solidFill>
              <w14:schemeClr w14:val="tx1"/>
            </w14:solidFill>
          </w14:textFill>
        </w:rPr>
        <w:t>镇区</w:t>
      </w:r>
      <w:r>
        <w:rPr>
          <w:rFonts w:hint="eastAsia" w:eastAsia="仿宋_GB2312"/>
          <w:color w:val="000000" w:themeColor="text1"/>
          <w:sz w:val="32"/>
          <w:szCs w:val="32"/>
          <w:highlight w:val="none"/>
          <w14:textFill>
            <w14:solidFill>
              <w14:schemeClr w14:val="tx1"/>
            </w14:solidFill>
          </w14:textFill>
        </w:rPr>
        <w:t>幼儿园满足</w:t>
      </w:r>
      <w:r>
        <w:rPr>
          <w:rFonts w:eastAsia="仿宋_GB2312"/>
          <w:color w:val="000000" w:themeColor="text1"/>
          <w:sz w:val="32"/>
          <w:szCs w:val="32"/>
          <w:highlight w:val="none"/>
          <w14:textFill>
            <w14:solidFill>
              <w14:schemeClr w14:val="tx1"/>
            </w14:solidFill>
          </w14:textFill>
        </w:rPr>
        <w:t>45</w:t>
      </w:r>
      <w:r>
        <w:rPr>
          <w:rFonts w:hint="eastAsia" w:eastAsia="仿宋_GB2312"/>
          <w:color w:val="000000" w:themeColor="text1"/>
          <w:sz w:val="32"/>
          <w:szCs w:val="32"/>
          <w:highlight w:val="none"/>
          <w14:textFill>
            <w14:solidFill>
              <w14:schemeClr w14:val="tx1"/>
            </w14:solidFill>
          </w14:textFill>
        </w:rPr>
        <w:t>‰配比，新建幼儿园生均占地面积不低于</w:t>
      </w:r>
      <w:r>
        <w:rPr>
          <w:rFonts w:eastAsia="仿宋_GB2312"/>
          <w:color w:val="000000" w:themeColor="text1"/>
          <w:sz w:val="32"/>
          <w:szCs w:val="32"/>
          <w:highlight w:val="none"/>
          <w14:textFill>
            <w14:solidFill>
              <w14:schemeClr w14:val="tx1"/>
            </w14:solidFill>
          </w14:textFill>
        </w:rPr>
        <w:t>15</w:t>
      </w:r>
      <w:r>
        <w:rPr>
          <w:rFonts w:hint="eastAsia" w:eastAsia="仿宋_GB2312"/>
          <w:color w:val="000000" w:themeColor="text1"/>
          <w:sz w:val="32"/>
          <w:szCs w:val="32"/>
          <w:highlight w:val="none"/>
          <w14:textFill>
            <w14:solidFill>
              <w14:schemeClr w14:val="tx1"/>
            </w14:solidFill>
          </w14:textFill>
        </w:rPr>
        <w:t>平方米。小学满足</w:t>
      </w:r>
      <w:r>
        <w:rPr>
          <w:rFonts w:eastAsia="仿宋_GB2312"/>
          <w:color w:val="000000" w:themeColor="text1"/>
          <w:sz w:val="32"/>
          <w:szCs w:val="32"/>
          <w:highlight w:val="none"/>
          <w14:textFill>
            <w14:solidFill>
              <w14:schemeClr w14:val="tx1"/>
            </w14:solidFill>
          </w14:textFill>
        </w:rPr>
        <w:t>90‰</w:t>
      </w:r>
      <w:r>
        <w:rPr>
          <w:rFonts w:hint="eastAsia" w:eastAsia="仿宋_GB2312"/>
          <w:color w:val="000000" w:themeColor="text1"/>
          <w:sz w:val="32"/>
          <w:szCs w:val="32"/>
          <w:highlight w:val="none"/>
          <w14:textFill>
            <w14:solidFill>
              <w14:schemeClr w14:val="tx1"/>
            </w14:solidFill>
          </w14:textFill>
        </w:rPr>
        <w:t>配比，初中满足</w:t>
      </w:r>
      <w:r>
        <w:rPr>
          <w:rFonts w:eastAsia="仿宋_GB2312"/>
          <w:color w:val="000000" w:themeColor="text1"/>
          <w:sz w:val="32"/>
          <w:szCs w:val="32"/>
          <w:highlight w:val="none"/>
          <w14:textFill>
            <w14:solidFill>
              <w14:schemeClr w14:val="tx1"/>
            </w14:solidFill>
          </w14:textFill>
        </w:rPr>
        <w:t>45‰</w:t>
      </w:r>
      <w:r>
        <w:rPr>
          <w:rFonts w:hint="eastAsia" w:eastAsia="仿宋_GB2312"/>
          <w:color w:val="000000" w:themeColor="text1"/>
          <w:sz w:val="32"/>
          <w:szCs w:val="32"/>
          <w:highlight w:val="none"/>
          <w14:textFill>
            <w14:solidFill>
              <w14:schemeClr w14:val="tx1"/>
            </w14:solidFill>
          </w14:textFill>
        </w:rPr>
        <w:t>配比，新建小学、中学生均占地面积分别不低于</w:t>
      </w:r>
      <w:r>
        <w:rPr>
          <w:rFonts w:eastAsia="仿宋_GB2312"/>
          <w:color w:val="000000" w:themeColor="text1"/>
          <w:sz w:val="32"/>
          <w:szCs w:val="32"/>
          <w:highlight w:val="none"/>
          <w14:textFill>
            <w14:solidFill>
              <w14:schemeClr w14:val="tx1"/>
            </w14:solidFill>
          </w14:textFill>
        </w:rPr>
        <w:t>2</w:t>
      </w:r>
      <w:r>
        <w:rPr>
          <w:rFonts w:hint="eastAsia" w:eastAsia="仿宋_GB2312"/>
          <w:color w:val="000000" w:themeColor="text1"/>
          <w:sz w:val="32"/>
          <w:szCs w:val="32"/>
          <w:highlight w:val="none"/>
          <w14:textFill>
            <w14:solidFill>
              <w14:schemeClr w14:val="tx1"/>
            </w14:solidFill>
          </w14:textFill>
        </w:rPr>
        <w:t>2平方米、</w:t>
      </w:r>
      <w:r>
        <w:rPr>
          <w:rFonts w:eastAsia="仿宋_GB2312"/>
          <w:color w:val="000000" w:themeColor="text1"/>
          <w:sz w:val="32"/>
          <w:szCs w:val="32"/>
          <w:highlight w:val="none"/>
          <w14:textFill>
            <w14:solidFill>
              <w14:schemeClr w14:val="tx1"/>
            </w14:solidFill>
          </w14:textFill>
        </w:rPr>
        <w:t>25</w:t>
      </w:r>
      <w:r>
        <w:rPr>
          <w:rFonts w:hint="eastAsia" w:eastAsia="仿宋_GB2312"/>
          <w:color w:val="000000" w:themeColor="text1"/>
          <w:sz w:val="32"/>
          <w:szCs w:val="32"/>
          <w:highlight w:val="none"/>
          <w14:textFill>
            <w14:solidFill>
              <w14:schemeClr w14:val="tx1"/>
            </w14:solidFill>
          </w14:textFill>
        </w:rPr>
        <w:t>平方米，已建成的中小学逐步改善达标。</w:t>
      </w:r>
    </w:p>
    <w:p w14:paraId="2493CE74">
      <w:pPr>
        <w:pStyle w:val="13"/>
        <w:spacing w:before="0" w:beforeLines="0" w:line="360" w:lineRule="auto"/>
        <w:ind w:left="110" w:right="110" w:firstLine="643"/>
        <w:rPr>
          <w:rFonts w:hint="eastAsia" w:eastAsia="仿宋_GB2312"/>
          <w:b/>
          <w:bCs/>
          <w:color w:val="000000" w:themeColor="text1"/>
          <w:highlight w:val="none"/>
          <w14:textFill>
            <w14:solidFill>
              <w14:schemeClr w14:val="tx1"/>
            </w14:solidFill>
          </w14:textFill>
        </w:rPr>
      </w:pPr>
      <w:r>
        <w:rPr>
          <w:rFonts w:hint="eastAsia" w:eastAsia="仿宋_GB2312"/>
          <w:b/>
          <w:bCs/>
          <w:color w:val="000000" w:themeColor="text1"/>
          <w:highlight w:val="none"/>
          <w:lang w:eastAsia="zh-CN"/>
          <w14:textFill>
            <w14:solidFill>
              <w14:schemeClr w14:val="tx1"/>
            </w14:solidFill>
          </w14:textFill>
        </w:rPr>
        <w:t>4.</w:t>
      </w:r>
      <w:r>
        <w:rPr>
          <w:rFonts w:eastAsia="仿宋_GB2312"/>
          <w:b/>
          <w:bCs/>
          <w:color w:val="000000" w:themeColor="text1"/>
          <w:highlight w:val="none"/>
          <w14:textFill>
            <w14:solidFill>
              <w14:schemeClr w14:val="tx1"/>
            </w14:solidFill>
          </w14:textFill>
        </w:rPr>
        <w:t>体育用地规划</w:t>
      </w:r>
    </w:p>
    <w:p w14:paraId="5563FB47">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color w:val="000000" w:themeColor="text1"/>
          <w:sz w:val="32"/>
          <w:szCs w:val="32"/>
          <w:highlight w:val="none"/>
          <w14:textFill>
            <w14:solidFill>
              <w14:schemeClr w14:val="tx1"/>
            </w14:solidFill>
          </w14:textFill>
        </w:rPr>
        <w:t>建设全民健身活动中心，结合公园绿地建设多功能运动场地，打造“15分钟健身圈”。</w:t>
      </w:r>
    </w:p>
    <w:p w14:paraId="77ABA30A">
      <w:pPr>
        <w:pStyle w:val="13"/>
        <w:spacing w:before="0" w:beforeLines="0" w:line="360" w:lineRule="auto"/>
        <w:ind w:left="110" w:right="110" w:firstLine="643"/>
        <w:rPr>
          <w:rFonts w:hint="eastAsia" w:eastAsia="仿宋_GB2312"/>
          <w:b/>
          <w:bCs/>
          <w:color w:val="000000" w:themeColor="text1"/>
          <w:highlight w:val="none"/>
          <w14:textFill>
            <w14:solidFill>
              <w14:schemeClr w14:val="tx1"/>
            </w14:solidFill>
          </w14:textFill>
        </w:rPr>
      </w:pPr>
      <w:r>
        <w:rPr>
          <w:rFonts w:hint="eastAsia" w:eastAsia="仿宋_GB2312"/>
          <w:b/>
          <w:bCs/>
          <w:color w:val="000000" w:themeColor="text1"/>
          <w:highlight w:val="none"/>
          <w:lang w:eastAsia="zh-CN"/>
          <w14:textFill>
            <w14:solidFill>
              <w14:schemeClr w14:val="tx1"/>
            </w14:solidFill>
          </w14:textFill>
        </w:rPr>
        <w:t>5.</w:t>
      </w:r>
      <w:r>
        <w:rPr>
          <w:rFonts w:eastAsia="仿宋_GB2312"/>
          <w:b/>
          <w:bCs/>
          <w:color w:val="000000" w:themeColor="text1"/>
          <w:highlight w:val="none"/>
          <w14:textFill>
            <w14:solidFill>
              <w14:schemeClr w14:val="tx1"/>
            </w14:solidFill>
          </w14:textFill>
        </w:rPr>
        <w:t>医疗卫生用地规划</w:t>
      </w:r>
    </w:p>
    <w:p w14:paraId="0E9AA515">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bookmarkStart w:id="85" w:name="_Hlk143441023"/>
      <w:r>
        <w:rPr>
          <w:rFonts w:hint="eastAsia" w:eastAsia="仿宋_GB2312"/>
          <w:color w:val="000000" w:themeColor="text1"/>
          <w:sz w:val="32"/>
          <w:szCs w:val="32"/>
          <w:highlight w:val="none"/>
          <w14:textFill>
            <w14:solidFill>
              <w14:schemeClr w14:val="tx1"/>
            </w14:solidFill>
          </w14:textFill>
        </w:rPr>
        <w:t>提升张庄寨中心卫生院医疗服务能力，向二级综合医院标准迈进，完善基层医疗设施。</w:t>
      </w:r>
    </w:p>
    <w:p w14:paraId="5DBBC036">
      <w:pPr>
        <w:pStyle w:val="13"/>
        <w:spacing w:before="0" w:beforeLines="0" w:line="360" w:lineRule="auto"/>
        <w:ind w:left="110" w:right="110" w:firstLine="643"/>
        <w:rPr>
          <w:rFonts w:hint="eastAsia" w:eastAsia="仿宋_GB2312"/>
          <w:b/>
          <w:bCs/>
          <w:color w:val="000000" w:themeColor="text1"/>
          <w:highlight w:val="none"/>
          <w14:textFill>
            <w14:solidFill>
              <w14:schemeClr w14:val="tx1"/>
            </w14:solidFill>
          </w14:textFill>
        </w:rPr>
      </w:pPr>
      <w:r>
        <w:rPr>
          <w:rFonts w:hint="eastAsia" w:eastAsia="仿宋_GB2312"/>
          <w:b/>
          <w:bCs/>
          <w:color w:val="000000" w:themeColor="text1"/>
          <w:highlight w:val="none"/>
          <w:lang w:eastAsia="zh-CN"/>
          <w14:textFill>
            <w14:solidFill>
              <w14:schemeClr w14:val="tx1"/>
            </w14:solidFill>
          </w14:textFill>
        </w:rPr>
        <w:t>6.</w:t>
      </w:r>
      <w:r>
        <w:rPr>
          <w:rFonts w:hint="eastAsia" w:eastAsia="仿宋_GB2312"/>
          <w:b/>
          <w:bCs/>
          <w:color w:val="000000" w:themeColor="text1"/>
          <w:highlight w:val="none"/>
          <w14:textFill>
            <w14:solidFill>
              <w14:schemeClr w14:val="tx1"/>
            </w14:solidFill>
          </w14:textFill>
        </w:rPr>
        <w:t>社会福利用地规划</w:t>
      </w:r>
    </w:p>
    <w:p w14:paraId="06C9D08E">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color w:val="000000" w:themeColor="text1"/>
          <w:sz w:val="32"/>
          <w:szCs w:val="32"/>
          <w:highlight w:val="none"/>
          <w14:textFill>
            <w14:solidFill>
              <w14:schemeClr w14:val="tx1"/>
            </w14:solidFill>
          </w14:textFill>
        </w:rPr>
        <w:t>完善敬老院设施，鼓励社会力量兴办养老机构，提升养老服务水平。</w:t>
      </w:r>
    </w:p>
    <w:bookmarkEnd w:id="85"/>
    <w:p w14:paraId="71416459">
      <w:pPr>
        <w:pStyle w:val="3"/>
        <w:numPr>
          <w:ilvl w:val="0"/>
          <w:numId w:val="11"/>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86" w:name="_Toc3570"/>
      <w:r>
        <w:rPr>
          <w:rFonts w:hint="eastAsia" w:ascii="黑体" w:hAnsi="黑体" w:eastAsia="黑体"/>
          <w:color w:val="000000" w:themeColor="text1"/>
          <w:highlight w:val="none"/>
          <w:lang w:eastAsia="zh-CN"/>
          <w14:textFill>
            <w14:solidFill>
              <w14:schemeClr w14:val="tx1"/>
            </w14:solidFill>
          </w14:textFill>
        </w:rPr>
        <w:t>创建智慧绿色的城市服务保障</w:t>
      </w:r>
      <w:bookmarkEnd w:id="86"/>
    </w:p>
    <w:p w14:paraId="74B3A07E">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14:textFill>
            <w14:solidFill>
              <w14:schemeClr w14:val="tx1"/>
            </w14:solidFill>
          </w14:textFill>
        </w:rPr>
        <w:t>构建多源多向的供水体系</w:t>
      </w:r>
    </w:p>
    <w:p w14:paraId="4C2B0A09">
      <w:pPr>
        <w:pStyle w:val="13"/>
        <w:spacing w:before="0" w:beforeLines="0" w:line="360" w:lineRule="auto"/>
        <w:ind w:left="110" w:right="110" w:firstLine="640"/>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sz w:val="32"/>
          <w:szCs w:val="32"/>
          <w:highlight w:val="none"/>
          <w14:textFill>
            <w14:solidFill>
              <w14:schemeClr w14:val="tx1"/>
            </w14:solidFill>
          </w14:textFill>
        </w:rPr>
        <w:t>扩建镇区</w:t>
      </w:r>
      <w:r>
        <w:rPr>
          <w:rFonts w:hint="eastAsia" w:eastAsia="仿宋_GB2312"/>
          <w:color w:val="000000" w:themeColor="text1"/>
          <w:sz w:val="32"/>
          <w:szCs w:val="32"/>
          <w:highlight w:val="none"/>
          <w:lang w:val="en-US" w:eastAsia="zh-CN"/>
          <w14:textFill>
            <w14:solidFill>
              <w14:schemeClr w14:val="tx1"/>
            </w14:solidFill>
          </w14:textFill>
        </w:rPr>
        <w:t>增压站</w:t>
      </w:r>
      <w:r>
        <w:rPr>
          <w:rFonts w:hint="eastAsia" w:eastAsia="仿宋_GB2312"/>
          <w:color w:val="000000" w:themeColor="text1"/>
          <w:sz w:val="32"/>
          <w:szCs w:val="32"/>
          <w:highlight w:val="none"/>
          <w14:textFill>
            <w14:solidFill>
              <w14:schemeClr w14:val="tx1"/>
            </w14:solidFill>
          </w14:textFill>
        </w:rPr>
        <w:t>，供水规模6万立方米</w:t>
      </w:r>
      <w:r>
        <w:rPr>
          <w:rFonts w:eastAsia="仿宋_GB2312"/>
          <w:color w:val="000000" w:themeColor="text1"/>
          <w:sz w:val="32"/>
          <w:szCs w:val="32"/>
          <w:highlight w:val="none"/>
          <w14:textFill>
            <w14:solidFill>
              <w14:schemeClr w14:val="tx1"/>
            </w14:solidFill>
          </w14:textFill>
        </w:rPr>
        <w:t>/</w:t>
      </w:r>
      <w:r>
        <w:rPr>
          <w:rFonts w:hint="eastAsia" w:eastAsia="仿宋_GB2312"/>
          <w:color w:val="000000" w:themeColor="text1"/>
          <w:sz w:val="32"/>
          <w:szCs w:val="32"/>
          <w:highlight w:val="none"/>
          <w14:textFill>
            <w14:solidFill>
              <w14:schemeClr w14:val="tx1"/>
            </w14:solidFill>
          </w14:textFill>
        </w:rPr>
        <w:t>日。完善供水管网，确保供水安全。构建安全、稳定、高效的供水系统。</w:t>
      </w:r>
    </w:p>
    <w:p w14:paraId="2A2CE6DE">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完善排水设施布局</w:t>
      </w:r>
    </w:p>
    <w:p w14:paraId="2F7193F2">
      <w:pPr>
        <w:pStyle w:val="13"/>
        <w:spacing w:before="0" w:beforeLines="0" w:line="360" w:lineRule="auto"/>
        <w:ind w:left="110" w:right="110" w:firstLine="640"/>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sz w:val="32"/>
          <w:szCs w:val="32"/>
          <w:highlight w:val="none"/>
          <w14:textFill>
            <w14:solidFill>
              <w14:schemeClr w14:val="tx1"/>
            </w14:solidFill>
          </w14:textFill>
        </w:rPr>
        <w:t>建设张庄寨镇污水处理厂，配套建设污水管网，实行雨污分流。镇区生活污水收集处理率达到90%以上。</w:t>
      </w:r>
    </w:p>
    <w:p w14:paraId="33458534">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打造区域互联的电力网络</w:t>
      </w:r>
    </w:p>
    <w:p w14:paraId="0D13F103">
      <w:pPr>
        <w:pStyle w:val="13"/>
        <w:spacing w:before="0" w:beforeLines="0" w:line="360" w:lineRule="auto"/>
        <w:ind w:left="110" w:right="110" w:firstLine="640"/>
        <w:rPr>
          <w:rFonts w:hint="eastAsia" w:eastAsia="仿宋_GB2312"/>
          <w:color w:val="000000" w:themeColor="text1"/>
          <w:sz w:val="32"/>
          <w:szCs w:val="32"/>
          <w:highlight w:val="none"/>
          <w14:textFill>
            <w14:solidFill>
              <w14:schemeClr w14:val="tx1"/>
            </w14:solidFill>
          </w14:textFill>
        </w:rPr>
      </w:pPr>
      <w:r>
        <w:rPr>
          <w:rFonts w:hint="eastAsia" w:eastAsia="仿宋_GB2312"/>
          <w:color w:val="000000" w:themeColor="text1"/>
          <w:sz w:val="32"/>
          <w:szCs w:val="32"/>
          <w:highlight w:val="none"/>
          <w14:textFill>
            <w14:solidFill>
              <w14:schemeClr w14:val="tx1"/>
            </w14:solidFill>
          </w14:textFill>
        </w:rPr>
        <w:t>保障电力供应，满足产业发展和居民生活需求。合理规划变电站布局，预留电力廊道</w:t>
      </w:r>
      <w:r>
        <w:rPr>
          <w:rFonts w:hint="eastAsia" w:eastAsia="仿宋_GB2312"/>
          <w:color w:val="000000" w:themeColor="text1"/>
          <w:sz w:val="32"/>
          <w:szCs w:val="32"/>
          <w:highlight w:val="none"/>
          <w:lang w:eastAsia="zh-CN"/>
          <w14:textFill>
            <w14:solidFill>
              <w14:schemeClr w14:val="tx1"/>
            </w14:solidFill>
          </w14:textFill>
        </w:rPr>
        <w:t>。</w:t>
      </w:r>
    </w:p>
    <w:p w14:paraId="7C6E9380">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完善燃气设施布局</w:t>
      </w:r>
    </w:p>
    <w:p w14:paraId="78F6FB2C">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color w:val="000000" w:themeColor="text1"/>
          <w:sz w:val="32"/>
          <w:szCs w:val="32"/>
          <w:highlight w:val="none"/>
          <w14:textFill>
            <w14:solidFill>
              <w14:schemeClr w14:val="tx1"/>
            </w14:solidFill>
          </w14:textFill>
        </w:rPr>
        <w:t>建设天然气门站或调压站，完善中压燃气管网，推进镇区天然气全覆盖。</w:t>
      </w:r>
    </w:p>
    <w:p w14:paraId="5111C0C1">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统筹通信基础设施建设</w:t>
      </w:r>
    </w:p>
    <w:p w14:paraId="311C7C96">
      <w:pPr>
        <w:pStyle w:val="13"/>
        <w:spacing w:before="0" w:beforeLines="0" w:line="360" w:lineRule="auto"/>
        <w:ind w:left="110" w:right="110" w:firstLine="640"/>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14:textFill>
            <w14:solidFill>
              <w14:schemeClr w14:val="tx1"/>
            </w14:solidFill>
          </w14:textFill>
        </w:rPr>
        <w:t>推进5G基站建设，提升通信网络覆盖质量。加强通信基础设施共建共享。</w:t>
      </w:r>
    </w:p>
    <w:p w14:paraId="2CE4637B">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优化环卫设施布局</w:t>
      </w:r>
    </w:p>
    <w:p w14:paraId="50C9291E">
      <w:pPr>
        <w:pStyle w:val="13"/>
        <w:spacing w:before="0" w:beforeLines="0" w:line="360" w:lineRule="auto"/>
        <w:ind w:left="110" w:right="110" w:firstLine="640"/>
        <w:rPr>
          <w:rFonts w:hint="eastAsia" w:eastAsia="PMingLiU"/>
          <w:color w:val="000000" w:themeColor="text1"/>
          <w:highlight w:val="none"/>
          <w:lang w:eastAsia="zh-CN"/>
          <w14:textFill>
            <w14:solidFill>
              <w14:schemeClr w14:val="tx1"/>
            </w14:solidFill>
          </w14:textFill>
        </w:rPr>
      </w:pPr>
      <w:r>
        <w:rPr>
          <w:rFonts w:hint="eastAsia" w:eastAsia="仿宋_GB2312"/>
          <w:color w:val="000000" w:themeColor="text1"/>
          <w:sz w:val="32"/>
          <w:szCs w:val="32"/>
          <w:highlight w:val="none"/>
          <w14:textFill>
            <w14:solidFill>
              <w14:schemeClr w14:val="tx1"/>
            </w14:solidFill>
          </w14:textFill>
        </w:rPr>
        <w:t>升级改造垃圾中转站，配置环卫车辆和设施。实现垃圾无害化、减量化、资源化处理。</w:t>
      </w:r>
    </w:p>
    <w:p w14:paraId="503B5005">
      <w:pPr>
        <w:pStyle w:val="3"/>
        <w:numPr>
          <w:ilvl w:val="0"/>
          <w:numId w:val="11"/>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87" w:name="_Toc7323"/>
      <w:r>
        <w:rPr>
          <w:rFonts w:hint="eastAsia" w:ascii="黑体" w:hAnsi="黑体" w:eastAsia="黑体"/>
          <w:color w:val="000000" w:themeColor="text1"/>
          <w:highlight w:val="none"/>
          <w:lang w:eastAsia="zh-CN"/>
          <w14:textFill>
            <w14:solidFill>
              <w14:schemeClr w14:val="tx1"/>
            </w14:solidFill>
          </w14:textFill>
        </w:rPr>
        <w:t>提升防灾减灾和综合应急水平</w:t>
      </w:r>
      <w:bookmarkEnd w:id="87"/>
    </w:p>
    <w:p w14:paraId="0E79ADC8">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设置疏散通道和避震场所</w:t>
      </w:r>
    </w:p>
    <w:p w14:paraId="131489C5">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color w:val="000000" w:themeColor="text1"/>
          <w:sz w:val="32"/>
          <w:szCs w:val="32"/>
          <w:highlight w:val="none"/>
          <w:u w:val="single"/>
          <w:lang w:val="en-US" w:eastAsia="zh-CN"/>
          <w14:textFill>
            <w14:solidFill>
              <w14:schemeClr w14:val="tx1"/>
            </w14:solidFill>
          </w14:textFill>
        </w:rPr>
        <w:t>镇区</w:t>
      </w:r>
      <w:r>
        <w:rPr>
          <w:rFonts w:hint="eastAsia" w:eastAsia="仿宋_GB2312"/>
          <w:color w:val="000000" w:themeColor="text1"/>
          <w:sz w:val="32"/>
          <w:szCs w:val="32"/>
          <w:highlight w:val="none"/>
          <w:u w:val="single"/>
          <w14:textFill>
            <w14:solidFill>
              <w14:schemeClr w14:val="tx1"/>
            </w14:solidFill>
          </w14:textFill>
        </w:rPr>
        <w:t>抗震烈度为7度</w:t>
      </w:r>
      <w:r>
        <w:rPr>
          <w:rFonts w:hint="eastAsia" w:eastAsia="仿宋_GB2312"/>
          <w:color w:val="000000" w:themeColor="text1"/>
          <w:sz w:val="32"/>
          <w:szCs w:val="32"/>
          <w:highlight w:val="none"/>
          <w14:textFill>
            <w14:solidFill>
              <w14:schemeClr w14:val="tx1"/>
            </w14:solidFill>
          </w14:textFill>
        </w:rPr>
        <w:t>，属于重点设防地区。利用学校操场、公园绿地等作为应急避难场所，确保疏散通道畅通。设置明显的避震标识。</w:t>
      </w:r>
    </w:p>
    <w:p w14:paraId="15F60709">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构建安全生态的防洪排涝体系</w:t>
      </w:r>
    </w:p>
    <w:p w14:paraId="1A78AE27">
      <w:pPr>
        <w:pStyle w:val="13"/>
        <w:spacing w:before="0" w:beforeLines="0" w:line="360" w:lineRule="auto"/>
        <w:ind w:left="110" w:right="110" w:firstLine="640"/>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疏浚洪河等河道，完善镇区雨水管网和排涝泵站。加强防洪排涝设施建设，确保镇区安全</w:t>
      </w:r>
      <w:r>
        <w:rPr>
          <w:rFonts w:hint="eastAsia" w:eastAsia="仿宋_GB2312"/>
          <w:color w:val="000000" w:themeColor="text1"/>
          <w:highlight w:val="none"/>
          <w:lang w:eastAsia="zh-CN"/>
          <w14:textFill>
            <w14:solidFill>
              <w14:schemeClr w14:val="tx1"/>
            </w14:solidFill>
          </w14:textFill>
        </w:rPr>
        <w:t>。</w:t>
      </w:r>
      <w:r>
        <w:rPr>
          <w:rFonts w:hint="eastAsia" w:eastAsia="仿宋_GB2312"/>
          <w:color w:val="000000" w:themeColor="text1"/>
          <w:highlight w:val="none"/>
          <w:u w:val="single"/>
          <w:lang w:val="en-US" w:eastAsia="zh-CN"/>
          <w14:textFill>
            <w14:solidFill>
              <w14:schemeClr w14:val="tx1"/>
            </w14:solidFill>
          </w14:textFill>
        </w:rPr>
        <w:t>镇区</w:t>
      </w:r>
      <w:r>
        <w:rPr>
          <w:rFonts w:eastAsia="仿宋_GB2312"/>
          <w:color w:val="000000" w:themeColor="text1"/>
          <w:highlight w:val="none"/>
          <w:u w:val="single"/>
          <w14:textFill>
            <w14:solidFill>
              <w14:schemeClr w14:val="tx1"/>
            </w14:solidFill>
          </w14:textFill>
        </w:rPr>
        <w:t>防洪标准达到</w:t>
      </w:r>
      <w:r>
        <w:rPr>
          <w:rFonts w:hint="eastAsia" w:eastAsia="仿宋_GB2312"/>
          <w:color w:val="000000" w:themeColor="text1"/>
          <w:highlight w:val="none"/>
          <w:u w:val="single"/>
          <w:lang w:val="en-US" w:eastAsia="zh-CN"/>
          <w14:textFill>
            <w14:solidFill>
              <w14:schemeClr w14:val="tx1"/>
            </w14:solidFill>
          </w14:textFill>
        </w:rPr>
        <w:t>20</w:t>
      </w:r>
      <w:r>
        <w:rPr>
          <w:rFonts w:eastAsia="仿宋_GB2312"/>
          <w:color w:val="000000" w:themeColor="text1"/>
          <w:highlight w:val="none"/>
          <w:u w:val="single"/>
          <w14:textFill>
            <w14:solidFill>
              <w14:schemeClr w14:val="tx1"/>
            </w14:solidFill>
          </w14:textFill>
        </w:rPr>
        <w:t>年一遇，排涝标准</w:t>
      </w:r>
      <w:r>
        <w:rPr>
          <w:rFonts w:hint="eastAsia" w:eastAsia="仿宋_GB2312"/>
          <w:color w:val="000000" w:themeColor="text1"/>
          <w:highlight w:val="none"/>
          <w:u w:val="single"/>
          <w14:textFill>
            <w14:solidFill>
              <w14:schemeClr w14:val="tx1"/>
            </w14:solidFill>
          </w14:textFill>
        </w:rPr>
        <w:t>为有效抵御</w:t>
      </w:r>
      <w:r>
        <w:rPr>
          <w:rFonts w:hint="eastAsia" w:eastAsia="仿宋_GB2312"/>
          <w:color w:val="000000" w:themeColor="text1"/>
          <w:highlight w:val="none"/>
          <w:u w:val="single"/>
          <w:lang w:val="en-US" w:eastAsia="zh-CN"/>
          <w14:textFill>
            <w14:solidFill>
              <w14:schemeClr w14:val="tx1"/>
            </w14:solidFill>
          </w14:textFill>
        </w:rPr>
        <w:t>10</w:t>
      </w:r>
      <w:r>
        <w:rPr>
          <w:rFonts w:eastAsia="仿宋_GB2312"/>
          <w:color w:val="000000" w:themeColor="text1"/>
          <w:highlight w:val="none"/>
          <w:u w:val="single"/>
          <w14:textFill>
            <w14:solidFill>
              <w14:schemeClr w14:val="tx1"/>
            </w14:solidFill>
          </w14:textFill>
        </w:rPr>
        <w:t>年一遇24h设计暴雨。</w:t>
      </w:r>
    </w:p>
    <w:p w14:paraId="3F1195F6">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提升消防安全</w:t>
      </w:r>
    </w:p>
    <w:p w14:paraId="20B2DA02">
      <w:pPr>
        <w:pStyle w:val="13"/>
        <w:spacing w:before="120" w:line="360" w:lineRule="auto"/>
        <w:ind w:left="110" w:right="110" w:firstLine="681" w:firstLineChars="213"/>
        <w:rPr>
          <w:rFonts w:hint="eastAsia" w:eastAsia="仿宋_GB2312"/>
          <w:color w:val="000000" w:themeColor="text1"/>
          <w:sz w:val="32"/>
          <w:szCs w:val="32"/>
          <w:highlight w:val="none"/>
          <w14:textFill>
            <w14:solidFill>
              <w14:schemeClr w14:val="tx1"/>
            </w14:solidFill>
          </w14:textFill>
        </w:rPr>
      </w:pPr>
      <w:r>
        <w:rPr>
          <w:rFonts w:hint="eastAsia" w:eastAsia="仿宋_GB2312"/>
          <w:color w:val="000000" w:themeColor="text1"/>
          <w:sz w:val="32"/>
          <w:szCs w:val="32"/>
          <w:highlight w:val="none"/>
          <w:lang w:val="en-US" w:eastAsia="zh-CN"/>
          <w14:textFill>
            <w14:solidFill>
              <w14:schemeClr w14:val="tx1"/>
            </w14:solidFill>
          </w14:textFill>
        </w:rPr>
        <w:t>结合现状张庄寨镇专职消防队，</w:t>
      </w:r>
      <w:r>
        <w:rPr>
          <w:rFonts w:hint="eastAsia" w:eastAsia="仿宋_GB2312"/>
          <w:color w:val="000000" w:themeColor="text1"/>
          <w:sz w:val="32"/>
          <w:szCs w:val="32"/>
          <w:highlight w:val="none"/>
          <w14:textFill>
            <w14:solidFill>
              <w14:schemeClr w14:val="tx1"/>
            </w14:solidFill>
          </w14:textFill>
        </w:rPr>
        <w:t>保障镇区及周边农村消防安全。完善消防供水设施，打通消防通道。</w:t>
      </w:r>
    </w:p>
    <w:p w14:paraId="407D68D0">
      <w:pPr>
        <w:pStyle w:val="33"/>
        <w:spacing w:before="0" w:line="360" w:lineRule="auto"/>
        <w:ind w:left="0" w:right="108" w:firstLine="675" w:firstLineChars="200"/>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完善人防工程建设</w:t>
      </w:r>
    </w:p>
    <w:p w14:paraId="7545739C">
      <w:pPr>
        <w:pStyle w:val="13"/>
        <w:spacing w:before="120" w:line="360" w:lineRule="auto"/>
        <w:ind w:left="110" w:right="110" w:firstLine="681" w:firstLineChars="213"/>
        <w:rPr>
          <w:rFonts w:hint="eastAsia" w:eastAsia="仿宋_GB2312"/>
          <w:color w:val="000000" w:themeColor="text1"/>
          <w:sz w:val="32"/>
          <w:szCs w:val="32"/>
          <w:highlight w:val="none"/>
          <w:lang w:eastAsia="zh-CN"/>
          <w14:textFill>
            <w14:solidFill>
              <w14:schemeClr w14:val="tx1"/>
            </w14:solidFill>
          </w14:textFill>
        </w:rPr>
      </w:pPr>
      <w:r>
        <w:rPr>
          <w:rFonts w:hint="eastAsia" w:eastAsia="仿宋_GB2312"/>
          <w:color w:val="000000" w:themeColor="text1"/>
          <w:sz w:val="32"/>
          <w:szCs w:val="32"/>
          <w:highlight w:val="none"/>
          <w14:textFill>
            <w14:solidFill>
              <w14:schemeClr w14:val="tx1"/>
            </w14:solidFill>
          </w14:textFill>
        </w:rPr>
        <w:t>坚持人防建设与经济建设、城市建设相结合。结合民用建筑建设防空地下室，确保人防工程面积达标</w:t>
      </w:r>
      <w:r>
        <w:rPr>
          <w:rFonts w:hint="eastAsia" w:eastAsia="仿宋_GB2312"/>
          <w:color w:val="000000" w:themeColor="text1"/>
          <w:sz w:val="32"/>
          <w:szCs w:val="32"/>
          <w:highlight w:val="none"/>
          <w:lang w:eastAsia="zh-CN"/>
          <w14:textFill>
            <w14:solidFill>
              <w14:schemeClr w14:val="tx1"/>
            </w14:solidFill>
          </w14:textFill>
        </w:rPr>
        <w:t>。</w:t>
      </w:r>
    </w:p>
    <w:p w14:paraId="2769FD07">
      <w:pPr>
        <w:pStyle w:val="3"/>
        <w:numPr>
          <w:ilvl w:val="0"/>
          <w:numId w:val="11"/>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88" w:name="_Toc140845854"/>
      <w:bookmarkStart w:id="89" w:name="_Toc173337306"/>
      <w:bookmarkStart w:id="90" w:name="_Toc2368"/>
      <w:bookmarkStart w:id="91" w:name="_Toc21639"/>
      <w:r>
        <w:rPr>
          <w:rFonts w:hint="eastAsia" w:ascii="黑体" w:hAnsi="黑体" w:eastAsia="黑体"/>
          <w:color w:val="000000" w:themeColor="text1"/>
          <w:highlight w:val="none"/>
          <w:lang w:eastAsia="zh-CN"/>
          <w14:textFill>
            <w14:solidFill>
              <w14:schemeClr w14:val="tx1"/>
            </w14:solidFill>
          </w14:textFill>
        </w:rPr>
        <w:t>加强总体城市设计引导</w:t>
      </w:r>
      <w:bookmarkEnd w:id="88"/>
      <w:bookmarkEnd w:id="89"/>
      <w:bookmarkEnd w:id="90"/>
      <w:bookmarkEnd w:id="91"/>
    </w:p>
    <w:p w14:paraId="2A7B6E1A">
      <w:pPr>
        <w:pStyle w:val="33"/>
        <w:spacing w:before="0" w:line="360" w:lineRule="auto"/>
        <w:ind w:left="0" w:right="108" w:firstLine="675" w:firstLineChars="200"/>
        <w:rPr>
          <w:rFonts w:hint="eastAsia" w:eastAsia="仿宋_GB2312"/>
          <w:color w:val="000000" w:themeColor="text1"/>
          <w:w w:val="105"/>
          <w:sz w:val="32"/>
          <w:highlight w:val="none"/>
          <w:lang w:val="zh-CN" w:eastAsia="zh-CN"/>
          <w14:textFill>
            <w14:solidFill>
              <w14:schemeClr w14:val="tx1"/>
            </w14:solidFill>
          </w14:textFill>
        </w:rPr>
      </w:pPr>
      <w:r>
        <w:rPr>
          <w:rFonts w:hint="eastAsia" w:eastAsia="仿宋_GB2312"/>
          <w:color w:val="000000" w:themeColor="text1"/>
          <w:w w:val="105"/>
          <w:sz w:val="32"/>
          <w:highlight w:val="none"/>
          <w:lang w:val="zh-CN" w:eastAsia="zh-CN"/>
          <w14:textFill>
            <w14:solidFill>
              <w14:schemeClr w14:val="tx1"/>
            </w14:solidFill>
          </w14:textFill>
        </w:rPr>
        <w:t>强化城</w:t>
      </w:r>
      <w:r>
        <w:rPr>
          <w:rFonts w:hint="eastAsia" w:eastAsia="仿宋_GB2312"/>
          <w:color w:val="000000" w:themeColor="text1"/>
          <w:w w:val="105"/>
          <w:sz w:val="32"/>
          <w:highlight w:val="none"/>
          <w:lang w:val="en-US" w:eastAsia="zh-CN"/>
          <w14:textFill>
            <w14:solidFill>
              <w14:schemeClr w14:val="tx1"/>
            </w14:solidFill>
          </w14:textFill>
        </w:rPr>
        <w:t>镇</w:t>
      </w:r>
      <w:r>
        <w:rPr>
          <w:rFonts w:hint="eastAsia" w:eastAsia="仿宋_GB2312"/>
          <w:color w:val="000000" w:themeColor="text1"/>
          <w:w w:val="105"/>
          <w:sz w:val="32"/>
          <w:highlight w:val="none"/>
          <w:lang w:val="zh-CN" w:eastAsia="zh-CN"/>
          <w14:textFill>
            <w14:solidFill>
              <w14:schemeClr w14:val="tx1"/>
            </w14:solidFill>
          </w14:textFill>
        </w:rPr>
        <w:t>景观风貌管控</w:t>
      </w:r>
    </w:p>
    <w:p w14:paraId="031F948E">
      <w:pPr>
        <w:pStyle w:val="13"/>
        <w:spacing w:before="0" w:beforeLines="0" w:line="360" w:lineRule="auto"/>
        <w:ind w:left="110" w:right="110" w:firstLine="640"/>
        <w:rPr>
          <w:rFonts w:ascii="Times New Roman" w:hAnsi="Times New Roman" w:eastAsia="仿宋_GB2312" w:cs="仿宋_GB2312"/>
          <w:bCs/>
          <w:color w:val="000000" w:themeColor="text1"/>
          <w:sz w:val="32"/>
          <w:szCs w:val="28"/>
          <w:highlight w:val="none"/>
          <w:lang w:bidi="ar"/>
          <w14:textFill>
            <w14:solidFill>
              <w14:schemeClr w14:val="tx1"/>
            </w14:solidFill>
          </w14:textFill>
        </w:rPr>
      </w:pPr>
      <w:r>
        <w:rPr>
          <w:rFonts w:hint="eastAsia" w:ascii="Times New Roman" w:hAnsi="Times New Roman" w:eastAsia="仿宋_GB2312" w:cs="仿宋_GB2312"/>
          <w:color w:val="000000" w:themeColor="text1"/>
          <w:sz w:val="32"/>
          <w:szCs w:val="28"/>
          <w:highlight w:val="none"/>
          <w:lang w:bidi="ar"/>
          <w14:textFill>
            <w14:solidFill>
              <w14:schemeClr w14:val="tx1"/>
            </w14:solidFill>
          </w14:textFill>
        </w:rPr>
        <w:t>重点管控G237沿线、洪河两岸的建筑风貌和景观界面。体现现代商贸与生态水乡的融合，突出皖北地域特色</w:t>
      </w:r>
      <w:r>
        <w:rPr>
          <w:rFonts w:hint="eastAsia" w:ascii="Times New Roman" w:hAnsi="Times New Roman" w:eastAsia="仿宋_GB2312" w:cs="仿宋_GB2312"/>
          <w:bCs/>
          <w:color w:val="000000" w:themeColor="text1"/>
          <w:sz w:val="32"/>
          <w:szCs w:val="28"/>
          <w:highlight w:val="none"/>
          <w:lang w:bidi="ar"/>
          <w14:textFill>
            <w14:solidFill>
              <w14:schemeClr w14:val="tx1"/>
            </w14:solidFill>
          </w14:textFill>
        </w:rPr>
        <w:t>。</w:t>
      </w:r>
    </w:p>
    <w:p w14:paraId="2BF219B2">
      <w:pPr>
        <w:pStyle w:val="33"/>
        <w:spacing w:before="0" w:line="360" w:lineRule="auto"/>
        <w:ind w:left="0" w:right="108" w:firstLine="675" w:firstLineChars="200"/>
        <w:rPr>
          <w:rFonts w:hint="eastAsia" w:eastAsia="仿宋_GB2312"/>
          <w:color w:val="000000" w:themeColor="text1"/>
          <w:w w:val="105"/>
          <w:sz w:val="32"/>
          <w:highlight w:val="none"/>
          <w:lang w:val="zh-CN" w:eastAsia="zh-CN"/>
          <w14:textFill>
            <w14:solidFill>
              <w14:schemeClr w14:val="tx1"/>
            </w14:solidFill>
          </w14:textFill>
        </w:rPr>
      </w:pPr>
      <w:r>
        <w:rPr>
          <w:rFonts w:hint="eastAsia" w:eastAsia="仿宋_GB2312"/>
          <w:color w:val="000000" w:themeColor="text1"/>
          <w:w w:val="105"/>
          <w:sz w:val="32"/>
          <w:highlight w:val="none"/>
          <w:lang w:val="zh-CN" w:eastAsia="zh-CN"/>
          <w14:textFill>
            <w14:solidFill>
              <w14:schemeClr w14:val="tx1"/>
            </w14:solidFill>
          </w14:textFill>
        </w:rPr>
        <w:t>加强开发强度分区管控</w:t>
      </w:r>
    </w:p>
    <w:p w14:paraId="6E66D5C0">
      <w:pPr>
        <w:pStyle w:val="13"/>
        <w:spacing w:before="0" w:beforeLines="0" w:line="360" w:lineRule="auto"/>
        <w:ind w:left="110" w:right="110" w:firstLine="640"/>
        <w:rPr>
          <w:rFonts w:ascii="Times New Roman" w:hAnsi="Times New Roman" w:eastAsia="仿宋_GB2312"/>
          <w:bCs/>
          <w:color w:val="000000" w:themeColor="text1"/>
          <w:highlight w:val="none"/>
          <w14:textFill>
            <w14:solidFill>
              <w14:schemeClr w14:val="tx1"/>
            </w14:solidFill>
          </w14:textFill>
        </w:rPr>
      </w:pPr>
      <w:r>
        <w:rPr>
          <w:rFonts w:hint="eastAsia" w:ascii="Times New Roman" w:hAnsi="Times New Roman" w:eastAsia="仿宋_GB2312" w:cs="仿宋_GB2312"/>
          <w:bCs/>
          <w:color w:val="000000" w:themeColor="text1"/>
          <w:sz w:val="32"/>
          <w:szCs w:val="28"/>
          <w:highlight w:val="none"/>
          <w:lang w:bidi="ar"/>
          <w14:textFill>
            <w14:solidFill>
              <w14:schemeClr w14:val="tx1"/>
            </w14:solidFill>
          </w14:textFill>
        </w:rPr>
        <w:t>合理确定建筑密度和容积率，引导城镇空间合理发展。商业中心区适当提高开发强度，滨水区域严格控制建筑高度。</w:t>
      </w:r>
    </w:p>
    <w:p w14:paraId="30C6954E">
      <w:pPr>
        <w:pStyle w:val="33"/>
        <w:spacing w:before="0" w:line="360" w:lineRule="auto"/>
        <w:ind w:left="0" w:right="108" w:firstLine="718" w:firstLineChars="213"/>
        <w:jc w:val="both"/>
        <w:rPr>
          <w:rFonts w:hint="eastAsia" w:eastAsia="仿宋_GB2312"/>
          <w:color w:val="000000" w:themeColor="text1"/>
          <w:w w:val="105"/>
          <w:sz w:val="32"/>
          <w:highlight w:val="none"/>
          <w:lang w:val="zh-CN"/>
          <w14:textFill>
            <w14:solidFill>
              <w14:schemeClr w14:val="tx1"/>
            </w14:solidFill>
          </w14:textFill>
        </w:rPr>
      </w:pPr>
      <w:r>
        <w:rPr>
          <w:rFonts w:hint="eastAsia" w:eastAsia="仿宋_GB2312"/>
          <w:color w:val="000000" w:themeColor="text1"/>
          <w:w w:val="105"/>
          <w:sz w:val="32"/>
          <w:highlight w:val="none"/>
          <w:lang w:val="zh-CN"/>
          <w14:textFill>
            <w14:solidFill>
              <w14:schemeClr w14:val="tx1"/>
            </w14:solidFill>
          </w14:textFill>
        </w:rPr>
        <w:t>塑造优美、安全、舒适、共享的公共空间</w:t>
      </w:r>
    </w:p>
    <w:p w14:paraId="709B92BF">
      <w:pPr>
        <w:pStyle w:val="13"/>
        <w:spacing w:before="120" w:line="360" w:lineRule="auto"/>
        <w:ind w:left="110" w:right="110" w:firstLine="681" w:firstLineChars="213"/>
        <w:rPr>
          <w:rFonts w:ascii="Times New Roman" w:hAnsi="Times New Roman" w:eastAsia="仿宋_GB2312" w:cs="Times New Roman"/>
          <w:bCs/>
          <w:color w:val="000000" w:themeColor="text1"/>
          <w:sz w:val="32"/>
          <w:szCs w:val="28"/>
          <w:highlight w:val="none"/>
          <w14:textFill>
            <w14:solidFill>
              <w14:schemeClr w14:val="tx1"/>
            </w14:solidFill>
          </w14:textFill>
        </w:rPr>
      </w:pPr>
      <w:r>
        <w:rPr>
          <w:rFonts w:hint="eastAsia" w:ascii="Times New Roman" w:hAnsi="Times New Roman" w:eastAsia="仿宋_GB2312" w:cs="Times New Roman"/>
          <w:bCs/>
          <w:color w:val="000000" w:themeColor="text1"/>
          <w:kern w:val="2"/>
          <w:sz w:val="32"/>
          <w:szCs w:val="28"/>
          <w:highlight w:val="none"/>
          <w:lang w:bidi="ar"/>
          <w14:textFill>
            <w14:solidFill>
              <w14:schemeClr w14:val="tx1"/>
            </w14:solidFill>
          </w14:textFill>
        </w:rPr>
        <w:t>增加街头绿地和口袋公园，提升公共空间品质。注重街道、邻里空间设计，形成全龄友好的社区环境。</w:t>
      </w:r>
    </w:p>
    <w:p w14:paraId="46703947">
      <w:pPr>
        <w:pStyle w:val="3"/>
        <w:numPr>
          <w:ilvl w:val="0"/>
          <w:numId w:val="11"/>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92" w:name="_Toc5668"/>
      <w:r>
        <w:rPr>
          <w:rFonts w:hint="eastAsia" w:ascii="黑体" w:hAnsi="黑体" w:eastAsia="黑体"/>
          <w:color w:val="000000" w:themeColor="text1"/>
          <w:highlight w:val="none"/>
          <w:lang w:eastAsia="zh-CN"/>
          <w14:textFill>
            <w14:solidFill>
              <w14:schemeClr w14:val="tx1"/>
            </w14:solidFill>
          </w14:textFill>
        </w:rPr>
        <w:t>统筹城市“四线”划定与管控</w:t>
      </w:r>
      <w:bookmarkEnd w:id="92"/>
    </w:p>
    <w:p w14:paraId="780C2A5E">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eastAsia="仿宋_GB2312"/>
          <w:color w:val="000000" w:themeColor="text1"/>
          <w:w w:val="105"/>
          <w:sz w:val="32"/>
          <w:highlight w:val="none"/>
          <w14:textFill>
            <w14:solidFill>
              <w14:schemeClr w14:val="tx1"/>
            </w14:solidFill>
          </w14:textFill>
        </w:rPr>
        <w:t>合理划定城市控制线</w:t>
      </w:r>
    </w:p>
    <w:p w14:paraId="449FAA08">
      <w:pPr>
        <w:pStyle w:val="13"/>
        <w:spacing w:before="120" w:line="360" w:lineRule="auto"/>
        <w:ind w:left="110" w:right="110" w:firstLine="681" w:firstLineChars="213"/>
        <w:rPr>
          <w:rFonts w:hint="eastAsia" w:ascii="Times New Roman" w:hAnsi="Times New Roman" w:eastAsia="仿宋_GB2312" w:cs="Times New Roman"/>
          <w:bCs/>
          <w:color w:val="000000" w:themeColor="text1"/>
          <w:kern w:val="2"/>
          <w:sz w:val="32"/>
          <w:szCs w:val="28"/>
          <w:highlight w:val="none"/>
          <w:u w:val="single"/>
          <w:lang w:bidi="ar"/>
          <w14:textFill>
            <w14:solidFill>
              <w14:schemeClr w14:val="tx1"/>
            </w14:solidFill>
          </w14:textFill>
        </w:rPr>
      </w:pPr>
      <w:r>
        <w:rPr>
          <w:rFonts w:hint="eastAsia" w:ascii="Times New Roman" w:hAnsi="Times New Roman" w:eastAsia="仿宋_GB2312" w:cs="Times New Roman"/>
          <w:bCs/>
          <w:color w:val="000000" w:themeColor="text1"/>
          <w:kern w:val="2"/>
          <w:sz w:val="32"/>
          <w:szCs w:val="28"/>
          <w:highlight w:val="none"/>
          <w:lang w:bidi="ar"/>
          <w14:textFill>
            <w14:solidFill>
              <w14:schemeClr w14:val="tx1"/>
            </w14:solidFill>
          </w14:textFill>
        </w:rPr>
        <w:t>划定城市绿线（公园绿地、防护绿地）、蓝线（洪河等水系）、黄线（市政设施）、紫线（历史文化遗产），并严格实施管控，保障城市核心要素。</w:t>
      </w:r>
    </w:p>
    <w:p w14:paraId="2780A3D8">
      <w:pPr>
        <w:pStyle w:val="3"/>
        <w:numPr>
          <w:ilvl w:val="0"/>
          <w:numId w:val="11"/>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93" w:name="_Toc24819"/>
      <w:r>
        <w:rPr>
          <w:rFonts w:hint="eastAsia" w:ascii="黑体" w:hAnsi="黑体" w:eastAsia="黑体"/>
          <w:color w:val="000000" w:themeColor="text1"/>
          <w:highlight w:val="none"/>
          <w:lang w:eastAsia="zh-CN"/>
          <w14:textFill>
            <w14:solidFill>
              <w14:schemeClr w14:val="tx1"/>
            </w14:solidFill>
          </w14:textFill>
        </w:rPr>
        <w:t>有序推进城镇更新</w:t>
      </w:r>
      <w:bookmarkEnd w:id="93"/>
    </w:p>
    <w:p w14:paraId="0D1A547D">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eastAsia="仿宋_GB2312"/>
          <w:color w:val="000000" w:themeColor="text1"/>
          <w:w w:val="105"/>
          <w:sz w:val="32"/>
          <w:highlight w:val="none"/>
          <w14:textFill>
            <w14:solidFill>
              <w14:schemeClr w14:val="tx1"/>
            </w14:solidFill>
          </w14:textFill>
        </w:rPr>
        <w:t>分类推进城市更新</w:t>
      </w:r>
    </w:p>
    <w:p w14:paraId="4627E9AB">
      <w:pPr>
        <w:pStyle w:val="13"/>
        <w:spacing w:before="0" w:beforeLines="0" w:line="360" w:lineRule="auto"/>
        <w:ind w:left="0" w:leftChars="0" w:right="110" w:firstLine="681" w:firstLineChars="213"/>
        <w:rPr>
          <w:rFonts w:hint="eastAsia"/>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t>推进镇区老旧街区改造，完善基础设施，提升居住环境。对低效工业用地进行盘活利用，推动产业转型升级。</w:t>
      </w:r>
    </w:p>
    <w:p w14:paraId="2B23117D">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科学划定城市更新重点区域</w:t>
      </w:r>
    </w:p>
    <w:p w14:paraId="7B62A420">
      <w:pPr>
        <w:pStyle w:val="13"/>
        <w:keepNext w:val="0"/>
        <w:keepLines w:val="0"/>
        <w:pageBreakBefore w:val="0"/>
        <w:widowControl w:val="0"/>
        <w:kinsoku/>
        <w:wordWrap/>
        <w:overflowPunct/>
        <w:topLinePunct w:val="0"/>
        <w:autoSpaceDE w:val="0"/>
        <w:autoSpaceDN w:val="0"/>
        <w:bidi w:val="0"/>
        <w:adjustRightInd/>
        <w:snapToGrid/>
        <w:spacing w:before="120" w:line="360" w:lineRule="auto"/>
        <w:ind w:left="110" w:right="110" w:firstLine="640" w:firstLineChars="200"/>
        <w:textAlignment w:val="auto"/>
        <w:rPr>
          <w:rFonts w:hint="eastAsia" w:ascii="Times New Roman" w:hAnsi="Times New Roman" w:eastAsia="仿宋_GB2312" w:cs="Times New Roman"/>
          <w:bCs/>
          <w:color w:val="000000" w:themeColor="text1"/>
          <w:kern w:val="2"/>
          <w:sz w:val="32"/>
          <w:szCs w:val="28"/>
          <w:highlight w:val="none"/>
          <w:lang w:bidi="ar"/>
          <w14:textFill>
            <w14:solidFill>
              <w14:schemeClr w14:val="tx1"/>
            </w14:solidFill>
          </w14:textFill>
        </w:rPr>
      </w:pPr>
      <w:r>
        <w:rPr>
          <w:rFonts w:hint="eastAsia" w:ascii="Times New Roman" w:hAnsi="Times New Roman" w:eastAsia="仿宋_GB2312" w:cs="Times New Roman"/>
          <w:bCs/>
          <w:color w:val="000000" w:themeColor="text1"/>
          <w:kern w:val="2"/>
          <w:sz w:val="32"/>
          <w:szCs w:val="28"/>
          <w:highlight w:val="none"/>
          <w:lang w:val="en-US" w:eastAsia="zh-CN" w:bidi="ar"/>
          <w14:textFill>
            <w14:solidFill>
              <w14:schemeClr w14:val="tx1"/>
            </w14:solidFill>
          </w14:textFill>
        </w:rPr>
        <w:t>重点针对镇区老街、老旧厂房区域进行更新改造。鼓励小规模、渐进式有机更新，改善城市空间品质</w:t>
      </w:r>
      <w:r>
        <w:rPr>
          <w:rFonts w:hint="eastAsia" w:ascii="Times New Roman" w:hAnsi="Times New Roman" w:eastAsia="仿宋_GB2312" w:cs="Times New Roman"/>
          <w:bCs/>
          <w:color w:val="000000" w:themeColor="text1"/>
          <w:kern w:val="2"/>
          <w:sz w:val="32"/>
          <w:szCs w:val="28"/>
          <w:highlight w:val="none"/>
          <w:lang w:bidi="ar"/>
          <w14:textFill>
            <w14:solidFill>
              <w14:schemeClr w14:val="tx1"/>
            </w14:solidFill>
          </w14:textFill>
        </w:rPr>
        <w:t>。</w:t>
      </w:r>
    </w:p>
    <w:p w14:paraId="123F56EA">
      <w:pPr>
        <w:widowControl/>
        <w:autoSpaceDE/>
        <w:autoSpaceDN/>
        <w:spacing w:line="360" w:lineRule="auto"/>
        <w:rPr>
          <w:rFonts w:hint="eastAsia" w:eastAsia="仿宋_GB2312"/>
          <w:color w:val="000000" w:themeColor="text1"/>
          <w:highlight w:val="none"/>
          <w14:textFill>
            <w14:solidFill>
              <w14:schemeClr w14:val="tx1"/>
            </w14:solidFill>
          </w14:textFill>
        </w:rPr>
      </w:pPr>
      <w:r>
        <w:rPr>
          <w:rFonts w:eastAsia="仿宋_GB2312"/>
          <w:color w:val="000000" w:themeColor="text1"/>
          <w:highlight w:val="none"/>
          <w14:textFill>
            <w14:solidFill>
              <w14:schemeClr w14:val="tx1"/>
            </w14:solidFill>
          </w14:textFill>
        </w:rPr>
        <w:br w:type="page"/>
      </w:r>
    </w:p>
    <w:p w14:paraId="22F60914">
      <w:pPr>
        <w:pStyle w:val="2"/>
        <w:spacing w:before="0" w:line="360" w:lineRule="auto"/>
        <w:ind w:left="0" w:firstLine="0"/>
        <w:jc w:val="center"/>
        <w:rPr>
          <w:rFonts w:hint="eastAsia" w:ascii="华光小标宋_CNKI" w:hAnsi="华光小标宋_CNKI" w:eastAsia="华光小标宋_CNKI"/>
          <w:color w:val="000000" w:themeColor="text1"/>
          <w:spacing w:val="5"/>
          <w:highlight w:val="none"/>
          <w14:textFill>
            <w14:solidFill>
              <w14:schemeClr w14:val="tx1"/>
            </w14:solidFill>
          </w14:textFill>
        </w:rPr>
      </w:pPr>
      <w:bookmarkStart w:id="94" w:name="_bookmark36"/>
      <w:bookmarkEnd w:id="94"/>
      <w:bookmarkStart w:id="95" w:name="_Toc11843"/>
      <w:r>
        <w:rPr>
          <w:rFonts w:ascii="华光小标宋_CNKI" w:hAnsi="华光小标宋_CNKI" w:eastAsia="华光小标宋_CNKI"/>
          <w:color w:val="000000" w:themeColor="text1"/>
          <w:spacing w:val="5"/>
          <w:highlight w:val="none"/>
          <w14:textFill>
            <w14:solidFill>
              <w14:schemeClr w14:val="tx1"/>
            </w14:solidFill>
          </w14:textFill>
        </w:rPr>
        <w:t>规划传导实施与保障</w:t>
      </w:r>
      <w:bookmarkEnd w:id="95"/>
      <w:r>
        <w:rPr>
          <w:rFonts w:hint="eastAsia" w:ascii="华光小标宋_CNKI" w:hAnsi="华光小标宋_CNKI" w:eastAsia="华光小标宋_CNKI"/>
          <w:color w:val="000000" w:themeColor="text1"/>
          <w:spacing w:val="5"/>
          <w:highlight w:val="none"/>
          <w14:textFill>
            <w14:solidFill>
              <w14:schemeClr w14:val="tx1"/>
            </w14:solidFill>
          </w14:textFill>
        </w:rPr>
        <w:t xml:space="preserve"> </w:t>
      </w:r>
    </w:p>
    <w:p w14:paraId="53C71556">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张庄寨镇国土空间总体规划经法定程序批准后将成为编制各级各类规划、指导张庄寨镇集约集聚发展建设的基本依据。</w:t>
      </w:r>
    </w:p>
    <w:p w14:paraId="178A729D">
      <w:pPr>
        <w:pStyle w:val="3"/>
        <w:numPr>
          <w:ilvl w:val="0"/>
          <w:numId w:val="12"/>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96" w:name="_bookmark37"/>
      <w:bookmarkEnd w:id="96"/>
      <w:bookmarkStart w:id="97" w:name="_Toc30340"/>
      <w:r>
        <w:rPr>
          <w:rFonts w:hint="eastAsia" w:ascii="黑体" w:hAnsi="黑体" w:eastAsia="黑体"/>
          <w:color w:val="000000" w:themeColor="text1"/>
          <w:highlight w:val="none"/>
          <w:lang w:eastAsia="zh-CN"/>
          <w14:textFill>
            <w14:solidFill>
              <w14:schemeClr w14:val="tx1"/>
            </w14:solidFill>
          </w14:textFill>
        </w:rPr>
        <w:t>制定单元规划</w:t>
      </w:r>
      <w:bookmarkEnd w:id="97"/>
    </w:p>
    <w:p w14:paraId="355BB9DE">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单元划分</w:t>
      </w:r>
    </w:p>
    <w:p w14:paraId="3B888906">
      <w:pPr>
        <w:pStyle w:val="13"/>
        <w:spacing w:before="0" w:beforeLines="0" w:line="360" w:lineRule="auto"/>
        <w:ind w:left="0" w:leftChars="0" w:right="110" w:firstLine="681" w:firstLineChars="213"/>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将镇域划分为城镇单元和乡村单元。</w:t>
      </w:r>
    </w:p>
    <w:p w14:paraId="2D75F1F2">
      <w:pPr>
        <w:pStyle w:val="13"/>
        <w:spacing w:before="0" w:beforeLines="0" w:line="360" w:lineRule="auto"/>
        <w:ind w:left="0" w:leftChars="0" w:right="110" w:firstLine="681" w:firstLineChars="213"/>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城镇单元：以镇区规划范围为界，重点管控建设行为，</w:t>
      </w:r>
      <w:r>
        <w:rPr>
          <w:rFonts w:hint="eastAsia" w:eastAsia="仿宋_GB2312"/>
          <w:color w:val="000000" w:themeColor="text1"/>
          <w:highlight w:val="none"/>
          <w:lang w:val="en-US" w:eastAsia="zh-CN"/>
          <w14:textFill>
            <w14:solidFill>
              <w14:schemeClr w14:val="tx1"/>
            </w14:solidFill>
          </w14:textFill>
        </w:rPr>
        <w:t>共划定1个城镇单元</w:t>
      </w:r>
      <w:r>
        <w:rPr>
          <w:rFonts w:hint="eastAsia" w:eastAsia="仿宋_GB2312"/>
          <w:color w:val="000000" w:themeColor="text1"/>
          <w:highlight w:val="none"/>
          <w:lang w:eastAsia="zh-CN"/>
          <w14:textFill>
            <w14:solidFill>
              <w14:schemeClr w14:val="tx1"/>
            </w14:solidFill>
          </w14:textFill>
        </w:rPr>
        <w:t>。</w:t>
      </w:r>
    </w:p>
    <w:p w14:paraId="745E5191">
      <w:pPr>
        <w:pStyle w:val="13"/>
        <w:spacing w:before="0" w:beforeLines="0" w:line="360" w:lineRule="auto"/>
        <w:ind w:left="0" w:leftChars="0" w:right="110" w:firstLine="681" w:firstLineChars="213"/>
        <w:rPr>
          <w:rFonts w:hint="eastAsia" w:eastAsia="仿宋_GB2312"/>
          <w:color w:val="000000" w:themeColor="text1"/>
          <w:highlight w:val="none"/>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乡村单元：以行政村界线为基础，覆盖全域乡村地区，</w:t>
      </w:r>
      <w:r>
        <w:rPr>
          <w:rFonts w:hint="eastAsia" w:eastAsia="仿宋_GB2312"/>
          <w:color w:val="000000" w:themeColor="text1"/>
          <w:highlight w:val="none"/>
          <w:lang w:val="en-US" w:eastAsia="zh-CN"/>
          <w14:textFill>
            <w14:solidFill>
              <w14:schemeClr w14:val="tx1"/>
            </w14:solidFill>
          </w14:textFill>
        </w:rPr>
        <w:t>共划定16个乡村单元</w:t>
      </w:r>
      <w:r>
        <w:rPr>
          <w:rFonts w:eastAsia="仿宋_GB2312"/>
          <w:color w:val="000000" w:themeColor="text1"/>
          <w:highlight w:val="none"/>
          <w14:textFill>
            <w14:solidFill>
              <w14:schemeClr w14:val="tx1"/>
            </w14:solidFill>
          </w14:textFill>
        </w:rPr>
        <w:t>。</w:t>
      </w:r>
    </w:p>
    <w:p w14:paraId="616C13F2">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明确管制要求</w:t>
      </w:r>
    </w:p>
    <w:p w14:paraId="20C9902E">
      <w:pPr>
        <w:pStyle w:val="13"/>
        <w:spacing w:before="0" w:beforeLines="0" w:line="360" w:lineRule="auto"/>
        <w:ind w:left="0" w:leftChars="0" w:right="110" w:firstLine="681" w:firstLineChars="213"/>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城镇单元：重点管控城镇开发边界、建筑高度、容积率、绿地率及“四线”（红线、绿线、蓝线、黄线）。严格落实公共服务设施和市政基础设施配建标准。</w:t>
      </w:r>
    </w:p>
    <w:p w14:paraId="3DE8D27D">
      <w:pPr>
        <w:pStyle w:val="13"/>
        <w:spacing w:before="0" w:beforeLines="0" w:line="360" w:lineRule="auto"/>
        <w:ind w:left="0" w:leftChars="0" w:right="110" w:firstLine="681" w:firstLineChars="213"/>
        <w:rPr>
          <w:rFonts w:hint="eastAsia" w:eastAsia="PMingLiU"/>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乡村单元：重点管控耕地和永久基本农田保护、村庄建设边界、生态保护红线。引导农房建设符合村庄规划要求</w:t>
      </w:r>
      <w:r>
        <w:rPr>
          <w:rFonts w:eastAsia="仿宋_GB2312"/>
          <w:color w:val="000000" w:themeColor="text1"/>
          <w:highlight w:val="none"/>
          <w:lang w:eastAsia="zh-CN"/>
          <w14:textFill>
            <w14:solidFill>
              <w14:schemeClr w14:val="tx1"/>
            </w14:solidFill>
          </w14:textFill>
        </w:rPr>
        <w:t>。</w:t>
      </w:r>
    </w:p>
    <w:p w14:paraId="27DFDEF4">
      <w:pPr>
        <w:pStyle w:val="3"/>
        <w:numPr>
          <w:ilvl w:val="0"/>
          <w:numId w:val="12"/>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98" w:name="_Toc8414"/>
      <w:r>
        <w:rPr>
          <w:rFonts w:hint="eastAsia" w:ascii="黑体" w:hAnsi="黑体" w:eastAsia="黑体"/>
          <w:color w:val="000000" w:themeColor="text1"/>
          <w:highlight w:val="none"/>
          <w:lang w:eastAsia="zh-CN"/>
          <w14:textFill>
            <w14:solidFill>
              <w14:schemeClr w14:val="tx1"/>
            </w14:solidFill>
          </w14:textFill>
        </w:rPr>
        <w:t>近期行动计划</w:t>
      </w:r>
      <w:bookmarkEnd w:id="98"/>
    </w:p>
    <w:p w14:paraId="11A59E75">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交通</w:t>
      </w:r>
      <w:r>
        <w:rPr>
          <w:rFonts w:hint="eastAsia" w:eastAsia="仿宋_GB2312"/>
          <w:color w:val="000000" w:themeColor="text1"/>
          <w:w w:val="105"/>
          <w:sz w:val="32"/>
          <w:highlight w:val="none"/>
          <w14:textFill>
            <w14:solidFill>
              <w14:schemeClr w14:val="tx1"/>
            </w14:solidFill>
          </w14:textFill>
        </w:rPr>
        <w:t>项目近期行动计划</w:t>
      </w:r>
    </w:p>
    <w:p w14:paraId="33E6D133">
      <w:pPr>
        <w:pStyle w:val="13"/>
        <w:spacing w:before="120" w:line="360" w:lineRule="auto"/>
        <w:ind w:left="110" w:right="110" w:firstLine="681" w:firstLineChars="213"/>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重点推进G237国道张庄寨段改扩建工程、县乡道路升级改造工程等</w:t>
      </w:r>
      <w:r>
        <w:rPr>
          <w:rFonts w:hint="eastAsia" w:eastAsia="仿宋_GB2312"/>
          <w:color w:val="000000" w:themeColor="text1"/>
          <w:highlight w:val="none"/>
          <w:lang w:eastAsia="zh-CN"/>
          <w14:textFill>
            <w14:solidFill>
              <w14:schemeClr w14:val="tx1"/>
            </w14:solidFill>
          </w14:textFill>
        </w:rPr>
        <w:t>。</w:t>
      </w:r>
    </w:p>
    <w:p w14:paraId="5278EC70">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水利项目近期行动计划</w:t>
      </w:r>
    </w:p>
    <w:p w14:paraId="04136E91">
      <w:pPr>
        <w:pStyle w:val="13"/>
        <w:spacing w:before="120" w:line="360" w:lineRule="auto"/>
        <w:ind w:left="110" w:right="110" w:firstLine="681" w:firstLineChars="213"/>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实施洪河水环境综合治理工程、农田水利设施配套工程等</w:t>
      </w:r>
      <w:r>
        <w:rPr>
          <w:rFonts w:hint="eastAsia" w:eastAsia="仿宋_GB2312"/>
          <w:color w:val="000000" w:themeColor="text1"/>
          <w:highlight w:val="none"/>
          <w:lang w:eastAsia="zh-CN"/>
          <w14:textFill>
            <w14:solidFill>
              <w14:schemeClr w14:val="tx1"/>
            </w14:solidFill>
          </w14:textFill>
        </w:rPr>
        <w:t>。</w:t>
      </w:r>
    </w:p>
    <w:p w14:paraId="0B7797B5">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电力项目近期行动计划</w:t>
      </w:r>
    </w:p>
    <w:p w14:paraId="0603B4C1">
      <w:pPr>
        <w:pStyle w:val="13"/>
        <w:spacing w:before="0" w:beforeLines="0" w:line="360" w:lineRule="auto"/>
        <w:ind w:left="0" w:leftChars="0" w:right="110" w:firstLine="681" w:firstLineChars="213"/>
        <w:rPr>
          <w:rFonts w:hint="eastAsia" w:eastAsia="PMingLiU"/>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实施农网升级改造工程，新建110kV输变电工程，完善区域供电网络</w:t>
      </w:r>
      <w:r>
        <w:rPr>
          <w:rFonts w:hint="eastAsia" w:eastAsia="仿宋_GB2312"/>
          <w:color w:val="000000" w:themeColor="text1"/>
          <w:highlight w:val="none"/>
          <w:lang w:val="en-US" w:eastAsia="zh-CN"/>
          <w14:textFill>
            <w14:solidFill>
              <w14:schemeClr w14:val="tx1"/>
            </w14:solidFill>
          </w14:textFill>
        </w:rPr>
        <w:t>等</w:t>
      </w:r>
      <w:r>
        <w:rPr>
          <w:rFonts w:hint="eastAsia" w:eastAsia="仿宋_GB2312"/>
          <w:color w:val="000000" w:themeColor="text1"/>
          <w:highlight w:val="none"/>
          <w:lang w:eastAsia="zh-CN"/>
          <w14:textFill>
            <w14:solidFill>
              <w14:schemeClr w14:val="tx1"/>
            </w14:solidFill>
          </w14:textFill>
        </w:rPr>
        <w:t>。</w:t>
      </w:r>
    </w:p>
    <w:p w14:paraId="5739F3DA">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民生项目近期行动计划</w:t>
      </w:r>
    </w:p>
    <w:p w14:paraId="654CE4AF">
      <w:pPr>
        <w:pStyle w:val="13"/>
        <w:spacing w:before="0" w:beforeLines="0" w:line="360" w:lineRule="auto"/>
        <w:ind w:left="0" w:leftChars="0" w:right="110" w:firstLine="681" w:firstLineChars="213"/>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实施农村人居环境整治提升工程、黑臭水体治理工程等</w:t>
      </w:r>
      <w:r>
        <w:rPr>
          <w:rFonts w:hint="eastAsia" w:eastAsia="仿宋_GB2312"/>
          <w:color w:val="000000" w:themeColor="text1"/>
          <w:highlight w:val="none"/>
          <w:lang w:eastAsia="zh-CN"/>
          <w14:textFill>
            <w14:solidFill>
              <w14:schemeClr w14:val="tx1"/>
            </w14:solidFill>
          </w14:textFill>
        </w:rPr>
        <w:t>。</w:t>
      </w:r>
    </w:p>
    <w:p w14:paraId="49CBABD1">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生态修复</w:t>
      </w:r>
      <w:r>
        <w:rPr>
          <w:rFonts w:hint="eastAsia" w:eastAsia="仿宋_GB2312"/>
          <w:color w:val="000000" w:themeColor="text1"/>
          <w:w w:val="105"/>
          <w:sz w:val="32"/>
          <w:highlight w:val="none"/>
          <w14:textFill>
            <w14:solidFill>
              <w14:schemeClr w14:val="tx1"/>
            </w14:solidFill>
          </w14:textFill>
        </w:rPr>
        <w:t>项目近期行动计划</w:t>
      </w:r>
    </w:p>
    <w:p w14:paraId="71B98F59">
      <w:pPr>
        <w:pStyle w:val="13"/>
        <w:spacing w:before="0" w:beforeLines="0" w:line="360" w:lineRule="auto"/>
        <w:ind w:left="0" w:leftChars="0" w:right="110" w:firstLine="681" w:firstLineChars="213"/>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推进绿色家居产业园基础设施提升项目、高标准农田建设示范项目</w:t>
      </w:r>
      <w:r>
        <w:rPr>
          <w:rFonts w:hint="eastAsia" w:eastAsia="仿宋_GB2312"/>
          <w:color w:val="000000" w:themeColor="text1"/>
          <w:highlight w:val="none"/>
          <w:lang w:val="en-US" w:eastAsia="zh-CN"/>
          <w14:textFill>
            <w14:solidFill>
              <w14:schemeClr w14:val="tx1"/>
            </w14:solidFill>
          </w14:textFill>
        </w:rPr>
        <w:t>等</w:t>
      </w:r>
      <w:r>
        <w:rPr>
          <w:rFonts w:hint="eastAsia" w:eastAsia="仿宋_GB2312"/>
          <w:color w:val="000000" w:themeColor="text1"/>
          <w:highlight w:val="none"/>
          <w:lang w:eastAsia="zh-CN"/>
          <w14:textFill>
            <w14:solidFill>
              <w14:schemeClr w14:val="tx1"/>
            </w14:solidFill>
          </w14:textFill>
        </w:rPr>
        <w:t>。</w:t>
      </w:r>
    </w:p>
    <w:p w14:paraId="20E92847">
      <w:pPr>
        <w:pStyle w:val="3"/>
        <w:numPr>
          <w:ilvl w:val="0"/>
          <w:numId w:val="12"/>
        </w:numPr>
        <w:spacing w:before="240" w:after="240"/>
        <w:ind w:left="0" w:firstLine="0"/>
        <w:jc w:val="center"/>
        <w:rPr>
          <w:rFonts w:hint="eastAsia" w:ascii="黑体" w:hAnsi="黑体" w:eastAsia="黑体"/>
          <w:color w:val="000000" w:themeColor="text1"/>
          <w:highlight w:val="none"/>
          <w:lang w:eastAsia="zh-CN"/>
          <w14:textFill>
            <w14:solidFill>
              <w14:schemeClr w14:val="tx1"/>
            </w14:solidFill>
          </w14:textFill>
        </w:rPr>
      </w:pPr>
      <w:bookmarkStart w:id="99" w:name="_bookmark38"/>
      <w:bookmarkEnd w:id="99"/>
      <w:bookmarkStart w:id="100" w:name="_bookmark39"/>
      <w:bookmarkEnd w:id="100"/>
      <w:bookmarkStart w:id="101" w:name="_Toc7530"/>
      <w:r>
        <w:rPr>
          <w:rFonts w:hint="eastAsia" w:ascii="黑体" w:hAnsi="黑体" w:eastAsia="黑体"/>
          <w:color w:val="000000" w:themeColor="text1"/>
          <w:highlight w:val="none"/>
          <w:lang w:eastAsia="zh-CN"/>
          <w14:textFill>
            <w14:solidFill>
              <w14:schemeClr w14:val="tx1"/>
            </w14:solidFill>
          </w14:textFill>
        </w:rPr>
        <w:t>规划实施保障</w:t>
      </w:r>
      <w:bookmarkEnd w:id="101"/>
    </w:p>
    <w:p w14:paraId="2BBAF453">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加强组织保障</w:t>
      </w:r>
    </w:p>
    <w:p w14:paraId="3E3BE766">
      <w:pPr>
        <w:pStyle w:val="13"/>
        <w:spacing w:before="0" w:beforeLines="0" w:line="360" w:lineRule="auto"/>
        <w:ind w:left="0" w:leftChars="0" w:right="110" w:firstLine="681" w:firstLineChars="213"/>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张庄寨镇人民政府是规划实施的责任主体，要建立健全规划实施工作机制，将规划任务分解落实到具体部门和村（社区），确保规划目标如期实现</w:t>
      </w:r>
      <w:r>
        <w:rPr>
          <w:rFonts w:hint="eastAsia" w:eastAsia="仿宋_GB2312"/>
          <w:color w:val="000000" w:themeColor="text1"/>
          <w:highlight w:val="none"/>
          <w14:textFill>
            <w14:solidFill>
              <w14:schemeClr w14:val="tx1"/>
            </w14:solidFill>
          </w14:textFill>
        </w:rPr>
        <w:t>。</w:t>
      </w:r>
    </w:p>
    <w:p w14:paraId="1B290654">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落实配套政策</w:t>
      </w:r>
    </w:p>
    <w:p w14:paraId="0FE488EE">
      <w:pPr>
        <w:pStyle w:val="13"/>
        <w:spacing w:before="0" w:beforeLines="0" w:line="360" w:lineRule="auto"/>
        <w:ind w:left="0" w:leftChars="0" w:right="110" w:firstLine="684" w:firstLineChars="213"/>
        <w:rPr>
          <w:rFonts w:hint="eastAsia" w:eastAsia="仿宋_GB2312"/>
          <w:color w:val="000000" w:themeColor="text1"/>
          <w:highlight w:val="none"/>
          <w:lang w:eastAsia="zh-CN"/>
          <w14:textFill>
            <w14:solidFill>
              <w14:schemeClr w14:val="tx1"/>
            </w14:solidFill>
          </w14:textFill>
        </w:rPr>
      </w:pPr>
      <w:r>
        <w:rPr>
          <w:rFonts w:hint="eastAsia" w:eastAsia="仿宋_GB2312"/>
          <w:b/>
          <w:bCs/>
          <w:color w:val="000000" w:themeColor="text1"/>
          <w:highlight w:val="none"/>
          <w:lang w:eastAsia="zh-CN"/>
          <w14:textFill>
            <w14:solidFill>
              <w14:schemeClr w14:val="tx1"/>
            </w14:solidFill>
          </w14:textFill>
        </w:rPr>
        <w:t>建立更加完善的耕地与永久基本农田保护制度。</w:t>
      </w:r>
      <w:r>
        <w:rPr>
          <w:rFonts w:hint="eastAsia" w:eastAsia="仿宋_GB2312"/>
          <w:color w:val="000000" w:themeColor="text1"/>
          <w:highlight w:val="none"/>
          <w:lang w:eastAsia="zh-CN"/>
          <w14:textFill>
            <w14:solidFill>
              <w14:schemeClr w14:val="tx1"/>
            </w14:solidFill>
          </w14:textFill>
        </w:rPr>
        <w:t>探索建立区域统筹的耕地保护平衡机制。在规划实施中严格建立永久基本农田“先补后占”制度，需在规划永久基本农田范围内改造、复垦、改良完成并更新数据库后，方可占用非耕地的现状永久基本农田。</w:t>
      </w:r>
    </w:p>
    <w:p w14:paraId="4D65BFB8">
      <w:pPr>
        <w:pStyle w:val="13"/>
        <w:spacing w:before="0" w:beforeLines="0" w:line="360" w:lineRule="auto"/>
        <w:ind w:left="0" w:leftChars="0" w:right="110" w:firstLine="684" w:firstLineChars="213"/>
        <w:rPr>
          <w:rFonts w:hint="eastAsia" w:eastAsia="PMingLiU"/>
          <w:color w:val="000000" w:themeColor="text1"/>
          <w:highlight w:val="none"/>
          <w:lang w:eastAsia="zh-CN"/>
          <w14:textFill>
            <w14:solidFill>
              <w14:schemeClr w14:val="tx1"/>
            </w14:solidFill>
          </w14:textFill>
        </w:rPr>
      </w:pPr>
      <w:r>
        <w:rPr>
          <w:rFonts w:hint="eastAsia" w:eastAsia="仿宋_GB2312"/>
          <w:b/>
          <w:bCs/>
          <w:color w:val="000000" w:themeColor="text1"/>
          <w:highlight w:val="none"/>
          <w:lang w:eastAsia="zh-CN"/>
          <w14:textFill>
            <w14:solidFill>
              <w14:schemeClr w14:val="tx1"/>
            </w14:solidFill>
          </w14:textFill>
        </w:rPr>
        <w:t>探索集体经营性建设用地入市配套政策。</w:t>
      </w:r>
      <w:r>
        <w:rPr>
          <w:rFonts w:hint="eastAsia" w:eastAsia="仿宋_GB2312"/>
          <w:color w:val="000000" w:themeColor="text1"/>
          <w:highlight w:val="none"/>
          <w:lang w:eastAsia="zh-CN"/>
          <w14:textFill>
            <w14:solidFill>
              <w14:schemeClr w14:val="tx1"/>
            </w14:solidFill>
          </w14:textFill>
        </w:rPr>
        <w:t>建立集体经营性建设用地入市相关配套制度，落实具体操作细则，明确相关利益分配机制，保障农村一二三产业融合发展。</w:t>
      </w:r>
    </w:p>
    <w:p w14:paraId="5378C498">
      <w:pPr>
        <w:pStyle w:val="13"/>
        <w:spacing w:before="0" w:beforeLines="0" w:line="360" w:lineRule="auto"/>
        <w:ind w:left="0" w:leftChars="0" w:right="110" w:firstLine="684" w:firstLineChars="213"/>
        <w:rPr>
          <w:rFonts w:hint="eastAsia" w:eastAsia="PMingLiU"/>
          <w:color w:val="000000" w:themeColor="text1"/>
          <w:highlight w:val="none"/>
          <w:lang w:eastAsia="zh-CN"/>
          <w14:textFill>
            <w14:solidFill>
              <w14:schemeClr w14:val="tx1"/>
            </w14:solidFill>
          </w14:textFill>
        </w:rPr>
      </w:pPr>
      <w:r>
        <w:rPr>
          <w:rFonts w:hint="eastAsia" w:eastAsia="仿宋_GB2312"/>
          <w:b/>
          <w:bCs/>
          <w:color w:val="000000" w:themeColor="text1"/>
          <w:highlight w:val="none"/>
          <w:lang w:eastAsia="zh-CN"/>
          <w14:textFill>
            <w14:solidFill>
              <w14:schemeClr w14:val="tx1"/>
            </w14:solidFill>
          </w14:textFill>
        </w:rPr>
        <w:t>探索集中居住激励政策。</w:t>
      </w:r>
      <w:r>
        <w:rPr>
          <w:rFonts w:hint="eastAsia" w:eastAsia="仿宋_GB2312"/>
          <w:color w:val="000000" w:themeColor="text1"/>
          <w:highlight w:val="none"/>
          <w:lang w:eastAsia="zh-CN"/>
          <w14:textFill>
            <w14:solidFill>
              <w14:schemeClr w14:val="tx1"/>
            </w14:solidFill>
          </w14:textFill>
        </w:rPr>
        <w:t>为进一步优化城乡建设用地格局，集约节约用地。政府方面，通过基础设施建设、公共服务完善、经济补贴等方式鼓励村民搬迁到集中居民点聚居。村集体方面，在一户一宅的前提下，采用集中居住后腾退的宅基地面积作价入股等方式，保障集体经济组织成员对原有宅基地的财产权，鼓励集中居住。</w:t>
      </w:r>
    </w:p>
    <w:p w14:paraId="5B1AD163">
      <w:pPr>
        <w:pStyle w:val="13"/>
        <w:spacing w:before="0" w:beforeLines="0" w:line="360" w:lineRule="auto"/>
        <w:ind w:left="0" w:leftChars="0" w:right="110" w:firstLine="684" w:firstLineChars="213"/>
        <w:rPr>
          <w:rFonts w:hint="eastAsia" w:eastAsia="PMingLiU"/>
          <w:color w:val="000000" w:themeColor="text1"/>
          <w:highlight w:val="none"/>
          <w14:textFill>
            <w14:solidFill>
              <w14:schemeClr w14:val="tx1"/>
            </w14:solidFill>
          </w14:textFill>
        </w:rPr>
      </w:pPr>
      <w:r>
        <w:rPr>
          <w:rFonts w:hint="eastAsia" w:eastAsia="仿宋_GB2312"/>
          <w:b/>
          <w:bCs/>
          <w:color w:val="000000" w:themeColor="text1"/>
          <w:highlight w:val="none"/>
          <w:lang w:eastAsia="zh-CN"/>
          <w14:textFill>
            <w14:solidFill>
              <w14:schemeClr w14:val="tx1"/>
            </w14:solidFill>
          </w14:textFill>
        </w:rPr>
        <w:t>探索宅基地有偿退出机制。</w:t>
      </w:r>
      <w:r>
        <w:rPr>
          <w:rFonts w:hint="eastAsia" w:eastAsia="仿宋_GB2312"/>
          <w:color w:val="000000" w:themeColor="text1"/>
          <w:highlight w:val="none"/>
          <w:lang w:eastAsia="zh-CN"/>
          <w14:textFill>
            <w14:solidFill>
              <w14:schemeClr w14:val="tx1"/>
            </w14:solidFill>
          </w14:textFill>
        </w:rPr>
        <w:t>放活宅基地使用权。在土地、财政、融资等方面出台对城镇集中居住、农村自愿退出宅基地配套支持政策</w:t>
      </w:r>
      <w:r>
        <w:rPr>
          <w:rFonts w:hint="eastAsia" w:eastAsia="仿宋_GB2312"/>
          <w:color w:val="000000" w:themeColor="text1"/>
          <w:highlight w:val="none"/>
          <w14:textFill>
            <w14:solidFill>
              <w14:schemeClr w14:val="tx1"/>
            </w14:solidFill>
          </w14:textFill>
        </w:rPr>
        <w:t>。</w:t>
      </w:r>
    </w:p>
    <w:p w14:paraId="2EDF9876">
      <w:pPr>
        <w:pStyle w:val="33"/>
        <w:spacing w:before="0" w:line="360" w:lineRule="auto"/>
        <w:ind w:left="0" w:right="108" w:firstLine="718" w:firstLineChars="213"/>
        <w:rPr>
          <w:rFonts w:hint="eastAsia" w:eastAsia="仿宋_GB2312"/>
          <w:color w:val="000000" w:themeColor="text1"/>
          <w:w w:val="105"/>
          <w:sz w:val="32"/>
          <w:highlight w:val="none"/>
          <w14:textFill>
            <w14:solidFill>
              <w14:schemeClr w14:val="tx1"/>
            </w14:solidFill>
          </w14:textFill>
        </w:rPr>
      </w:pPr>
      <w:r>
        <w:rPr>
          <w:rFonts w:hint="eastAsia" w:eastAsia="仿宋_GB2312"/>
          <w:color w:val="000000" w:themeColor="text1"/>
          <w:w w:val="105"/>
          <w:sz w:val="32"/>
          <w:highlight w:val="none"/>
          <w14:textFill>
            <w14:solidFill>
              <w14:schemeClr w14:val="tx1"/>
            </w14:solidFill>
          </w14:textFill>
        </w:rPr>
        <w:t>健全监督机制</w:t>
      </w:r>
    </w:p>
    <w:p w14:paraId="18C8A81F">
      <w:pPr>
        <w:pStyle w:val="13"/>
        <w:spacing w:before="0" w:beforeLines="0" w:line="360" w:lineRule="auto"/>
        <w:ind w:left="0" w:leftChars="0" w:right="110" w:firstLine="681" w:firstLineChars="213"/>
        <w:rPr>
          <w:rFonts w:hint="eastAsia" w:eastAsia="仿宋_GB2312"/>
          <w:color w:val="000000" w:themeColor="text1"/>
          <w:highlight w:val="none"/>
          <w:lang w:eastAsia="zh-CN"/>
          <w14:textFill>
            <w14:solidFill>
              <w14:schemeClr w14:val="tx1"/>
            </w14:solidFill>
          </w14:textFill>
        </w:rPr>
        <w:sectPr>
          <w:footerReference r:id="rId6" w:type="default"/>
          <w:pgSz w:w="11910" w:h="16850"/>
          <w:pgMar w:top="1360" w:right="1380" w:bottom="1640" w:left="1580" w:header="645" w:footer="1443" w:gutter="0"/>
          <w:cols w:space="720" w:num="1"/>
        </w:sectPr>
      </w:pPr>
      <w:r>
        <w:rPr>
          <w:rFonts w:hint="eastAsia" w:eastAsia="仿宋_GB2312"/>
          <w:color w:val="000000" w:themeColor="text1"/>
          <w:highlight w:val="none"/>
          <w:lang w:eastAsia="zh-CN"/>
          <w14:textFill>
            <w14:solidFill>
              <w14:schemeClr w14:val="tx1"/>
            </w14:solidFill>
          </w14:textFill>
        </w:rPr>
        <w:t>完善公众参与制度，建立规划实施动态监测、评估、预警机制。完善规划实施考核制度，确保规划严格执行。</w:t>
      </w:r>
    </w:p>
    <w:p w14:paraId="051760E3">
      <w:pPr>
        <w:pStyle w:val="2"/>
        <w:spacing w:before="0" w:line="360" w:lineRule="auto"/>
        <w:ind w:left="0" w:firstLine="0"/>
        <w:jc w:val="center"/>
        <w:rPr>
          <w:rFonts w:hint="eastAsia" w:ascii="华光小标宋_CNKI" w:hAnsi="华光小标宋_CNKI" w:eastAsia="华光小标宋_CNKI"/>
          <w:color w:val="000000" w:themeColor="text1"/>
          <w:spacing w:val="5"/>
          <w:highlight w:val="none"/>
          <w:lang w:eastAsia="zh-CN"/>
          <w14:textFill>
            <w14:solidFill>
              <w14:schemeClr w14:val="tx1"/>
            </w14:solidFill>
          </w14:textFill>
        </w:rPr>
      </w:pPr>
      <w:bookmarkStart w:id="102" w:name="_Toc26151"/>
      <w:bookmarkStart w:id="103" w:name="_Toc178169307"/>
      <w:bookmarkStart w:id="104" w:name="_Toc178247612"/>
      <w:bookmarkStart w:id="105" w:name="_Toc212360827"/>
      <w:r>
        <w:rPr>
          <w:rFonts w:hint="eastAsia" w:ascii="华光小标宋_CNKI" w:hAnsi="华光小标宋_CNKI" w:eastAsia="华光小标宋_CNKI"/>
          <w:color w:val="000000" w:themeColor="text1"/>
          <w:spacing w:val="5"/>
          <w:highlight w:val="none"/>
          <w:lang w:eastAsia="zh-CN"/>
          <w14:textFill>
            <w14:solidFill>
              <w14:schemeClr w14:val="tx1"/>
            </w14:solidFill>
          </w14:textFill>
        </w:rPr>
        <w:t>乡村地区“通则式”规划技术管理规定</w:t>
      </w:r>
      <w:bookmarkEnd w:id="102"/>
      <w:bookmarkEnd w:id="103"/>
      <w:bookmarkEnd w:id="104"/>
      <w:bookmarkEnd w:id="105"/>
    </w:p>
    <w:p w14:paraId="6948A0D8">
      <w:pPr>
        <w:pStyle w:val="13"/>
        <w:keepNext w:val="0"/>
        <w:keepLines w:val="0"/>
        <w:pageBreakBefore w:val="0"/>
        <w:widowControl w:val="0"/>
        <w:kinsoku/>
        <w:wordWrap/>
        <w:overflowPunct/>
        <w:topLinePunct w:val="0"/>
        <w:autoSpaceDE w:val="0"/>
        <w:autoSpaceDN w:val="0"/>
        <w:bidi w:val="0"/>
        <w:adjustRightInd/>
        <w:snapToGrid/>
        <w:spacing w:before="0" w:beforeLines="0" w:line="592" w:lineRule="exact"/>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张庄寨镇国土空间总体规划经法定程序批准后将成为编制张庄寨镇各级各类规划、指导张庄寨镇集约集聚发展建设的基本依据。</w:t>
      </w:r>
    </w:p>
    <w:p w14:paraId="5CD0D230">
      <w:pPr>
        <w:pStyle w:val="13"/>
        <w:keepNext w:val="0"/>
        <w:keepLines w:val="0"/>
        <w:pageBreakBefore w:val="0"/>
        <w:widowControl w:val="0"/>
        <w:kinsoku/>
        <w:wordWrap/>
        <w:overflowPunct/>
        <w:topLinePunct w:val="0"/>
        <w:autoSpaceDE w:val="0"/>
        <w:autoSpaceDN w:val="0"/>
        <w:bidi w:val="0"/>
        <w:adjustRightInd/>
        <w:snapToGrid/>
        <w:spacing w:before="0" w:beforeLines="0" w:line="592" w:lineRule="exact"/>
        <w:ind w:left="0" w:leftChars="0" w:right="110" w:firstLine="0" w:firstLineChars="0"/>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镇域各部门各单位应自觉接受规划约束，各项建设与管理按照规划有序组织实施。</w:t>
      </w:r>
    </w:p>
    <w:p w14:paraId="6F2C11EC">
      <w:pPr>
        <w:pStyle w:val="13"/>
        <w:keepNext w:val="0"/>
        <w:keepLines w:val="0"/>
        <w:pageBreakBefore w:val="0"/>
        <w:widowControl w:val="0"/>
        <w:kinsoku/>
        <w:wordWrap/>
        <w:overflowPunct/>
        <w:topLinePunct w:val="0"/>
        <w:autoSpaceDE w:val="0"/>
        <w:autoSpaceDN w:val="0"/>
        <w:bidi w:val="0"/>
        <w:adjustRightInd/>
        <w:snapToGrid w:val="0"/>
        <w:spacing w:before="240" w:beforeLines="0" w:after="240" w:line="592" w:lineRule="exact"/>
        <w:ind w:left="0" w:leftChars="0" w:right="0" w:rightChars="0" w:firstLine="0" w:firstLineChars="0"/>
        <w:jc w:val="center"/>
        <w:textAlignment w:val="auto"/>
        <w:outlineLvl w:val="1"/>
        <w:rPr>
          <w:rFonts w:hint="eastAsia" w:eastAsia="仿宋_GB2312"/>
          <w:color w:val="000000" w:themeColor="text1"/>
          <w:highlight w:val="none"/>
          <w:lang w:eastAsia="zh-CN"/>
          <w14:textFill>
            <w14:solidFill>
              <w14:schemeClr w14:val="tx1"/>
            </w14:solidFill>
          </w14:textFill>
        </w:rPr>
      </w:pPr>
      <w:bookmarkStart w:id="106" w:name="_Toc32065"/>
      <w:bookmarkStart w:id="107" w:name="_Toc30137"/>
      <w:r>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t xml:space="preserve">第一节 </w:t>
      </w:r>
      <w:r>
        <w:rPr>
          <w:rFonts w:hint="eastAsia" w:ascii="黑体" w:hAnsi="黑体" w:eastAsia="黑体" w:cstheme="majorBidi"/>
          <w:bCs/>
          <w:color w:val="000000" w:themeColor="text1"/>
          <w:sz w:val="32"/>
          <w:szCs w:val="32"/>
          <w:highlight w:val="none"/>
          <w:lang w:val="zh-TW" w:eastAsia="zh-CN" w:bidi="zh-TW"/>
          <w14:textFill>
            <w14:solidFill>
              <w14:schemeClr w14:val="tx1"/>
            </w14:solidFill>
          </w14:textFill>
        </w:rPr>
        <w:t>总则</w:t>
      </w:r>
      <w:bookmarkEnd w:id="106"/>
      <w:bookmarkEnd w:id="107"/>
    </w:p>
    <w:p w14:paraId="079F43C2">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本管理规定以规划引领，合理布局；底线思维，保护优先；存量挖潜，高效利用；以人为本，振兴乡村；因地制宜，突出特色为原则，以国家和地方相关法律法规、政策文件、标准规范等为依据，为加快乡村地区国土空间规划的编制和实施，实现乡村地区空间规划管理全覆盖，引导乡村地区开展不违反国土空间规划的各类开发建设活动。</w:t>
      </w:r>
    </w:p>
    <w:p w14:paraId="0E1FEB41">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highlight w:val="none"/>
          <w:lang w:val="zh-CN" w:eastAsia="zh-CN"/>
          <w14:textFill>
            <w14:solidFill>
              <w14:schemeClr w14:val="tx1"/>
            </w14:solidFill>
          </w14:textFill>
        </w:rPr>
      </w:pPr>
      <w:r>
        <w:rPr>
          <w:rFonts w:hint="eastAsia" w:eastAsia="仿宋_GB2312"/>
          <w:color w:val="000000" w:themeColor="text1"/>
          <w:w w:val="105"/>
          <w:sz w:val="32"/>
          <w:highlight w:val="none"/>
          <w:lang w:val="zh-CN" w:eastAsia="zh-CN"/>
          <w14:textFill>
            <w14:solidFill>
              <w14:schemeClr w14:val="tx1"/>
            </w14:solidFill>
          </w14:textFill>
        </w:rPr>
        <w:t>适用范围</w:t>
      </w:r>
    </w:p>
    <w:p w14:paraId="5B4E0FDC">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本规定适用于</w:t>
      </w:r>
      <w:r>
        <w:rPr>
          <w:rFonts w:hint="eastAsia" w:eastAsia="仿宋_GB2312"/>
          <w:color w:val="000000" w:themeColor="text1"/>
          <w:highlight w:val="none"/>
          <w:lang w:val="en-US" w:eastAsia="zh-CN"/>
          <w14:textFill>
            <w14:solidFill>
              <w14:schemeClr w14:val="tx1"/>
            </w14:solidFill>
          </w14:textFill>
        </w:rPr>
        <w:t>张庄寨镇</w:t>
      </w:r>
      <w:r>
        <w:rPr>
          <w:rFonts w:hint="eastAsia" w:eastAsia="仿宋_GB2312"/>
          <w:color w:val="000000" w:themeColor="text1"/>
          <w:highlight w:val="none"/>
          <w:lang w:eastAsia="zh-CN"/>
          <w14:textFill>
            <w14:solidFill>
              <w14:schemeClr w14:val="tx1"/>
            </w14:solidFill>
          </w14:textFill>
        </w:rPr>
        <w:t>城镇开发边界外、无需编制村庄规划（详细规划）的乡村地区建设项目的规划管控。符合国土空间规划和“三区三线”管控规则以及相关用地政策、条件的村民住宅建设（新建、改建、扩建）、公共服务设施和基础设施建设、产业和公益事业建设的规划管理，可将“通则式”规定或在“通则式”规定基础上补充编制地块图则作为申请办理乡村集体建设用地审批与规划许可手续的依据。其中，若本规定内容无法满足具体项目建设管控要求的，需在本规定基础上补充编制乡村地区重点地块图则，细化明确用地位置、面积、土地用途、容积率、建筑密度、建筑高度、主要出入口等项目控制内容，作为核发规划许可的依据。</w:t>
      </w:r>
    </w:p>
    <w:p w14:paraId="3CD82608">
      <w:pPr>
        <w:pStyle w:val="13"/>
        <w:keepNext w:val="0"/>
        <w:keepLines w:val="0"/>
        <w:pageBreakBefore w:val="0"/>
        <w:widowControl w:val="0"/>
        <w:kinsoku/>
        <w:wordWrap/>
        <w:overflowPunct/>
        <w:topLinePunct w:val="0"/>
        <w:autoSpaceDE w:val="0"/>
        <w:autoSpaceDN w:val="0"/>
        <w:bidi w:val="0"/>
        <w:adjustRightInd/>
        <w:snapToGrid w:val="0"/>
        <w:spacing w:before="0" w:beforeLines="0" w:line="360" w:lineRule="auto"/>
        <w:ind w:left="0" w:leftChars="0" w:right="0" w:rightChars="0" w:firstLine="640" w:firstLineChars="0"/>
        <w:jc w:val="left"/>
        <w:textAlignment w:val="auto"/>
        <w:outlineLvl w:val="9"/>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已编制审批村庄规划（详细规划）的区域，以村庄规划（详细规划）作为用途管制及核发规划许可的依据。村域范围内、城镇开发边界外的国有建设用地的各类新建、改建、扩建项目，已编制村庄规划但未批复期间以及村庄规划批复后但未明确具体管控要求的乡村项目建设，在遵守相关法律法规、规范标准基础上，可参照本规定执行。</w:t>
      </w:r>
    </w:p>
    <w:p w14:paraId="13FAC572">
      <w:pPr>
        <w:pStyle w:val="13"/>
        <w:keepNext w:val="0"/>
        <w:keepLines w:val="0"/>
        <w:pageBreakBefore w:val="0"/>
        <w:widowControl w:val="0"/>
        <w:kinsoku/>
        <w:wordWrap/>
        <w:overflowPunct/>
        <w:topLinePunct w:val="0"/>
        <w:autoSpaceDE w:val="0"/>
        <w:autoSpaceDN w:val="0"/>
        <w:bidi w:val="0"/>
        <w:adjustRightInd/>
        <w:snapToGrid w:val="0"/>
        <w:spacing w:before="240" w:beforeLines="0" w:after="240" w:line="592" w:lineRule="exact"/>
        <w:ind w:left="0" w:leftChars="0" w:right="0" w:rightChars="0" w:firstLine="0" w:firstLineChars="0"/>
        <w:jc w:val="center"/>
        <w:textAlignment w:val="auto"/>
        <w:outlineLvl w:val="1"/>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pPr>
      <w:bookmarkStart w:id="108" w:name="_Toc5972"/>
      <w:bookmarkStart w:id="109" w:name="_Toc7862"/>
      <w:r>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t>第二节镇村体系</w:t>
      </w:r>
      <w:bookmarkEnd w:id="108"/>
      <w:bookmarkEnd w:id="109"/>
    </w:p>
    <w:p w14:paraId="57A500A2">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村庄体系</w:t>
      </w:r>
    </w:p>
    <w:p w14:paraId="5CD9995B">
      <w:pPr>
        <w:pStyle w:val="13"/>
        <w:keepNext w:val="0"/>
        <w:keepLines w:val="0"/>
        <w:pageBreakBefore w:val="0"/>
        <w:widowControl w:val="0"/>
        <w:kinsoku/>
        <w:wordWrap/>
        <w:overflowPunct/>
        <w:topLinePunct w:val="0"/>
        <w:autoSpaceDE w:val="0"/>
        <w:autoSpaceDN w:val="0"/>
        <w:bidi w:val="0"/>
        <w:adjustRightInd/>
        <w:snapToGrid w:val="0"/>
        <w:spacing w:before="0" w:beforeLines="0" w:line="360" w:lineRule="auto"/>
        <w:ind w:left="0" w:leftChars="0" w:right="0" w:rightChars="0" w:firstLine="640" w:firstLineChars="0"/>
        <w:jc w:val="left"/>
        <w:textAlignment w:val="auto"/>
        <w:outlineLvl w:val="9"/>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 xml:space="preserve">构建“镇区—行政村—自然村”的村庄居民点布局体系， 发挥镇区在城镇化中的带动作用，以镇区为引领，全面提升城 </w:t>
      </w:r>
      <w:r>
        <w:rPr>
          <w:rFonts w:hint="eastAsia" w:eastAsia="仿宋_GB2312"/>
          <w:color w:val="000000" w:themeColor="text1"/>
          <w:w w:val="105"/>
          <w:sz w:val="32"/>
          <w:highlight w:val="none"/>
          <w:lang w:val="en-US" w:eastAsia="zh-CN"/>
          <w14:textFill>
            <w14:solidFill>
              <w14:schemeClr w14:val="tx1"/>
            </w14:solidFill>
          </w14:textFill>
        </w:rPr>
        <w:t xml:space="preserve">乡生活圈公共服务水平。 </w:t>
      </w:r>
    </w:p>
    <w:p w14:paraId="1DFBDDED">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村庄分类</w:t>
      </w:r>
    </w:p>
    <w:p w14:paraId="4ABAA7E7">
      <w:pPr>
        <w:pStyle w:val="13"/>
        <w:keepNext w:val="0"/>
        <w:keepLines w:val="0"/>
        <w:pageBreakBefore w:val="0"/>
        <w:widowControl w:val="0"/>
        <w:kinsoku/>
        <w:wordWrap/>
        <w:overflowPunct/>
        <w:topLinePunct w:val="0"/>
        <w:autoSpaceDE w:val="0"/>
        <w:autoSpaceDN w:val="0"/>
        <w:bidi w:val="0"/>
        <w:adjustRightInd/>
        <w:snapToGrid w:val="0"/>
        <w:spacing w:before="0" w:beforeLines="0" w:line="360" w:lineRule="auto"/>
        <w:ind w:left="0" w:leftChars="0" w:right="0" w:rightChars="0" w:firstLine="640" w:firstLineChars="0"/>
        <w:jc w:val="left"/>
        <w:textAlignment w:val="auto"/>
        <w:outlineLvl w:val="9"/>
        <w:rPr>
          <w:rFonts w:hint="default" w:eastAsia="仿宋_GB2312"/>
          <w:color w:val="000000" w:themeColor="text1"/>
          <w:highlight w:val="none"/>
          <w:lang w:val="en-US" w:eastAsia="zh-CN"/>
          <w14:textFill>
            <w14:solidFill>
              <w14:schemeClr w14:val="tx1"/>
            </w14:solidFill>
          </w14:textFill>
        </w:rPr>
      </w:pPr>
      <w:r>
        <w:rPr>
          <w:rFonts w:hint="default" w:eastAsia="仿宋_GB2312"/>
          <w:color w:val="000000" w:themeColor="text1"/>
          <w:highlight w:val="none"/>
          <w:lang w:val="en-US" w:eastAsia="zh-CN"/>
          <w14:textFill>
            <w14:solidFill>
              <w14:schemeClr w14:val="tx1"/>
            </w14:solidFill>
          </w14:textFill>
        </w:rPr>
        <w:t>根据《</w:t>
      </w:r>
      <w:r>
        <w:rPr>
          <w:rFonts w:hint="eastAsia" w:eastAsia="仿宋_GB2312"/>
          <w:color w:val="000000" w:themeColor="text1"/>
          <w:highlight w:val="none"/>
          <w:lang w:val="en-US" w:eastAsia="zh-CN"/>
          <w14:textFill>
            <w14:solidFill>
              <w14:schemeClr w14:val="tx1"/>
            </w14:solidFill>
          </w14:textFill>
        </w:rPr>
        <w:t>张庄寨镇</w:t>
      </w:r>
      <w:r>
        <w:rPr>
          <w:rFonts w:hint="default" w:eastAsia="仿宋_GB2312"/>
          <w:color w:val="000000" w:themeColor="text1"/>
          <w:highlight w:val="none"/>
          <w:lang w:val="en-US" w:eastAsia="zh-CN"/>
          <w14:textFill>
            <w14:solidFill>
              <w14:schemeClr w14:val="tx1"/>
            </w14:solidFill>
          </w14:textFill>
        </w:rPr>
        <w:t>国土空间总体规划（2021-2035 年）》，全</w:t>
      </w:r>
      <w:r>
        <w:rPr>
          <w:rFonts w:hint="eastAsia" w:eastAsia="仿宋_GB2312"/>
          <w:color w:val="000000" w:themeColor="text1"/>
          <w:highlight w:val="none"/>
          <w:lang w:val="en-US" w:eastAsia="zh-CN"/>
          <w14:textFill>
            <w14:solidFill>
              <w14:schemeClr w14:val="tx1"/>
            </w14:solidFill>
          </w14:textFill>
        </w:rPr>
        <w:t>镇16</w:t>
      </w:r>
      <w:r>
        <w:rPr>
          <w:rFonts w:hint="default" w:eastAsia="仿宋_GB2312"/>
          <w:color w:val="000000" w:themeColor="text1"/>
          <w:highlight w:val="none"/>
          <w:lang w:val="en-US" w:eastAsia="zh-CN"/>
          <w14:textFill>
            <w14:solidFill>
              <w14:schemeClr w14:val="tx1"/>
            </w14:solidFill>
          </w14:textFill>
        </w:rPr>
        <w:t>个行政村划分为集聚提升类、城郊融合类</w:t>
      </w:r>
      <w:r>
        <w:rPr>
          <w:rFonts w:hint="eastAsia" w:eastAsia="仿宋_GB2312"/>
          <w:color w:val="000000" w:themeColor="text1"/>
          <w:highlight w:val="none"/>
          <w:lang w:val="en-US" w:eastAsia="zh-CN"/>
          <w14:textFill>
            <w14:solidFill>
              <w14:schemeClr w14:val="tx1"/>
            </w14:solidFill>
          </w14:textFill>
        </w:rPr>
        <w:t>2</w:t>
      </w:r>
      <w:r>
        <w:rPr>
          <w:rFonts w:hint="default" w:eastAsia="仿宋_GB2312"/>
          <w:color w:val="000000" w:themeColor="text1"/>
          <w:highlight w:val="none"/>
          <w:lang w:val="en-US" w:eastAsia="zh-CN"/>
          <w14:textFill>
            <w14:solidFill>
              <w14:schemeClr w14:val="tx1"/>
            </w14:solidFill>
          </w14:textFill>
        </w:rPr>
        <w:t>种类型，深入学习运用“千万工程”经验，因地制宜分类推进乡村振兴。</w:t>
      </w:r>
    </w:p>
    <w:p w14:paraId="1C336F92">
      <w:pPr>
        <w:pStyle w:val="13"/>
        <w:keepNext w:val="0"/>
        <w:keepLines w:val="0"/>
        <w:pageBreakBefore w:val="0"/>
        <w:widowControl w:val="0"/>
        <w:kinsoku/>
        <w:wordWrap/>
        <w:overflowPunct/>
        <w:topLinePunct w:val="0"/>
        <w:autoSpaceDE w:val="0"/>
        <w:autoSpaceDN w:val="0"/>
        <w:bidi w:val="0"/>
        <w:adjustRightInd/>
        <w:snapToGrid w:val="0"/>
        <w:spacing w:before="0" w:beforeLines="0" w:line="360" w:lineRule="auto"/>
        <w:ind w:left="0" w:leftChars="0" w:right="0" w:rightChars="0" w:firstLine="640" w:firstLineChars="0"/>
        <w:jc w:val="left"/>
        <w:textAlignment w:val="auto"/>
        <w:outlineLvl w:val="9"/>
        <w:rPr>
          <w:rFonts w:hint="default" w:eastAsia="仿宋_GB2312"/>
          <w:color w:val="000000" w:themeColor="text1"/>
          <w:highlight w:val="none"/>
          <w:lang w:val="en-US" w:eastAsia="zh-CN"/>
          <w14:textFill>
            <w14:solidFill>
              <w14:schemeClr w14:val="tx1"/>
            </w14:solidFill>
          </w14:textFill>
        </w:rPr>
      </w:pPr>
      <w:r>
        <w:rPr>
          <w:rFonts w:hint="default" w:eastAsia="仿宋_GB2312"/>
          <w:color w:val="000000" w:themeColor="text1"/>
          <w:highlight w:val="none"/>
          <w:lang w:val="en-US" w:eastAsia="zh-CN"/>
          <w14:textFill>
            <w14:solidFill>
              <w14:schemeClr w14:val="tx1"/>
            </w14:solidFill>
          </w14:textFill>
        </w:rPr>
        <w:t>城郊融合类村庄11个</w:t>
      </w:r>
      <w:r>
        <w:rPr>
          <w:rFonts w:hint="eastAsia" w:eastAsia="仿宋_GB2312"/>
          <w:color w:val="000000" w:themeColor="text1"/>
          <w:highlight w:val="none"/>
          <w:lang w:val="en-US" w:eastAsia="zh-CN"/>
          <w14:textFill>
            <w14:solidFill>
              <w14:schemeClr w14:val="tx1"/>
            </w14:solidFill>
          </w14:textFill>
        </w:rPr>
        <w:t>，</w:t>
      </w:r>
      <w:r>
        <w:rPr>
          <w:rFonts w:hint="default" w:eastAsia="仿宋_GB2312"/>
          <w:color w:val="000000" w:themeColor="text1"/>
          <w:highlight w:val="none"/>
          <w:lang w:val="en-US" w:eastAsia="zh-CN"/>
          <w14:textFill>
            <w14:solidFill>
              <w14:schemeClr w14:val="tx1"/>
            </w14:solidFill>
          </w14:textFill>
        </w:rPr>
        <w:t>应加快城乡产业融合发展、基础设施互联互通、公共服务共建共享，在形态上保留乡村风貌，在治理上体现城市水平，逐步强化服务城市发展、承接城市功能外溢、满足城市消费需求的能力。</w:t>
      </w:r>
    </w:p>
    <w:p w14:paraId="53024CC6">
      <w:pPr>
        <w:pStyle w:val="13"/>
        <w:keepNext w:val="0"/>
        <w:keepLines w:val="0"/>
        <w:pageBreakBefore w:val="0"/>
        <w:widowControl w:val="0"/>
        <w:kinsoku/>
        <w:wordWrap/>
        <w:overflowPunct/>
        <w:topLinePunct w:val="0"/>
        <w:autoSpaceDE w:val="0"/>
        <w:autoSpaceDN w:val="0"/>
        <w:bidi w:val="0"/>
        <w:adjustRightInd/>
        <w:snapToGrid w:val="0"/>
        <w:spacing w:before="0" w:beforeLines="0" w:line="360" w:lineRule="auto"/>
        <w:ind w:left="0" w:leftChars="0" w:right="0" w:rightChars="0" w:firstLine="640" w:firstLineChars="0"/>
        <w:jc w:val="left"/>
        <w:textAlignment w:val="auto"/>
        <w:outlineLvl w:val="9"/>
        <w:rPr>
          <w:rFonts w:hint="default" w:eastAsia="仿宋_GB2312"/>
          <w:color w:val="000000" w:themeColor="text1"/>
          <w:highlight w:val="none"/>
          <w:lang w:val="en-US" w:eastAsia="zh-CN"/>
          <w14:textFill>
            <w14:solidFill>
              <w14:schemeClr w14:val="tx1"/>
            </w14:solidFill>
          </w14:textFill>
        </w:rPr>
      </w:pPr>
      <w:r>
        <w:rPr>
          <w:rFonts w:hint="default" w:eastAsia="仿宋_GB2312"/>
          <w:color w:val="000000" w:themeColor="text1"/>
          <w:highlight w:val="none"/>
          <w:lang w:val="en-US" w:eastAsia="zh-CN"/>
          <w14:textFill>
            <w14:solidFill>
              <w14:schemeClr w14:val="tx1"/>
            </w14:solidFill>
          </w14:textFill>
        </w:rPr>
        <w:t>集聚提升类村庄5个</w:t>
      </w:r>
      <w:r>
        <w:rPr>
          <w:rFonts w:hint="eastAsia" w:eastAsia="仿宋_GB2312"/>
          <w:color w:val="000000" w:themeColor="text1"/>
          <w:highlight w:val="none"/>
          <w:lang w:val="en-US" w:eastAsia="zh-CN"/>
          <w14:textFill>
            <w14:solidFill>
              <w14:schemeClr w14:val="tx1"/>
            </w14:solidFill>
          </w14:textFill>
        </w:rPr>
        <w:t>，</w:t>
      </w:r>
      <w:r>
        <w:rPr>
          <w:rFonts w:hint="default" w:eastAsia="仿宋_GB2312"/>
          <w:color w:val="000000" w:themeColor="text1"/>
          <w:highlight w:val="none"/>
          <w:lang w:val="en-US" w:eastAsia="zh-CN"/>
          <w14:textFill>
            <w14:solidFill>
              <w14:schemeClr w14:val="tx1"/>
            </w14:solidFill>
          </w14:textFill>
        </w:rPr>
        <w:t>应重点引导村庄在原有规模基础上有序推进改造提升，激活产业、优化环境、增添活力，建设宜居宜业的美丽村庄。鼓励发挥自身比较优势，强化主导产业支撑</w:t>
      </w:r>
      <w:r>
        <w:rPr>
          <w:rFonts w:hint="eastAsia" w:eastAsia="仿宋_GB2312"/>
          <w:color w:val="000000" w:themeColor="text1"/>
          <w:highlight w:val="none"/>
          <w:lang w:val="en-US" w:eastAsia="zh-CN"/>
          <w14:textFill>
            <w14:solidFill>
              <w14:schemeClr w14:val="tx1"/>
            </w14:solidFill>
          </w14:textFill>
        </w:rPr>
        <w:t>。</w:t>
      </w:r>
    </w:p>
    <w:p w14:paraId="47AA28F7">
      <w:pPr>
        <w:pStyle w:val="13"/>
        <w:keepNext w:val="0"/>
        <w:keepLines w:val="0"/>
        <w:pageBreakBefore w:val="0"/>
        <w:widowControl w:val="0"/>
        <w:kinsoku/>
        <w:wordWrap/>
        <w:overflowPunct/>
        <w:topLinePunct w:val="0"/>
        <w:autoSpaceDE w:val="0"/>
        <w:autoSpaceDN w:val="0"/>
        <w:bidi w:val="0"/>
        <w:adjustRightInd/>
        <w:snapToGrid w:val="0"/>
        <w:spacing w:before="240" w:beforeLines="0" w:after="240" w:line="592" w:lineRule="exact"/>
        <w:ind w:left="0" w:leftChars="0" w:right="0" w:rightChars="0" w:firstLine="0" w:firstLineChars="0"/>
        <w:jc w:val="center"/>
        <w:textAlignment w:val="auto"/>
        <w:outlineLvl w:val="1"/>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pPr>
      <w:bookmarkStart w:id="110" w:name="_Toc5629"/>
      <w:bookmarkStart w:id="111" w:name="_Toc27788"/>
      <w:r>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t>第三节 底线管控</w:t>
      </w:r>
      <w:bookmarkEnd w:id="110"/>
      <w:bookmarkEnd w:id="111"/>
    </w:p>
    <w:p w14:paraId="1F473394">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严格落实“三区三线”划定成果，落实《</w:t>
      </w:r>
      <w:r>
        <w:rPr>
          <w:rFonts w:hint="eastAsia" w:eastAsia="仿宋_GB2312"/>
          <w:color w:val="000000" w:themeColor="text1"/>
          <w:highlight w:val="none"/>
          <w:lang w:val="en-US" w:eastAsia="zh-CN"/>
          <w14:textFill>
            <w14:solidFill>
              <w14:schemeClr w14:val="tx1"/>
            </w14:solidFill>
          </w14:textFill>
        </w:rPr>
        <w:t>张庄寨镇</w:t>
      </w:r>
      <w:r>
        <w:rPr>
          <w:rFonts w:hint="eastAsia" w:eastAsia="仿宋_GB2312"/>
          <w:color w:val="000000" w:themeColor="text1"/>
          <w:highlight w:val="none"/>
          <w:lang w:eastAsia="zh-CN"/>
          <w14:textFill>
            <w14:solidFill>
              <w14:schemeClr w14:val="tx1"/>
            </w14:solidFill>
          </w14:textFill>
        </w:rPr>
        <w:t>国土空间总体规划（2021-2035 年）》划定的村庄建设边界成果，传导落实国土空间总体规划中其他重要控制线的管控要求。</w:t>
      </w:r>
    </w:p>
    <w:p w14:paraId="57F703C5">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耕地和永久基本农田保护红线</w:t>
      </w:r>
    </w:p>
    <w:p w14:paraId="71ABE711">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永久基本农田未经批准不得擅自调整，乡村建设不得擅自占用或改变用途。永久基本农田不得转为林地、草地、园地等其他农用地及农业设施建设用地，严禁新增占用永久基本农田建设畜禽养殖设施、水产养殖设施和破坏耕作层的种植业设施以及其他违反法律、行政法规和国务院规定的活动。</w:t>
      </w:r>
    </w:p>
    <w:p w14:paraId="3D64D848">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严格落实全县耕地保护红线划定成果，严格执行耕地用途管制，全面落实耕地占补平衡制度，分期有序落实耕地补充任务。</w:t>
      </w:r>
    </w:p>
    <w:p w14:paraId="55BE1A02">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张庄寨镇</w:t>
      </w:r>
      <w:r>
        <w:rPr>
          <w:rFonts w:hint="eastAsia" w:eastAsia="仿宋_GB2312"/>
          <w:color w:val="000000" w:themeColor="text1"/>
          <w:highlight w:val="none"/>
          <w:lang w:eastAsia="zh-CN"/>
          <w14:textFill>
            <w14:solidFill>
              <w14:schemeClr w14:val="tx1"/>
            </w14:solidFill>
          </w14:textFill>
        </w:rPr>
        <w:t>永久基本农田具体分布情况以经依法批准的</w:t>
      </w:r>
      <w:r>
        <w:rPr>
          <w:rFonts w:hint="eastAsia" w:eastAsia="仿宋_GB2312"/>
          <w:color w:val="000000" w:themeColor="text1"/>
          <w:highlight w:val="none"/>
          <w:lang w:val="en-US" w:eastAsia="zh-CN"/>
          <w14:textFill>
            <w14:solidFill>
              <w14:schemeClr w14:val="tx1"/>
            </w14:solidFill>
          </w14:textFill>
        </w:rPr>
        <w:t>张庄寨镇</w:t>
      </w:r>
      <w:r>
        <w:rPr>
          <w:rFonts w:hint="eastAsia" w:eastAsia="仿宋_GB2312"/>
          <w:color w:val="000000" w:themeColor="text1"/>
          <w:highlight w:val="none"/>
          <w:lang w:eastAsia="zh-CN"/>
          <w14:textFill>
            <w14:solidFill>
              <w14:schemeClr w14:val="tx1"/>
            </w14:solidFill>
          </w14:textFill>
        </w:rPr>
        <w:t>国土空间总体规划为依据。</w:t>
      </w:r>
    </w:p>
    <w:p w14:paraId="51275CB4">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生态保护红线</w:t>
      </w:r>
    </w:p>
    <w:p w14:paraId="062A9E92">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严格落实全县生态保护红线划定成果，生态保护红线内的自然保护地核心保护区原则上禁止人为活动，其他区域严格禁止开发性、生产性建设活动，在符合法律法规的前提下，仅允许对生态功能不造成破坏的有限人为活动。生态保护红线内自然保护区、风景名胜区、饮用水水源保护区等区域管控措施，依照法律法规执行。</w:t>
      </w:r>
    </w:p>
    <w:p w14:paraId="4179E65F">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张庄寨镇</w:t>
      </w:r>
      <w:r>
        <w:rPr>
          <w:rFonts w:hint="eastAsia" w:eastAsia="仿宋_GB2312"/>
          <w:color w:val="000000" w:themeColor="text1"/>
          <w:highlight w:val="none"/>
          <w:lang w:eastAsia="zh-CN"/>
          <w14:textFill>
            <w14:solidFill>
              <w14:schemeClr w14:val="tx1"/>
            </w14:solidFill>
          </w14:textFill>
        </w:rPr>
        <w:t>生态保护红线具体分布情况以经依法批准的</w:t>
      </w:r>
      <w:r>
        <w:rPr>
          <w:rFonts w:hint="eastAsia" w:eastAsia="仿宋_GB2312"/>
          <w:color w:val="000000" w:themeColor="text1"/>
          <w:highlight w:val="none"/>
          <w:lang w:val="en-US" w:eastAsia="zh-CN"/>
          <w14:textFill>
            <w14:solidFill>
              <w14:schemeClr w14:val="tx1"/>
            </w14:solidFill>
          </w14:textFill>
        </w:rPr>
        <w:t>张庄寨镇</w:t>
      </w:r>
      <w:r>
        <w:rPr>
          <w:rFonts w:hint="eastAsia" w:eastAsia="仿宋_GB2312"/>
          <w:color w:val="000000" w:themeColor="text1"/>
          <w:highlight w:val="none"/>
          <w:lang w:eastAsia="zh-CN"/>
          <w14:textFill>
            <w14:solidFill>
              <w14:schemeClr w14:val="tx1"/>
            </w14:solidFill>
          </w14:textFill>
        </w:rPr>
        <w:t>国土空间总体规划为依据。</w:t>
      </w:r>
    </w:p>
    <w:p w14:paraId="20D5D864">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村庄建设边界</w:t>
      </w:r>
    </w:p>
    <w:p w14:paraId="48046D09">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村庄建设边界是规划期内相对集中开展村庄建设的空间范围。村庄建设边界划定依法在乡镇级国土空间总体规划中开展。涉及新增用地的农民建房、农村基本公共服务设施，不应在村庄建设边界外选址。确需选址在村庄建设边界外的少量乡村基础设施、零星乡村产业用地，将所涉用地规模纳入村庄建设边界新增潜力空间统筹核算，并相应调整或缩减村庄建设边界。</w:t>
      </w:r>
    </w:p>
    <w:p w14:paraId="070EB946">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历史文化保护线</w:t>
      </w:r>
    </w:p>
    <w:p w14:paraId="26B47EE7">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落实</w:t>
      </w:r>
      <w:r>
        <w:rPr>
          <w:rFonts w:hint="eastAsia" w:eastAsia="仿宋_GB2312"/>
          <w:color w:val="000000" w:themeColor="text1"/>
          <w:highlight w:val="none"/>
          <w:lang w:val="en-US" w:eastAsia="zh-CN"/>
          <w14:textFill>
            <w14:solidFill>
              <w14:schemeClr w14:val="tx1"/>
            </w14:solidFill>
          </w14:textFill>
        </w:rPr>
        <w:t>张庄寨镇</w:t>
      </w:r>
      <w:r>
        <w:rPr>
          <w:rFonts w:hint="eastAsia" w:eastAsia="仿宋_GB2312"/>
          <w:color w:val="000000" w:themeColor="text1"/>
          <w:highlight w:val="none"/>
          <w:lang w:eastAsia="zh-CN"/>
          <w14:textFill>
            <w14:solidFill>
              <w14:schemeClr w14:val="tx1"/>
            </w14:solidFill>
          </w14:textFill>
        </w:rPr>
        <w:t>国土空间总体规划划定的历史文化保护线。将文物保护单位保护范围和建设控制地带以及城市紫线等一并纳入历史文化保护线，并实施严格保护。历史文化保护线内各项地上、地下国土空间保护开发行为均应严格遵守历史文化遗产保护相关法律法规和保护规划管控要求，保护遗产本体、传统格局和历史环境。</w:t>
      </w:r>
    </w:p>
    <w:p w14:paraId="48CEBC39">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洪涝风险控制线</w:t>
      </w:r>
    </w:p>
    <w:p w14:paraId="28933056">
      <w:pPr>
        <w:pStyle w:val="13"/>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line="360" w:lineRule="auto"/>
        <w:ind w:right="110" w:rightChars="50" w:firstLine="640" w:firstLineChars="200"/>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落实</w:t>
      </w:r>
      <w:r>
        <w:rPr>
          <w:rFonts w:hint="eastAsia" w:eastAsia="仿宋_GB2312"/>
          <w:color w:val="000000" w:themeColor="text1"/>
          <w:highlight w:val="none"/>
          <w:lang w:val="en-US" w:eastAsia="zh-CN"/>
          <w14:textFill>
            <w14:solidFill>
              <w14:schemeClr w14:val="tx1"/>
            </w14:solidFill>
          </w14:textFill>
        </w:rPr>
        <w:t>张庄寨镇</w:t>
      </w:r>
      <w:r>
        <w:rPr>
          <w:rFonts w:hint="eastAsia" w:eastAsia="仿宋_GB2312"/>
          <w:color w:val="000000" w:themeColor="text1"/>
          <w:highlight w:val="none"/>
          <w:lang w:eastAsia="zh-CN"/>
          <w14:textFill>
            <w14:solidFill>
              <w14:schemeClr w14:val="tx1"/>
            </w14:solidFill>
          </w14:textFill>
        </w:rPr>
        <w:t>国土空间总体规划划定的洪涝风险控制线。洪涝风险控制线主要按水利主管部门已公布的河道以及湖库范围为基础划定。</w:t>
      </w:r>
    </w:p>
    <w:p w14:paraId="7DE28958">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严禁在洪涝风险控制线内进行永久性的、不符合防洪排涝要求的建设活动。对于已有的违规建筑物和构筑物，应根据相关规划和政策逐步拆除或整改。在控制线内进行临时性建设项目时，需提前向相关部门申报，经严格审批后方可实施，且建设项目不得影响防洪安全和行洪通畅。</w:t>
      </w:r>
    </w:p>
    <w:p w14:paraId="5B214A68">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负面清单管控要求</w:t>
      </w:r>
    </w:p>
    <w:p w14:paraId="677A49C3">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val="en-US"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建设内容按照《安徽省自然资源厅关于乡村地区“通则式”规划技术管理规定编制要求的通知》（皖自然资规划〔2025〕1号）附件1乡村地区国土空间用途管制负面清单严格管控。</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6"/>
      </w:tblGrid>
      <w:tr w14:paraId="410D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6" w:type="dxa"/>
          </w:tcPr>
          <w:p w14:paraId="47CE1A61">
            <w:pPr>
              <w:jc w:val="center"/>
              <w:rPr>
                <w:rFonts w:hint="default"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b/>
                <w:bCs/>
                <w:color w:val="000000" w:themeColor="text1"/>
                <w:sz w:val="28"/>
                <w:szCs w:val="28"/>
                <w:highlight w:val="none"/>
                <w:lang w:val="en-US" w:eastAsia="zh-CN" w:bidi="zh-TW"/>
                <w14:textFill>
                  <w14:solidFill>
                    <w14:schemeClr w14:val="tx1"/>
                  </w14:solidFill>
                </w14:textFill>
              </w:rPr>
              <w:t>专栏：乡村地区国土空间用途管制负面清单</w:t>
            </w:r>
          </w:p>
        </w:tc>
      </w:tr>
      <w:tr w14:paraId="4AE2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6" w:type="dxa"/>
          </w:tcPr>
          <w:p w14:paraId="3231225F">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仿宋" w:hAnsi="仿宋" w:eastAsia="仿宋_GB2312" w:cs="仿宋"/>
                <w:b/>
                <w:bCs/>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b/>
                <w:bCs/>
                <w:color w:val="000000" w:themeColor="text1"/>
                <w:sz w:val="28"/>
                <w:szCs w:val="28"/>
                <w:highlight w:val="none"/>
                <w:lang w:val="en-US" w:eastAsia="zh-CN" w:bidi="zh-TW"/>
                <w14:textFill>
                  <w14:solidFill>
                    <w14:schemeClr w14:val="tx1"/>
                  </w14:solidFill>
                </w14:textFill>
              </w:rPr>
              <w:t>一、永久基本农田占用负面清单</w:t>
            </w:r>
          </w:p>
          <w:p w14:paraId="143138C4">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1.永久基本农田不得转为林地、草地、园地等其他农用地及农业设施建设用地</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00B71336">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2.严禁占用永久基本农田发展林果业和挖塘养鱼</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79DBB2B4">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3.严禁占用永久基本农田种植苗木、草皮等用于绿化装饰以及其他破坏耕作层的植物</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42A0109E">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4.严禁占用永久基本农田挖湖造景、建设绿化带</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03C72B51">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5.严禁新增占用永久基本农田建设畜禽养殖设施、水产养殖设施和破坏耕作层的种植业设施</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1279A03B">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6.严禁任何单位和个人在永久基本农田上建</w:t>
            </w:r>
            <w:r>
              <w:rPr>
                <w:rFonts w:hint="eastAsia" w:eastAsia="仿宋_GB2312" w:cs="仿宋"/>
                <w:color w:val="000000" w:themeColor="text1"/>
                <w:sz w:val="28"/>
                <w:szCs w:val="28"/>
                <w:highlight w:val="none"/>
                <w:lang w:val="en-US" w:eastAsia="zh-CN" w:bidi="zh-TW"/>
                <w14:textFill>
                  <w14:solidFill>
                    <w14:schemeClr w14:val="tx1"/>
                  </w14:solidFill>
                </w14:textFill>
              </w:rPr>
              <w:t>墓</w:t>
            </w: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、建房、建坟、挖砂、采石、取土、堆放固体废弃物或者进行其他破坏永久基本农田的活动</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70282163">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7.严禁在城乡建设中以单个项目占用为目的擅自调整永久基本农田</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31583547">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8.其他</w:t>
            </w:r>
            <w:r>
              <w:rPr>
                <w:rFonts w:hint="eastAsia" w:eastAsia="仿宋_GB2312" w:cs="仿宋"/>
                <w:color w:val="000000" w:themeColor="text1"/>
                <w:sz w:val="28"/>
                <w:szCs w:val="28"/>
                <w:highlight w:val="none"/>
                <w:lang w:val="en-US" w:eastAsia="zh-CN" w:bidi="zh-TW"/>
                <w14:textFill>
                  <w14:solidFill>
                    <w14:schemeClr w14:val="tx1"/>
                  </w14:solidFill>
                </w14:textFill>
              </w:rPr>
              <w:t>法律法规</w:t>
            </w: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、国家政策文件规定的限制和禁止情形</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5EFF41F2">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仿宋" w:hAnsi="仿宋" w:eastAsia="仿宋_GB2312" w:cs="仿宋"/>
                <w:b/>
                <w:bCs/>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b/>
                <w:bCs/>
                <w:color w:val="000000" w:themeColor="text1"/>
                <w:sz w:val="28"/>
                <w:szCs w:val="28"/>
                <w:highlight w:val="none"/>
                <w:lang w:val="en-US" w:eastAsia="zh-CN" w:bidi="zh-TW"/>
                <w14:textFill>
                  <w14:solidFill>
                    <w14:schemeClr w14:val="tx1"/>
                  </w14:solidFill>
                </w14:textFill>
              </w:rPr>
              <w:t>二、一般耕地占用负面清单</w:t>
            </w:r>
          </w:p>
          <w:p w14:paraId="52439DF4">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1.不得在一般耕地上挖湖造景、种植草皮</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36B25893">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2.不得在国家批准的生态退耕规划和计划外擅自扩大退耕还林还草还湿还湖规模</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6B76770B">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3.不得违规超标准在铁路、公路等用地红线外，以及河渠两侧、水库周边占用一般耕地种树建设绿化带</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55ABB07C">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4.未经批准不得占用一般耕地实施国土绿化</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61DBAD47">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5.未经批准工商企业等社会资本不得将通过流转获得土地经营权的一般耕地转为林地、园地等其他农用地</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4BD25405">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6.禁止占用耕地建窑、建坟或者擅自在耕地上建房、挖砂、采石、采矿、取土等</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1772EA61">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7.严禁以设施农业为名占用耕地违法违规建设与农业发展无关的设施</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4354A1AC">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8.严禁在农业大棚内违法违规占用耕地建设住宅、餐饮、娱乐等非农设施</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65C8AE31">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9.其他</w:t>
            </w:r>
            <w:r>
              <w:rPr>
                <w:rFonts w:hint="eastAsia" w:eastAsia="仿宋_GB2312" w:cs="仿宋"/>
                <w:color w:val="000000" w:themeColor="text1"/>
                <w:sz w:val="28"/>
                <w:szCs w:val="28"/>
                <w:highlight w:val="none"/>
                <w:lang w:val="en-US" w:eastAsia="zh-CN" w:bidi="zh-TW"/>
                <w14:textFill>
                  <w14:solidFill>
                    <w14:schemeClr w14:val="tx1"/>
                  </w14:solidFill>
                </w14:textFill>
              </w:rPr>
              <w:t>法律法规</w:t>
            </w: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、国家政策文件规定的限制和禁止情形</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79CA82CD">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仿宋" w:hAnsi="仿宋" w:eastAsia="仿宋_GB2312" w:cs="仿宋"/>
                <w:b/>
                <w:bCs/>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b/>
                <w:bCs/>
                <w:color w:val="000000" w:themeColor="text1"/>
                <w:sz w:val="28"/>
                <w:szCs w:val="28"/>
                <w:highlight w:val="none"/>
                <w:lang w:val="en-US" w:eastAsia="zh-CN" w:bidi="zh-TW"/>
                <w14:textFill>
                  <w14:solidFill>
                    <w14:schemeClr w14:val="tx1"/>
                  </w14:solidFill>
                </w14:textFill>
              </w:rPr>
              <w:t>三、生态空间管控负面清单</w:t>
            </w:r>
          </w:p>
          <w:p w14:paraId="7E632F82">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1.严禁以土地综合整治名义调整生态保护红线</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04D60BF2">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2.严禁破坏生态环境砍树挖山填湖，严禁违法占用林地、湿地、草地，不得采伐古树名木，不得以整治名义擅自毁林开垦</w:t>
            </w:r>
            <w:r>
              <w:rPr>
                <w:rFonts w:hint="eastAsia" w:eastAsia="仿宋_GB2312" w:cs="仿宋"/>
                <w:color w:val="000000" w:themeColor="text1"/>
                <w:sz w:val="28"/>
                <w:szCs w:val="28"/>
                <w:highlight w:val="none"/>
                <w:lang w:val="en-US" w:eastAsia="zh-CN" w:bidi="zh-TW"/>
                <w14:textFill>
                  <w14:solidFill>
                    <w14:schemeClr w14:val="tx1"/>
                  </w14:solidFill>
                </w14:textFill>
              </w:rPr>
              <w:t>；</w:t>
            </w: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3.禁止毁坏森林、草原开垦耕地，禁止围湖造田和侵占江河滩地</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774412D5">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4.其他</w:t>
            </w:r>
            <w:r>
              <w:rPr>
                <w:rFonts w:hint="eastAsia" w:eastAsia="仿宋_GB2312" w:cs="仿宋"/>
                <w:color w:val="000000" w:themeColor="text1"/>
                <w:sz w:val="28"/>
                <w:szCs w:val="28"/>
                <w:highlight w:val="none"/>
                <w:lang w:val="en-US" w:eastAsia="zh-CN" w:bidi="zh-TW"/>
                <w14:textFill>
                  <w14:solidFill>
                    <w14:schemeClr w14:val="tx1"/>
                  </w14:solidFill>
                </w14:textFill>
              </w:rPr>
              <w:t>法律法规</w:t>
            </w: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、国家政策文件规定的限制和禁止情形</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5C0FE6CD">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仿宋" w:hAnsi="仿宋" w:eastAsia="仿宋_GB2312" w:cs="仿宋"/>
                <w:b/>
                <w:bCs/>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b/>
                <w:bCs/>
                <w:color w:val="000000" w:themeColor="text1"/>
                <w:sz w:val="28"/>
                <w:szCs w:val="28"/>
                <w:highlight w:val="none"/>
                <w:lang w:val="en-US" w:eastAsia="zh-CN" w:bidi="zh-TW"/>
                <w14:textFill>
                  <w14:solidFill>
                    <w14:schemeClr w14:val="tx1"/>
                  </w14:solidFill>
                </w14:textFill>
              </w:rPr>
              <w:t>四、农村建房负面清单</w:t>
            </w:r>
          </w:p>
          <w:p w14:paraId="535AD177">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1.不准占用永久基本农田建房</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460FAE10">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2.不准强占多占耕地建房</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00F6A225">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3.不准买卖、流转耕地违法建房</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1B2A281D">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4.不准在承包耕地上违法建房</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6DFED93B">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5.不准巧立名目违法占用耕地建房</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7C6E01C8">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6.不准违反“一户一宅”规定占用耕地建房</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236BFE6C">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7.不准非法出售占用耕地建设的房屋</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54088E41">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8.不准违法审批占用耕地建房</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38D5D6C7">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9.严禁下乡利用农村宅基地建设别墅大院和私人会馆。严禁随意撤并村庄搞大社区、违背农民意愿大拆大建</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60CB519C">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10.禁止违背农村村民意愿强制流转宅基地，禁止违法收回农村村民依法取得的宅基地，禁止以退出宅基地作为农村村民进城落户的条件，不得强制农民搬迁和上楼居住</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2C643ED0">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11.其他</w:t>
            </w:r>
            <w:r>
              <w:rPr>
                <w:rFonts w:hint="eastAsia" w:eastAsia="仿宋_GB2312" w:cs="仿宋"/>
                <w:color w:val="000000" w:themeColor="text1"/>
                <w:sz w:val="28"/>
                <w:szCs w:val="28"/>
                <w:highlight w:val="none"/>
                <w:lang w:val="en-US" w:eastAsia="zh-CN" w:bidi="zh-TW"/>
                <w14:textFill>
                  <w14:solidFill>
                    <w14:schemeClr w14:val="tx1"/>
                  </w14:solidFill>
                </w14:textFill>
              </w:rPr>
              <w:t>法律法规</w:t>
            </w: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、国家政策文件规定的限制和禁止情形</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67D997B7">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eastAsia" w:ascii="仿宋" w:hAnsi="仿宋" w:eastAsia="仿宋_GB2312" w:cs="仿宋"/>
                <w:b/>
                <w:bCs/>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b/>
                <w:bCs/>
                <w:color w:val="000000" w:themeColor="text1"/>
                <w:sz w:val="28"/>
                <w:szCs w:val="28"/>
                <w:highlight w:val="none"/>
                <w:lang w:val="en-US" w:eastAsia="zh-CN" w:bidi="zh-TW"/>
                <w14:textFill>
                  <w14:solidFill>
                    <w14:schemeClr w14:val="tx1"/>
                  </w14:solidFill>
                </w14:textFill>
              </w:rPr>
              <w:t>五、农村产业用地负面清单</w:t>
            </w:r>
          </w:p>
          <w:p w14:paraId="6EB64012">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1.农村产业融合发展用地不得用于商品住宅、别墅、酒店、公寓等房地产开发，不得擅自改变用途或分割转让转租</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29291727">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2.不得用于国家明令淘汰的落后产能、列入国家禁止类产业目录的、污染环境的项目建设</w:t>
            </w:r>
            <w:r>
              <w:rPr>
                <w:rFonts w:hint="eastAsia" w:eastAsia="仿宋_GB2312" w:cs="仿宋"/>
                <w:color w:val="000000" w:themeColor="text1"/>
                <w:sz w:val="28"/>
                <w:szCs w:val="28"/>
                <w:highlight w:val="none"/>
                <w:lang w:val="en-US" w:eastAsia="zh-CN" w:bidi="zh-TW"/>
                <w14:textFill>
                  <w14:solidFill>
                    <w14:schemeClr w14:val="tx1"/>
                  </w14:solidFill>
                </w14:textFill>
              </w:rPr>
              <w:t>；</w:t>
            </w:r>
          </w:p>
          <w:p w14:paraId="375D2980">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pP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3.其他</w:t>
            </w:r>
            <w:r>
              <w:rPr>
                <w:rFonts w:hint="eastAsia" w:eastAsia="仿宋_GB2312" w:cs="仿宋"/>
                <w:color w:val="000000" w:themeColor="text1"/>
                <w:sz w:val="28"/>
                <w:szCs w:val="28"/>
                <w:highlight w:val="none"/>
                <w:lang w:val="en-US" w:eastAsia="zh-CN" w:bidi="zh-TW"/>
                <w14:textFill>
                  <w14:solidFill>
                    <w14:schemeClr w14:val="tx1"/>
                  </w14:solidFill>
                </w14:textFill>
              </w:rPr>
              <w:t>法律法规</w:t>
            </w:r>
            <w:r>
              <w:rPr>
                <w:rFonts w:hint="eastAsia" w:ascii="仿宋" w:hAnsi="仿宋" w:eastAsia="仿宋_GB2312" w:cs="仿宋"/>
                <w:color w:val="000000" w:themeColor="text1"/>
                <w:sz w:val="28"/>
                <w:szCs w:val="28"/>
                <w:highlight w:val="none"/>
                <w:lang w:val="en-US" w:eastAsia="zh-CN" w:bidi="zh-TW"/>
                <w14:textFill>
                  <w14:solidFill>
                    <w14:schemeClr w14:val="tx1"/>
                  </w14:solidFill>
                </w14:textFill>
              </w:rPr>
              <w:t>、国家政策文件规定的限制和禁止情形。</w:t>
            </w:r>
          </w:p>
        </w:tc>
      </w:tr>
    </w:tbl>
    <w:p w14:paraId="075EF498">
      <w:pPr>
        <w:pStyle w:val="13"/>
        <w:keepNext w:val="0"/>
        <w:keepLines w:val="0"/>
        <w:pageBreakBefore w:val="0"/>
        <w:widowControl w:val="0"/>
        <w:kinsoku/>
        <w:wordWrap/>
        <w:overflowPunct/>
        <w:topLinePunct w:val="0"/>
        <w:autoSpaceDE w:val="0"/>
        <w:autoSpaceDN w:val="0"/>
        <w:bidi w:val="0"/>
        <w:adjustRightInd/>
        <w:snapToGrid w:val="0"/>
        <w:spacing w:before="240" w:beforeLines="0" w:after="240" w:line="592" w:lineRule="exact"/>
        <w:ind w:left="0" w:leftChars="0" w:right="0" w:rightChars="0" w:firstLine="0" w:firstLineChars="0"/>
        <w:jc w:val="center"/>
        <w:textAlignment w:val="auto"/>
        <w:outlineLvl w:val="1"/>
        <w:rPr>
          <w:rFonts w:hint="default" w:ascii="黑体" w:hAnsi="黑体" w:eastAsia="黑体" w:cstheme="majorBidi"/>
          <w:bCs/>
          <w:color w:val="000000" w:themeColor="text1"/>
          <w:sz w:val="32"/>
          <w:szCs w:val="32"/>
          <w:highlight w:val="none"/>
          <w:lang w:val="en-US" w:eastAsia="zh-CN" w:bidi="zh-TW"/>
          <w14:textFill>
            <w14:solidFill>
              <w14:schemeClr w14:val="tx1"/>
            </w14:solidFill>
          </w14:textFill>
        </w:rPr>
      </w:pPr>
      <w:bookmarkStart w:id="112" w:name="_Toc13563"/>
      <w:bookmarkStart w:id="113" w:name="_Toc11622"/>
      <w:r>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t>第四节  指标管控</w:t>
      </w:r>
      <w:bookmarkEnd w:id="112"/>
      <w:bookmarkEnd w:id="113"/>
    </w:p>
    <w:p w14:paraId="650932A4">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上位规划传导的约束指标</w:t>
      </w:r>
    </w:p>
    <w:p w14:paraId="0FDC0350">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color w:val="000000" w:themeColor="text1"/>
          <w:highlight w:val="none"/>
          <w:lang w:val="en-US"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根据《张庄寨镇国土空间总体规划（2021-2035 年）》，村庄建设边界规模不大于1969.63公顷（最终数据以经批准后的乡镇级国土空间总体规划为依据）。</w:t>
      </w:r>
    </w:p>
    <w:p w14:paraId="343391F4">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指标预留</w:t>
      </w:r>
    </w:p>
    <w:p w14:paraId="725BA644">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color w:val="000000" w:themeColor="text1"/>
          <w:highlight w:val="none"/>
          <w:lang w:val="en-US"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落实国土空间开发保护预留指标要求。确需选址在村庄建设边界外的少量乡村居住用地、乡村基础设施、零星乡村产业用地，在符合相关空间控制线管控要求的前提下，通过落实规划预留村庄建设用地指标或缩减村庄建设边界内新增潜力空间规模等方式落地建设。</w:t>
      </w:r>
    </w:p>
    <w:p w14:paraId="48E047AF">
      <w:pPr>
        <w:pStyle w:val="13"/>
        <w:keepNext w:val="0"/>
        <w:keepLines w:val="0"/>
        <w:pageBreakBefore w:val="0"/>
        <w:widowControl w:val="0"/>
        <w:kinsoku/>
        <w:wordWrap/>
        <w:overflowPunct/>
        <w:topLinePunct w:val="0"/>
        <w:autoSpaceDE w:val="0"/>
        <w:autoSpaceDN w:val="0"/>
        <w:bidi w:val="0"/>
        <w:adjustRightInd/>
        <w:snapToGrid w:val="0"/>
        <w:spacing w:before="240" w:beforeLines="0" w:after="240" w:line="592" w:lineRule="exact"/>
        <w:ind w:left="0" w:leftChars="0" w:right="0" w:rightChars="0" w:firstLine="0" w:firstLineChars="0"/>
        <w:jc w:val="center"/>
        <w:textAlignment w:val="auto"/>
        <w:outlineLvl w:val="1"/>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pPr>
      <w:bookmarkStart w:id="114" w:name="_Toc32483"/>
      <w:bookmarkStart w:id="115" w:name="_Toc24789"/>
      <w:r>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t>第五节  用地布局</w:t>
      </w:r>
      <w:bookmarkEnd w:id="114"/>
      <w:bookmarkEnd w:id="115"/>
    </w:p>
    <w:p w14:paraId="6BB983E2">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val="en-US"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村庄建设用地应选址在地质条件较好、环境适宜、交通方便的地段。新增村庄建设用地应与农村土地综合整治相结合，充分利用原有闲置宅基地、村内空闲地、村周边的丘陵坡地或其他未利用地，少占或不占耕地。村庄建设原则上应避让各类地质灾害隐患地段及其他危险地段，无法避免的，应按照具体的地质灾害分区防控要求，采取针对性的防治措施。</w:t>
      </w:r>
    </w:p>
    <w:p w14:paraId="2A436740">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bookmarkStart w:id="116" w:name="bookmark11"/>
      <w:bookmarkEnd w:id="116"/>
      <w:bookmarkStart w:id="117" w:name="bookmark12"/>
      <w:bookmarkEnd w:id="117"/>
      <w:r>
        <w:rPr>
          <w:rFonts w:hint="eastAsia" w:eastAsia="仿宋_GB2312"/>
          <w:color w:val="000000" w:themeColor="text1"/>
          <w:w w:val="105"/>
          <w:sz w:val="32"/>
          <w:highlight w:val="none"/>
          <w:lang w:val="en-US" w:eastAsia="zh-CN"/>
          <w14:textFill>
            <w14:solidFill>
              <w14:schemeClr w14:val="tx1"/>
            </w14:solidFill>
          </w14:textFill>
        </w:rPr>
        <w:t>村民住房布局要求</w:t>
      </w:r>
    </w:p>
    <w:p w14:paraId="334C6637">
      <w:pPr>
        <w:keepNext w:val="0"/>
        <w:keepLines w:val="0"/>
        <w:pageBreakBefore w:val="0"/>
        <w:widowControl w:val="0"/>
        <w:kinsoku/>
        <w:wordWrap/>
        <w:overflowPunct/>
        <w:topLinePunct w:val="0"/>
        <w:autoSpaceDE w:val="0"/>
        <w:autoSpaceDN w:val="0"/>
        <w:bidi w:val="0"/>
        <w:adjustRightInd/>
        <w:snapToGrid/>
        <w:spacing w:line="360" w:lineRule="auto"/>
        <w:ind w:right="166" w:firstLine="646"/>
        <w:jc w:val="both"/>
        <w:textAlignment w:val="auto"/>
        <w:rPr>
          <w:rFonts w:ascii="仿宋_GB2312" w:hAnsi="仿宋_GB2312" w:eastAsia="仿宋_GB2312" w:cs="仿宋_GB2312"/>
          <w:color w:val="000000" w:themeColor="text1"/>
          <w:spacing w:val="-5"/>
          <w:sz w:val="31"/>
          <w:szCs w:val="31"/>
          <w:highlight w:val="none"/>
          <w14:textFill>
            <w14:solidFill>
              <w14:schemeClr w14:val="tx1"/>
            </w14:solidFill>
          </w14:textFill>
        </w:rPr>
      </w:pPr>
      <w:r>
        <w:rPr>
          <w:rFonts w:ascii="仿宋_GB2312" w:hAnsi="仿宋_GB2312" w:eastAsia="仿宋_GB2312" w:cs="仿宋_GB2312"/>
          <w:color w:val="000000" w:themeColor="text1"/>
          <w:spacing w:val="-3"/>
          <w:sz w:val="31"/>
          <w:szCs w:val="31"/>
          <w:highlight w:val="none"/>
          <w14:textFill>
            <w14:solidFill>
              <w14:schemeClr w14:val="tx1"/>
            </w14:solidFill>
          </w14:textFill>
        </w:rPr>
        <w:t>村民住房选址要引导集聚、预留空间，有利</w:t>
      </w:r>
      <w:r>
        <w:rPr>
          <w:rFonts w:ascii="仿宋_GB2312" w:hAnsi="仿宋_GB2312" w:eastAsia="仿宋_GB2312" w:cs="仿宋_GB2312"/>
          <w:color w:val="000000" w:themeColor="text1"/>
          <w:spacing w:val="-4"/>
          <w:sz w:val="31"/>
          <w:szCs w:val="31"/>
          <w:highlight w:val="none"/>
          <w14:textFill>
            <w14:solidFill>
              <w14:schemeClr w14:val="tx1"/>
            </w14:solidFill>
          </w14:textFill>
        </w:rPr>
        <w:t>生产、方便生活。</w:t>
      </w:r>
      <w:r>
        <w:rPr>
          <w:rFonts w:ascii="仿宋_GB2312" w:hAnsi="仿宋_GB2312" w:eastAsia="仿宋_GB2312" w:cs="仿宋_GB2312"/>
          <w:color w:val="000000" w:themeColor="text1"/>
          <w:spacing w:val="9"/>
          <w:sz w:val="31"/>
          <w:szCs w:val="31"/>
          <w:highlight w:val="none"/>
          <w14:textFill>
            <w14:solidFill>
              <w14:schemeClr w14:val="tx1"/>
            </w14:solidFill>
          </w14:textFill>
        </w:rPr>
        <w:t>严格落实“一户一宅”政策要求，引导在村庄建设边</w:t>
      </w:r>
      <w:r>
        <w:rPr>
          <w:rFonts w:ascii="仿宋_GB2312" w:hAnsi="仿宋_GB2312" w:eastAsia="仿宋_GB2312" w:cs="仿宋_GB2312"/>
          <w:color w:val="000000" w:themeColor="text1"/>
          <w:spacing w:val="8"/>
          <w:sz w:val="31"/>
          <w:szCs w:val="31"/>
          <w:highlight w:val="none"/>
          <w14:textFill>
            <w14:solidFill>
              <w14:schemeClr w14:val="tx1"/>
            </w14:solidFill>
          </w14:textFill>
        </w:rPr>
        <w:t>界内选址、</w:t>
      </w:r>
      <w:r>
        <w:rPr>
          <w:rFonts w:ascii="仿宋_GB2312" w:hAnsi="仿宋_GB2312" w:eastAsia="仿宋_GB2312" w:cs="仿宋_GB2312"/>
          <w:color w:val="000000" w:themeColor="text1"/>
          <w:spacing w:val="-5"/>
          <w:sz w:val="31"/>
          <w:szCs w:val="31"/>
          <w:highlight w:val="none"/>
          <w14:textFill>
            <w14:solidFill>
              <w14:schemeClr w14:val="tx1"/>
            </w14:solidFill>
          </w14:textFill>
        </w:rPr>
        <w:t>盘活利用闲置宅基地。经批准异地建造住宅的</w:t>
      </w:r>
      <w:r>
        <w:rPr>
          <w:rFonts w:ascii="仿宋_GB2312" w:hAnsi="仿宋_GB2312" w:eastAsia="仿宋_GB2312" w:cs="仿宋_GB2312"/>
          <w:color w:val="000000" w:themeColor="text1"/>
          <w:spacing w:val="-6"/>
          <w:sz w:val="31"/>
          <w:szCs w:val="31"/>
          <w:highlight w:val="none"/>
          <w14:textFill>
            <w14:solidFill>
              <w14:schemeClr w14:val="tx1"/>
            </w14:solidFill>
          </w14:textFill>
        </w:rPr>
        <w:t>，应当严格按照“建</w:t>
      </w:r>
      <w:r>
        <w:rPr>
          <w:rFonts w:ascii="仿宋_GB2312" w:hAnsi="仿宋_GB2312" w:eastAsia="仿宋_GB2312" w:cs="仿宋_GB2312"/>
          <w:color w:val="000000" w:themeColor="text1"/>
          <w:spacing w:val="-5"/>
          <w:sz w:val="31"/>
          <w:szCs w:val="31"/>
          <w:highlight w:val="none"/>
          <w14:textFill>
            <w14:solidFill>
              <w14:schemeClr w14:val="tx1"/>
            </w14:solidFill>
          </w14:textFill>
        </w:rPr>
        <w:t>新拆旧”要求将原宅基地交还给村集体。</w:t>
      </w:r>
    </w:p>
    <w:p w14:paraId="259CCFE3">
      <w:pPr>
        <w:keepNext w:val="0"/>
        <w:keepLines w:val="0"/>
        <w:pageBreakBefore w:val="0"/>
        <w:widowControl w:val="0"/>
        <w:kinsoku/>
        <w:wordWrap/>
        <w:overflowPunct/>
        <w:topLinePunct w:val="0"/>
        <w:autoSpaceDE w:val="0"/>
        <w:autoSpaceDN w:val="0"/>
        <w:bidi w:val="0"/>
        <w:adjustRightInd/>
        <w:snapToGrid/>
        <w:spacing w:line="360" w:lineRule="auto"/>
        <w:ind w:right="166" w:firstLine="646"/>
        <w:jc w:val="left"/>
        <w:textAlignment w:val="auto"/>
        <w:rPr>
          <w:rFonts w:hint="eastAsia" w:ascii="仿宋_GB2312" w:hAnsi="仿宋_GB2312" w:eastAsia="仿宋_GB2312" w:cs="仿宋_GB2312"/>
          <w:color w:val="000000" w:themeColor="text1"/>
          <w:spacing w:val="-3"/>
          <w:sz w:val="31"/>
          <w:szCs w:val="3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3"/>
          <w:sz w:val="31"/>
          <w:szCs w:val="31"/>
          <w:highlight w:val="none"/>
          <w14:textFill>
            <w14:solidFill>
              <w14:schemeClr w14:val="tx1"/>
            </w14:solidFill>
          </w14:textFill>
        </w:rPr>
        <w:t>农房选址要求严格落实农村乱占耕地建房“八不准”，严格落实一户一宅，新建农房应向上位国土空间规划确定的农民集中居住区集聚。新建、改建、现状扩建农房应在村庄建设边界内选址，可通过存量腾挪潜力空间安排用地，并尽量使用未利用地，不占或少占耕地。确需新增散居村民住宅用地的，在保证安全及满足底线管控等前提下，可使用规划“留白”机动指标在村庄建设边界外安排少量建设用地予以保障，实行比例和面积控制，并尽量使用未利用地，不占或少占耕地，禁止占用永久基本农田。</w:t>
      </w:r>
      <w:r>
        <w:rPr>
          <w:rFonts w:hint="eastAsia" w:ascii="仿宋_GB2312" w:hAnsi="仿宋_GB2312" w:eastAsia="仿宋_GB2312" w:cs="仿宋_GB2312"/>
          <w:color w:val="000000" w:themeColor="text1"/>
          <w:spacing w:val="-3"/>
          <w:sz w:val="31"/>
          <w:szCs w:val="31"/>
          <w:highlight w:val="none"/>
          <w:lang w:val="en-US" w:eastAsia="zh-CN"/>
          <w14:textFill>
            <w14:solidFill>
              <w14:schemeClr w14:val="tx1"/>
            </w14:solidFill>
          </w14:textFill>
        </w:rPr>
        <w:t xml:space="preserve"> </w:t>
      </w:r>
    </w:p>
    <w:p w14:paraId="0E9BE66D">
      <w:pPr>
        <w:keepNext w:val="0"/>
        <w:keepLines w:val="0"/>
        <w:pageBreakBefore w:val="0"/>
        <w:widowControl w:val="0"/>
        <w:kinsoku/>
        <w:wordWrap/>
        <w:overflowPunct/>
        <w:topLinePunct w:val="0"/>
        <w:autoSpaceDE w:val="0"/>
        <w:autoSpaceDN w:val="0"/>
        <w:bidi w:val="0"/>
        <w:adjustRightInd/>
        <w:snapToGrid/>
        <w:spacing w:line="360" w:lineRule="auto"/>
        <w:ind w:right="166" w:firstLine="646"/>
        <w:jc w:val="left"/>
        <w:textAlignment w:val="auto"/>
        <w:rPr>
          <w:rFonts w:hint="eastAsia" w:ascii="仿宋_GB2312" w:hAnsi="仿宋_GB2312" w:eastAsia="仿宋_GB2312" w:cs="仿宋_GB2312"/>
          <w:color w:val="000000" w:themeColor="text1"/>
          <w:spacing w:val="-3"/>
          <w:sz w:val="31"/>
          <w:szCs w:val="31"/>
          <w:highlight w:val="none"/>
          <w14:textFill>
            <w14:solidFill>
              <w14:schemeClr w14:val="tx1"/>
            </w14:solidFill>
          </w14:textFill>
        </w:rPr>
      </w:pPr>
      <w:r>
        <w:rPr>
          <w:rFonts w:hint="eastAsia" w:ascii="仿宋_GB2312" w:hAnsi="仿宋_GB2312" w:eastAsia="仿宋_GB2312" w:cs="仿宋_GB2312"/>
          <w:color w:val="000000" w:themeColor="text1"/>
          <w:spacing w:val="-3"/>
          <w:sz w:val="31"/>
          <w:szCs w:val="31"/>
          <w:highlight w:val="none"/>
          <w14:textFill>
            <w14:solidFill>
              <w14:schemeClr w14:val="tx1"/>
            </w14:solidFill>
          </w14:textFill>
        </w:rPr>
        <w:t>具体建设内容应符合《关于进一步加强农村宅基地审批管理工作的实施意见》（皖农合〔2020〕38 号）、《萧县农村宅基地审批管理办法</w:t>
      </w:r>
      <w:r>
        <w:rPr>
          <w:rFonts w:hint="eastAsia" w:ascii="仿宋_GB2312" w:hAnsi="仿宋_GB2312" w:eastAsia="仿宋_GB2312" w:cs="仿宋_GB2312"/>
          <w:color w:val="000000" w:themeColor="text1"/>
          <w:spacing w:val="-3"/>
          <w:sz w:val="31"/>
          <w:szCs w:val="3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3"/>
          <w:sz w:val="31"/>
          <w:szCs w:val="31"/>
          <w:highlight w:val="none"/>
          <w14:textFill>
            <w14:solidFill>
              <w14:schemeClr w14:val="tx1"/>
            </w14:solidFill>
          </w14:textFill>
        </w:rPr>
        <w:t>试行</w:t>
      </w:r>
      <w:r>
        <w:rPr>
          <w:rFonts w:hint="eastAsia" w:ascii="仿宋_GB2312" w:hAnsi="仿宋_GB2312" w:eastAsia="仿宋_GB2312" w:cs="仿宋_GB2312"/>
          <w:color w:val="000000" w:themeColor="text1"/>
          <w:spacing w:val="-3"/>
          <w:sz w:val="31"/>
          <w:szCs w:val="31"/>
          <w:highlight w:val="none"/>
          <w:lang w:eastAsia="zh-CN"/>
          <w14:textFill>
            <w14:solidFill>
              <w14:schemeClr w14:val="tx1"/>
            </w14:solidFill>
          </w14:textFill>
        </w:rPr>
        <w:t>）</w:t>
      </w:r>
      <w:r>
        <w:rPr>
          <w:rFonts w:hint="eastAsia" w:ascii="仿宋_GB2312" w:hAnsi="仿宋_GB2312" w:eastAsia="仿宋_GB2312" w:cs="仿宋_GB2312"/>
          <w:color w:val="000000" w:themeColor="text1"/>
          <w:spacing w:val="-3"/>
          <w:sz w:val="31"/>
          <w:szCs w:val="31"/>
          <w:highlight w:val="none"/>
          <w14:textFill>
            <w14:solidFill>
              <w14:schemeClr w14:val="tx1"/>
            </w14:solidFill>
          </w14:textFill>
        </w:rPr>
        <w:t>》等相关规范要求。</w:t>
      </w:r>
    </w:p>
    <w:p w14:paraId="5262653F">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bookmarkStart w:id="118" w:name="bookmark13"/>
      <w:bookmarkEnd w:id="118"/>
      <w:r>
        <w:rPr>
          <w:rFonts w:hint="eastAsia" w:eastAsia="仿宋_GB2312"/>
          <w:color w:val="000000" w:themeColor="text1"/>
          <w:w w:val="105"/>
          <w:sz w:val="32"/>
          <w:highlight w:val="none"/>
          <w:lang w:val="en-US" w:eastAsia="zh-CN"/>
          <w14:textFill>
            <w14:solidFill>
              <w14:schemeClr w14:val="tx1"/>
            </w14:solidFill>
          </w14:textFill>
        </w:rPr>
        <w:t>乡村公共服务设施用地布局要求</w:t>
      </w:r>
    </w:p>
    <w:p w14:paraId="48DCED64">
      <w:pPr>
        <w:keepNext w:val="0"/>
        <w:keepLines w:val="0"/>
        <w:pageBreakBefore w:val="0"/>
        <w:widowControl w:val="0"/>
        <w:kinsoku/>
        <w:wordWrap/>
        <w:overflowPunct/>
        <w:topLinePunct w:val="0"/>
        <w:autoSpaceDE w:val="0"/>
        <w:autoSpaceDN w:val="0"/>
        <w:bidi w:val="0"/>
        <w:adjustRightInd/>
        <w:snapToGrid/>
        <w:spacing w:line="360" w:lineRule="auto"/>
        <w:ind w:left="9" w:right="166" w:firstLine="638"/>
        <w:jc w:val="both"/>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2"/>
          <w:sz w:val="31"/>
          <w:szCs w:val="31"/>
          <w:highlight w:val="none"/>
          <w14:textFill>
            <w14:solidFill>
              <w14:schemeClr w14:val="tx1"/>
            </w14:solidFill>
          </w14:textFill>
        </w:rPr>
        <w:t>按照《社区生活圈规划技术指南》（</w:t>
      </w:r>
      <w:r>
        <w:rPr>
          <w:rFonts w:ascii="仿宋_GB2312" w:hAnsi="仿宋_GB2312" w:eastAsia="仿宋_GB2312" w:cs="仿宋_GB2312"/>
          <w:color w:val="000000" w:themeColor="text1"/>
          <w:sz w:val="31"/>
          <w:szCs w:val="31"/>
          <w:highlight w:val="none"/>
          <w14:textFill>
            <w14:solidFill>
              <w14:schemeClr w14:val="tx1"/>
            </w14:solidFill>
          </w14:textFill>
        </w:rPr>
        <w:t>TD</w:t>
      </w:r>
      <w:r>
        <w:rPr>
          <w:rFonts w:ascii="仿宋_GB2312" w:hAnsi="仿宋_GB2312" w:eastAsia="仿宋_GB2312" w:cs="仿宋_GB2312"/>
          <w:color w:val="000000" w:themeColor="text1"/>
          <w:spacing w:val="2"/>
          <w:sz w:val="31"/>
          <w:szCs w:val="31"/>
          <w:highlight w:val="none"/>
          <w14:textFill>
            <w14:solidFill>
              <w14:schemeClr w14:val="tx1"/>
            </w14:solidFill>
          </w14:textFill>
        </w:rPr>
        <w:t>/T1062-2021）要求，</w:t>
      </w:r>
      <w:r>
        <w:rPr>
          <w:rFonts w:ascii="仿宋_GB2312" w:hAnsi="仿宋_GB2312" w:eastAsia="仿宋_GB2312" w:cs="仿宋_GB2312"/>
          <w:color w:val="000000" w:themeColor="text1"/>
          <w:spacing w:val="8"/>
          <w:sz w:val="31"/>
          <w:szCs w:val="31"/>
          <w:highlight w:val="none"/>
          <w14:textFill>
            <w14:solidFill>
              <w14:schemeClr w14:val="tx1"/>
            </w14:solidFill>
          </w14:textFill>
        </w:rPr>
        <w:t>可构建“</w:t>
      </w:r>
      <w:r>
        <w:rPr>
          <w:rFonts w:ascii="仿宋_GB2312" w:hAnsi="仿宋_GB2312" w:eastAsia="仿宋_GB2312" w:cs="仿宋_GB2312"/>
          <w:color w:val="000000" w:themeColor="text1"/>
          <w:spacing w:val="-80"/>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8"/>
          <w:sz w:val="31"/>
          <w:szCs w:val="31"/>
          <w:highlight w:val="none"/>
          <w14:textFill>
            <w14:solidFill>
              <w14:schemeClr w14:val="tx1"/>
            </w14:solidFill>
          </w14:textFill>
        </w:rPr>
        <w:t>乡集镇、村/组”两个乡村社区生活圈层级，强化县域</w:t>
      </w:r>
      <w:r>
        <w:rPr>
          <w:rFonts w:ascii="仿宋_GB2312" w:hAnsi="仿宋_GB2312" w:eastAsia="仿宋_GB2312" w:cs="仿宋_GB2312"/>
          <w:color w:val="000000" w:themeColor="text1"/>
          <w:spacing w:val="14"/>
          <w:sz w:val="31"/>
          <w:szCs w:val="31"/>
          <w:highlight w:val="none"/>
          <w14:textFill>
            <w14:solidFill>
              <w14:schemeClr w14:val="tx1"/>
            </w14:solidFill>
          </w14:textFill>
        </w:rPr>
        <w:t>与乡村层面对农村基本公共服务供给的统筹，配套标准按照</w:t>
      </w:r>
      <w:r>
        <w:rPr>
          <w:rFonts w:hint="eastAsia" w:ascii="仿宋_GB2312" w:hAnsi="仿宋_GB2312" w:eastAsia="仿宋_GB2312" w:cs="仿宋_GB2312"/>
          <w:color w:val="000000" w:themeColor="text1"/>
          <w:spacing w:val="14"/>
          <w:sz w:val="31"/>
          <w:szCs w:val="31"/>
          <w:highlight w:val="none"/>
          <w14:textFill>
            <w14:solidFill>
              <w14:schemeClr w14:val="tx1"/>
            </w14:solidFill>
          </w14:textFill>
        </w:rPr>
        <w:t>乡村公共服务设施配置表</w:t>
      </w:r>
      <w:r>
        <w:rPr>
          <w:rFonts w:ascii="仿宋_GB2312" w:hAnsi="仿宋_GB2312" w:eastAsia="仿宋_GB2312" w:cs="仿宋_GB2312"/>
          <w:color w:val="000000" w:themeColor="text1"/>
          <w:spacing w:val="9"/>
          <w:sz w:val="31"/>
          <w:szCs w:val="31"/>
          <w:highlight w:val="none"/>
          <w14:textFill>
            <w14:solidFill>
              <w14:schemeClr w14:val="tx1"/>
            </w14:solidFill>
          </w14:textFill>
        </w:rPr>
        <w:t>执行。注重相邻村庄之间服务要素的错位配置和共享使用，</w:t>
      </w:r>
      <w:r>
        <w:rPr>
          <w:rFonts w:ascii="仿宋_GB2312" w:hAnsi="仿宋_GB2312" w:eastAsia="仿宋_GB2312" w:cs="仿宋_GB2312"/>
          <w:color w:val="000000" w:themeColor="text1"/>
          <w:spacing w:val="5"/>
          <w:sz w:val="31"/>
          <w:szCs w:val="31"/>
          <w:highlight w:val="none"/>
          <w14:textFill>
            <w14:solidFill>
              <w14:schemeClr w14:val="tx1"/>
            </w14:solidFill>
          </w14:textFill>
        </w:rPr>
        <w:t>鼓励有条件的村村之间、村镇（乡）之间、村城之间共享公共服</w:t>
      </w:r>
      <w:r>
        <w:rPr>
          <w:rFonts w:ascii="仿宋_GB2312" w:hAnsi="仿宋_GB2312" w:eastAsia="仿宋_GB2312" w:cs="仿宋_GB2312"/>
          <w:color w:val="000000" w:themeColor="text1"/>
          <w:spacing w:val="-3"/>
          <w:sz w:val="31"/>
          <w:szCs w:val="31"/>
          <w:highlight w:val="none"/>
          <w14:textFill>
            <w14:solidFill>
              <w14:schemeClr w14:val="tx1"/>
            </w14:solidFill>
          </w14:textFill>
        </w:rPr>
        <w:t>务设施。鼓励充分利用现有存量建设用地空间，多功能复合设置。</w:t>
      </w:r>
    </w:p>
    <w:p w14:paraId="54945548">
      <w:pPr>
        <w:keepNext w:val="0"/>
        <w:keepLines w:val="0"/>
        <w:pageBreakBefore w:val="0"/>
        <w:widowControl w:val="0"/>
        <w:kinsoku/>
        <w:wordWrap/>
        <w:overflowPunct/>
        <w:topLinePunct w:val="0"/>
        <w:autoSpaceDE w:val="0"/>
        <w:autoSpaceDN w:val="0"/>
        <w:bidi w:val="0"/>
        <w:adjustRightInd/>
        <w:snapToGrid/>
        <w:spacing w:line="360" w:lineRule="auto"/>
        <w:ind w:left="4" w:firstLine="642"/>
        <w:jc w:val="both"/>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z w:val="31"/>
          <w:szCs w:val="31"/>
          <w:highlight w:val="none"/>
          <w14:textFill>
            <w14:solidFill>
              <w14:schemeClr w14:val="tx1"/>
            </w14:solidFill>
          </w14:textFill>
        </w:rPr>
        <w:t>构建功能复合、便捷可达、环境宜人的乡集镇公共活动中心，</w:t>
      </w:r>
      <w:r>
        <w:rPr>
          <w:rFonts w:ascii="仿宋_GB2312" w:hAnsi="仿宋_GB2312" w:eastAsia="仿宋_GB2312" w:cs="仿宋_GB2312"/>
          <w:color w:val="000000" w:themeColor="text1"/>
          <w:spacing w:val="5"/>
          <w:sz w:val="31"/>
          <w:szCs w:val="31"/>
          <w:highlight w:val="none"/>
          <w14:textFill>
            <w14:solidFill>
              <w14:schemeClr w14:val="tx1"/>
            </w14:solidFill>
          </w14:textFill>
        </w:rPr>
        <w:t>文化、体育、医疗、教育等服务要素宜邻近生活性街道、交通节</w:t>
      </w:r>
      <w:r>
        <w:rPr>
          <w:rFonts w:ascii="仿宋_GB2312" w:hAnsi="仿宋_GB2312" w:eastAsia="仿宋_GB2312" w:cs="仿宋_GB2312"/>
          <w:color w:val="000000" w:themeColor="text1"/>
          <w:spacing w:val="11"/>
          <w:sz w:val="31"/>
          <w:szCs w:val="31"/>
          <w:highlight w:val="none"/>
          <w14:textFill>
            <w14:solidFill>
              <w14:schemeClr w14:val="tx1"/>
            </w14:solidFill>
          </w14:textFill>
        </w:rPr>
        <w:t>点、公园水系等布局。引导村/组级公共服务要素适度集聚</w:t>
      </w:r>
      <w:r>
        <w:rPr>
          <w:rFonts w:ascii="仿宋_GB2312" w:hAnsi="仿宋_GB2312" w:eastAsia="仿宋_GB2312" w:cs="仿宋_GB2312"/>
          <w:color w:val="000000" w:themeColor="text1"/>
          <w:spacing w:val="10"/>
          <w:sz w:val="31"/>
          <w:szCs w:val="31"/>
          <w:highlight w:val="none"/>
          <w14:textFill>
            <w14:solidFill>
              <w14:schemeClr w14:val="tx1"/>
            </w14:solidFill>
          </w14:textFill>
        </w:rPr>
        <w:t>，可</w:t>
      </w:r>
      <w:r>
        <w:rPr>
          <w:rFonts w:ascii="仿宋_GB2312" w:hAnsi="仿宋_GB2312" w:eastAsia="仿宋_GB2312" w:cs="仿宋_GB2312"/>
          <w:color w:val="000000" w:themeColor="text1"/>
          <w:spacing w:val="3"/>
          <w:sz w:val="31"/>
          <w:szCs w:val="31"/>
          <w:highlight w:val="none"/>
          <w14:textFill>
            <w14:solidFill>
              <w14:schemeClr w14:val="tx1"/>
            </w14:solidFill>
          </w14:textFill>
        </w:rPr>
        <w:t>结合乡村生产生活及出行休闲习惯统筹布局，围绕现状公共空间、</w:t>
      </w:r>
      <w:r>
        <w:rPr>
          <w:rFonts w:ascii="仿宋_GB2312" w:hAnsi="仿宋_GB2312" w:eastAsia="仿宋_GB2312" w:cs="仿宋_GB2312"/>
          <w:color w:val="000000" w:themeColor="text1"/>
          <w:spacing w:val="5"/>
          <w:sz w:val="31"/>
          <w:szCs w:val="31"/>
          <w:highlight w:val="none"/>
          <w14:textFill>
            <w14:solidFill>
              <w14:schemeClr w14:val="tx1"/>
            </w14:solidFill>
          </w14:textFill>
        </w:rPr>
        <w:t>公交站点、特色公建、古树名木等打造乡村公共活动中心，作为</w:t>
      </w:r>
      <w:r>
        <w:rPr>
          <w:rFonts w:ascii="仿宋_GB2312" w:hAnsi="仿宋_GB2312" w:eastAsia="仿宋_GB2312" w:cs="仿宋_GB2312"/>
          <w:color w:val="000000" w:themeColor="text1"/>
          <w:spacing w:val="9"/>
          <w:sz w:val="31"/>
          <w:szCs w:val="31"/>
          <w:highlight w:val="none"/>
          <w14:textFill>
            <w14:solidFill>
              <w14:schemeClr w14:val="tx1"/>
            </w14:solidFill>
          </w14:textFill>
        </w:rPr>
        <w:t>居民日常活动、办事、交往的主要场所。</w:t>
      </w:r>
    </w:p>
    <w:p w14:paraId="4F4E5C37">
      <w:pPr>
        <w:keepNext w:val="0"/>
        <w:keepLines w:val="0"/>
        <w:pageBreakBefore w:val="0"/>
        <w:widowControl w:val="0"/>
        <w:kinsoku/>
        <w:wordWrap/>
        <w:overflowPunct/>
        <w:topLinePunct w:val="0"/>
        <w:autoSpaceDE w:val="0"/>
        <w:autoSpaceDN w:val="0"/>
        <w:bidi w:val="0"/>
        <w:adjustRightInd/>
        <w:snapToGrid/>
        <w:spacing w:line="360" w:lineRule="auto"/>
        <w:ind w:left="2540"/>
        <w:textAlignment w:val="auto"/>
        <w:rPr>
          <w:rFonts w:hint="eastAsia" w:ascii="仿宋" w:hAnsi="仿宋" w:eastAsia="仿宋" w:cs="仿宋"/>
          <w:b w:val="0"/>
          <w:bCs w:val="0"/>
          <w:color w:val="000000" w:themeColor="text1"/>
          <w:sz w:val="28"/>
          <w:szCs w:val="28"/>
          <w:highlight w:val="none"/>
          <w14:textFill>
            <w14:solidFill>
              <w14:schemeClr w14:val="tx1"/>
            </w14:solidFill>
          </w14:textFill>
        </w:rPr>
      </w:pPr>
      <w:r>
        <w:rPr>
          <w:rFonts w:hint="eastAsia" w:ascii="仿宋" w:hAnsi="仿宋" w:eastAsia="仿宋" w:cs="仿宋"/>
          <w:b w:val="0"/>
          <w:bCs w:val="0"/>
          <w:color w:val="000000" w:themeColor="text1"/>
          <w:spacing w:val="-8"/>
          <w:sz w:val="28"/>
          <w:szCs w:val="28"/>
          <w:highlight w:val="none"/>
          <w14:textFill>
            <w14:solidFill>
              <w14:schemeClr w14:val="tx1"/>
            </w14:solidFill>
          </w14:textFill>
        </w:rPr>
        <w:t>表</w:t>
      </w:r>
      <w:r>
        <w:rPr>
          <w:rFonts w:hint="eastAsia" w:cs="仿宋"/>
          <w:b w:val="0"/>
          <w:bCs w:val="0"/>
          <w:color w:val="000000" w:themeColor="text1"/>
          <w:spacing w:val="-8"/>
          <w:sz w:val="28"/>
          <w:szCs w:val="28"/>
          <w:highlight w:val="none"/>
          <w:lang w:eastAsia="zh-CN"/>
          <w14:textFill>
            <w14:solidFill>
              <w14:schemeClr w14:val="tx1"/>
            </w14:solidFill>
          </w14:textFill>
        </w:rPr>
        <w:t>：</w:t>
      </w:r>
      <w:r>
        <w:rPr>
          <w:rFonts w:hint="eastAsia" w:ascii="仿宋" w:hAnsi="仿宋" w:eastAsia="仿宋" w:cs="仿宋"/>
          <w:b w:val="0"/>
          <w:bCs w:val="0"/>
          <w:color w:val="000000" w:themeColor="text1"/>
          <w:spacing w:val="-8"/>
          <w:sz w:val="28"/>
          <w:szCs w:val="28"/>
          <w:highlight w:val="none"/>
          <w14:textFill>
            <w14:solidFill>
              <w14:schemeClr w14:val="tx1"/>
            </w14:solidFill>
          </w14:textFill>
        </w:rPr>
        <w:t>乡村公共服务设施配置表</w:t>
      </w:r>
    </w:p>
    <w:p w14:paraId="0FF2FFC4">
      <w:pPr>
        <w:spacing w:line="125" w:lineRule="exact"/>
        <w:rPr>
          <w:color w:val="000000" w:themeColor="text1"/>
          <w:highlight w:val="none"/>
          <w14:textFill>
            <w14:solidFill>
              <w14:schemeClr w14:val="tx1"/>
            </w14:solidFill>
          </w14:textFill>
        </w:rPr>
      </w:pPr>
    </w:p>
    <w:tbl>
      <w:tblPr>
        <w:tblStyle w:val="36"/>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7"/>
        <w:gridCol w:w="2408"/>
        <w:gridCol w:w="1621"/>
        <w:gridCol w:w="1622"/>
        <w:gridCol w:w="1771"/>
      </w:tblGrid>
      <w:tr w14:paraId="16A9A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417" w:type="dxa"/>
            <w:vMerge w:val="restart"/>
            <w:tcBorders>
              <w:bottom w:val="nil"/>
            </w:tcBorders>
            <w:shd w:val="clear" w:color="auto" w:fill="F1F1F1"/>
            <w:vAlign w:val="top"/>
          </w:tcPr>
          <w:p w14:paraId="7E2DCC2C">
            <w:pPr>
              <w:spacing w:line="279" w:lineRule="auto"/>
              <w:rPr>
                <w:rFonts w:hint="eastAsia" w:ascii="仿宋" w:hAnsi="仿宋" w:eastAsia="仿宋" w:cs="仿宋"/>
                <w:color w:val="000000" w:themeColor="text1"/>
                <w:sz w:val="28"/>
                <w:szCs w:val="28"/>
                <w:highlight w:val="none"/>
                <w14:textFill>
                  <w14:solidFill>
                    <w14:schemeClr w14:val="tx1"/>
                  </w14:solidFill>
                </w14:textFill>
              </w:rPr>
            </w:pPr>
          </w:p>
          <w:p w14:paraId="5D281F84">
            <w:pPr>
              <w:pStyle w:val="65"/>
              <w:spacing w:before="78" w:line="213" w:lineRule="auto"/>
              <w:ind w:left="476"/>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pacing w:val="-9"/>
                <w:sz w:val="28"/>
                <w:szCs w:val="28"/>
                <w:highlight w:val="none"/>
                <w14:textFill>
                  <w14:solidFill>
                    <w14:schemeClr w14:val="tx1"/>
                  </w14:solidFill>
                </w14:textFill>
              </w:rPr>
              <w:t>分类</w:t>
            </w:r>
          </w:p>
        </w:tc>
        <w:tc>
          <w:tcPr>
            <w:tcW w:w="2408" w:type="dxa"/>
            <w:vMerge w:val="restart"/>
            <w:tcBorders>
              <w:bottom w:val="nil"/>
            </w:tcBorders>
            <w:shd w:val="clear" w:color="auto" w:fill="F1F1F1"/>
            <w:vAlign w:val="top"/>
          </w:tcPr>
          <w:p w14:paraId="4D61FEBA">
            <w:pPr>
              <w:pStyle w:val="65"/>
              <w:spacing w:before="126" w:line="315" w:lineRule="auto"/>
              <w:ind w:left="727" w:right="480" w:hanging="206"/>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pacing w:val="-9"/>
                <w:sz w:val="28"/>
                <w:szCs w:val="28"/>
                <w:highlight w:val="none"/>
                <w14:textFill>
                  <w14:solidFill>
                    <w14:schemeClr w14:val="tx1"/>
                  </w14:solidFill>
                </w14:textFill>
              </w:rPr>
              <w:t>乡村公共服务</w:t>
            </w:r>
            <w:r>
              <w:rPr>
                <w:rFonts w:hint="eastAsia" w:ascii="仿宋" w:hAnsi="仿宋" w:eastAsia="仿宋" w:cs="仿宋"/>
                <w:b/>
                <w:bCs/>
                <w:color w:val="000000" w:themeColor="text1"/>
                <w:spacing w:val="-5"/>
                <w:sz w:val="28"/>
                <w:szCs w:val="28"/>
                <w:highlight w:val="none"/>
                <w14:textFill>
                  <w14:solidFill>
                    <w14:schemeClr w14:val="tx1"/>
                  </w14:solidFill>
                </w14:textFill>
              </w:rPr>
              <w:t>设施名称</w:t>
            </w:r>
          </w:p>
        </w:tc>
        <w:tc>
          <w:tcPr>
            <w:tcW w:w="3243" w:type="dxa"/>
            <w:gridSpan w:val="2"/>
            <w:shd w:val="clear" w:color="auto" w:fill="F1F1F1"/>
            <w:vAlign w:val="top"/>
          </w:tcPr>
          <w:p w14:paraId="2A9E4EC6">
            <w:pPr>
              <w:pStyle w:val="65"/>
              <w:spacing w:before="121" w:line="218" w:lineRule="auto"/>
              <w:ind w:left="1041"/>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pacing w:val="-7"/>
                <w:sz w:val="28"/>
                <w:szCs w:val="28"/>
                <w:highlight w:val="none"/>
                <w14:textFill>
                  <w14:solidFill>
                    <w14:schemeClr w14:val="tx1"/>
                  </w14:solidFill>
                </w14:textFill>
              </w:rPr>
              <w:t>生活圈层级</w:t>
            </w:r>
          </w:p>
        </w:tc>
        <w:tc>
          <w:tcPr>
            <w:tcW w:w="1771" w:type="dxa"/>
            <w:vMerge w:val="restart"/>
            <w:tcBorders>
              <w:bottom w:val="nil"/>
            </w:tcBorders>
            <w:shd w:val="clear" w:color="auto" w:fill="F1F1F1"/>
            <w:vAlign w:val="top"/>
          </w:tcPr>
          <w:p w14:paraId="7DB6AA35">
            <w:pPr>
              <w:spacing w:line="279" w:lineRule="auto"/>
              <w:rPr>
                <w:rFonts w:hint="eastAsia" w:ascii="仿宋" w:hAnsi="仿宋" w:eastAsia="仿宋" w:cs="仿宋"/>
                <w:color w:val="000000" w:themeColor="text1"/>
                <w:sz w:val="28"/>
                <w:szCs w:val="28"/>
                <w:highlight w:val="none"/>
                <w14:textFill>
                  <w14:solidFill>
                    <w14:schemeClr w14:val="tx1"/>
                  </w14:solidFill>
                </w14:textFill>
              </w:rPr>
            </w:pPr>
          </w:p>
          <w:p w14:paraId="06190356">
            <w:pPr>
              <w:pStyle w:val="65"/>
              <w:spacing w:before="78" w:line="216" w:lineRule="auto"/>
              <w:ind w:left="41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pacing w:val="-7"/>
                <w:sz w:val="28"/>
                <w:szCs w:val="28"/>
                <w:highlight w:val="none"/>
                <w14:textFill>
                  <w14:solidFill>
                    <w14:schemeClr w14:val="tx1"/>
                  </w14:solidFill>
                </w14:textFill>
              </w:rPr>
              <w:t>配置要求</w:t>
            </w:r>
          </w:p>
        </w:tc>
      </w:tr>
      <w:tr w14:paraId="2486A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tcBorders>
            <w:vAlign w:val="top"/>
          </w:tcPr>
          <w:p w14:paraId="4CDEEF82">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Merge w:val="continue"/>
            <w:tcBorders>
              <w:top w:val="nil"/>
            </w:tcBorders>
            <w:vAlign w:val="top"/>
          </w:tcPr>
          <w:p w14:paraId="3FAEE3F4">
            <w:pPr>
              <w:rPr>
                <w:rFonts w:hint="eastAsia" w:ascii="仿宋" w:hAnsi="仿宋" w:eastAsia="仿宋" w:cs="仿宋"/>
                <w:color w:val="000000" w:themeColor="text1"/>
                <w:sz w:val="28"/>
                <w:szCs w:val="28"/>
                <w:highlight w:val="none"/>
                <w14:textFill>
                  <w14:solidFill>
                    <w14:schemeClr w14:val="tx1"/>
                  </w14:solidFill>
                </w14:textFill>
              </w:rPr>
            </w:pPr>
          </w:p>
        </w:tc>
        <w:tc>
          <w:tcPr>
            <w:tcW w:w="1621" w:type="dxa"/>
            <w:shd w:val="clear" w:color="auto" w:fill="F1F1F1"/>
            <w:vAlign w:val="top"/>
          </w:tcPr>
          <w:p w14:paraId="077B84F8">
            <w:pPr>
              <w:pStyle w:val="65"/>
              <w:spacing w:before="116" w:line="214" w:lineRule="auto"/>
              <w:ind w:left="48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pacing w:val="-17"/>
                <w:sz w:val="28"/>
                <w:szCs w:val="28"/>
                <w:highlight w:val="none"/>
                <w14:textFill>
                  <w14:solidFill>
                    <w14:schemeClr w14:val="tx1"/>
                  </w14:solidFill>
                </w14:textFill>
              </w:rPr>
              <w:t>乡集镇</w:t>
            </w:r>
          </w:p>
        </w:tc>
        <w:tc>
          <w:tcPr>
            <w:tcW w:w="1622" w:type="dxa"/>
            <w:shd w:val="clear" w:color="auto" w:fill="F1F1F1"/>
            <w:vAlign w:val="top"/>
          </w:tcPr>
          <w:p w14:paraId="7E8DDD70">
            <w:pPr>
              <w:pStyle w:val="65"/>
              <w:spacing w:before="116" w:line="214" w:lineRule="auto"/>
              <w:ind w:left="516"/>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pacing w:val="-5"/>
                <w:sz w:val="28"/>
                <w:szCs w:val="28"/>
                <w:highlight w:val="none"/>
                <w14:textFill>
                  <w14:solidFill>
                    <w14:schemeClr w14:val="tx1"/>
                  </w14:solidFill>
                </w14:textFill>
              </w:rPr>
              <w:t>村/组</w:t>
            </w:r>
          </w:p>
        </w:tc>
        <w:tc>
          <w:tcPr>
            <w:tcW w:w="1771" w:type="dxa"/>
            <w:vMerge w:val="continue"/>
            <w:tcBorders>
              <w:top w:val="nil"/>
            </w:tcBorders>
            <w:vAlign w:val="top"/>
          </w:tcPr>
          <w:p w14:paraId="6E40A300">
            <w:pPr>
              <w:rPr>
                <w:rFonts w:hint="eastAsia" w:ascii="仿宋" w:hAnsi="仿宋" w:eastAsia="仿宋" w:cs="仿宋"/>
                <w:color w:val="000000" w:themeColor="text1"/>
                <w:sz w:val="28"/>
                <w:szCs w:val="28"/>
                <w:highlight w:val="none"/>
                <w14:textFill>
                  <w14:solidFill>
                    <w14:schemeClr w14:val="tx1"/>
                  </w14:solidFill>
                </w14:textFill>
              </w:rPr>
            </w:pPr>
          </w:p>
        </w:tc>
      </w:tr>
      <w:tr w14:paraId="008A8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restart"/>
            <w:tcBorders>
              <w:bottom w:val="nil"/>
            </w:tcBorders>
            <w:vAlign w:val="top"/>
          </w:tcPr>
          <w:p w14:paraId="38F2862C">
            <w:pPr>
              <w:spacing w:line="256" w:lineRule="auto"/>
              <w:rPr>
                <w:rFonts w:hint="eastAsia" w:ascii="仿宋" w:hAnsi="仿宋" w:eastAsia="仿宋" w:cs="仿宋"/>
                <w:color w:val="000000" w:themeColor="text1"/>
                <w:sz w:val="28"/>
                <w:szCs w:val="28"/>
                <w:highlight w:val="none"/>
                <w14:textFill>
                  <w14:solidFill>
                    <w14:schemeClr w14:val="tx1"/>
                  </w14:solidFill>
                </w14:textFill>
              </w:rPr>
            </w:pPr>
          </w:p>
          <w:p w14:paraId="67C40251">
            <w:pPr>
              <w:spacing w:line="256" w:lineRule="auto"/>
              <w:rPr>
                <w:rFonts w:hint="eastAsia" w:ascii="仿宋" w:hAnsi="仿宋" w:eastAsia="仿宋" w:cs="仿宋"/>
                <w:color w:val="000000" w:themeColor="text1"/>
                <w:sz w:val="28"/>
                <w:szCs w:val="28"/>
                <w:highlight w:val="none"/>
                <w14:textFill>
                  <w14:solidFill>
                    <w14:schemeClr w14:val="tx1"/>
                  </w14:solidFill>
                </w14:textFill>
              </w:rPr>
            </w:pPr>
          </w:p>
          <w:p w14:paraId="14333C57">
            <w:pPr>
              <w:pStyle w:val="65"/>
              <w:spacing w:before="78" w:line="214" w:lineRule="auto"/>
              <w:ind w:left="23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2"/>
                <w:sz w:val="28"/>
                <w:szCs w:val="28"/>
                <w:highlight w:val="none"/>
                <w14:textFill>
                  <w14:solidFill>
                    <w14:schemeClr w14:val="tx1"/>
                  </w14:solidFill>
                </w14:textFill>
              </w:rPr>
              <w:t>健康管理</w:t>
            </w:r>
          </w:p>
        </w:tc>
        <w:tc>
          <w:tcPr>
            <w:tcW w:w="2408" w:type="dxa"/>
            <w:vAlign w:val="top"/>
          </w:tcPr>
          <w:p w14:paraId="2F60CBDE">
            <w:pPr>
              <w:pStyle w:val="65"/>
              <w:spacing w:before="116" w:line="214" w:lineRule="auto"/>
              <w:ind w:left="643"/>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
                <w:sz w:val="28"/>
                <w:szCs w:val="28"/>
                <w:highlight w:val="none"/>
                <w14:textFill>
                  <w14:solidFill>
                    <w14:schemeClr w14:val="tx1"/>
                  </w14:solidFill>
                </w14:textFill>
              </w:rPr>
              <w:t>乡镇卫生院</w:t>
            </w:r>
          </w:p>
        </w:tc>
        <w:tc>
          <w:tcPr>
            <w:tcW w:w="1621" w:type="dxa"/>
            <w:vAlign w:val="top"/>
          </w:tcPr>
          <w:p w14:paraId="3F35319E">
            <w:pPr>
              <w:spacing w:before="99" w:line="266" w:lineRule="exact"/>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5"/>
                <w:sz w:val="28"/>
                <w:szCs w:val="28"/>
                <w:highlight w:val="none"/>
                <w14:textFill>
                  <w14:solidFill>
                    <w14:schemeClr w14:val="tx1"/>
                  </w14:solidFill>
                </w14:textFill>
              </w:rPr>
              <w:drawing>
                <wp:inline distT="0" distB="0" distL="0" distR="0">
                  <wp:extent cx="122555" cy="168275"/>
                  <wp:effectExtent l="0" t="0" r="10795" b="254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
                          <a:stretch>
                            <a:fillRect/>
                          </a:stretch>
                        </pic:blipFill>
                        <pic:spPr>
                          <a:xfrm>
                            <a:off x="0" y="0"/>
                            <a:ext cx="122986" cy="168859"/>
                          </a:xfrm>
                          <a:prstGeom prst="rect">
                            <a:avLst/>
                          </a:prstGeom>
                        </pic:spPr>
                      </pic:pic>
                    </a:graphicData>
                  </a:graphic>
                </wp:inline>
              </w:drawing>
            </w:r>
          </w:p>
        </w:tc>
        <w:tc>
          <w:tcPr>
            <w:tcW w:w="1622" w:type="dxa"/>
            <w:vAlign w:val="top"/>
          </w:tcPr>
          <w:p w14:paraId="42E8A028">
            <w:pPr>
              <w:pStyle w:val="65"/>
              <w:spacing w:before="228" w:line="163" w:lineRule="exact"/>
              <w:ind w:left="59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771" w:type="dxa"/>
            <w:vAlign w:val="top"/>
          </w:tcPr>
          <w:p w14:paraId="256E3CC8">
            <w:pPr>
              <w:pStyle w:val="65"/>
              <w:spacing w:before="117" w:line="219"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宜独立占地</w:t>
            </w:r>
          </w:p>
        </w:tc>
      </w:tr>
      <w:tr w14:paraId="7DBB7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bottom w:val="nil"/>
            </w:tcBorders>
            <w:vAlign w:val="top"/>
          </w:tcPr>
          <w:p w14:paraId="0999A43B">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2BCEA6E7">
            <w:pPr>
              <w:pStyle w:val="65"/>
              <w:spacing w:before="115" w:line="214" w:lineRule="auto"/>
              <w:ind w:left="616"/>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卫生服务站</w:t>
            </w:r>
          </w:p>
        </w:tc>
        <w:tc>
          <w:tcPr>
            <w:tcW w:w="1621" w:type="dxa"/>
            <w:vAlign w:val="top"/>
          </w:tcPr>
          <w:p w14:paraId="71F8E0A6">
            <w:pPr>
              <w:spacing w:before="107" w:line="207" w:lineRule="auto"/>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622" w:type="dxa"/>
            <w:vAlign w:val="top"/>
          </w:tcPr>
          <w:p w14:paraId="0BC93C98">
            <w:pPr>
              <w:pStyle w:val="65"/>
              <w:spacing w:before="228" w:line="163" w:lineRule="exact"/>
              <w:ind w:left="59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771" w:type="dxa"/>
            <w:vAlign w:val="top"/>
          </w:tcPr>
          <w:p w14:paraId="018D738A">
            <w:pPr>
              <w:pStyle w:val="65"/>
              <w:spacing w:before="116" w:line="217"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宜综合设置</w:t>
            </w:r>
          </w:p>
        </w:tc>
      </w:tr>
      <w:tr w14:paraId="4D8B7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tcBorders>
            <w:vAlign w:val="top"/>
          </w:tcPr>
          <w:p w14:paraId="5F9405B2">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40F034C9">
            <w:pPr>
              <w:pStyle w:val="65"/>
              <w:spacing w:before="115" w:line="214" w:lineRule="auto"/>
              <w:ind w:left="72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
                <w:sz w:val="28"/>
                <w:szCs w:val="28"/>
                <w:highlight w:val="none"/>
                <w14:textFill>
                  <w14:solidFill>
                    <w14:schemeClr w14:val="tx1"/>
                  </w14:solidFill>
                </w14:textFill>
              </w:rPr>
              <w:t>村卫生室</w:t>
            </w:r>
          </w:p>
        </w:tc>
        <w:tc>
          <w:tcPr>
            <w:tcW w:w="1621" w:type="dxa"/>
            <w:vAlign w:val="top"/>
          </w:tcPr>
          <w:p w14:paraId="034F97DE">
            <w:pPr>
              <w:pStyle w:val="65"/>
              <w:spacing w:before="228" w:line="162" w:lineRule="exact"/>
              <w:ind w:left="58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622" w:type="dxa"/>
            <w:vAlign w:val="top"/>
          </w:tcPr>
          <w:p w14:paraId="3FD776C3">
            <w:pPr>
              <w:spacing w:before="106" w:line="208" w:lineRule="auto"/>
              <w:ind w:left="72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771" w:type="dxa"/>
            <w:vAlign w:val="top"/>
          </w:tcPr>
          <w:p w14:paraId="2E3AEFBE">
            <w:pPr>
              <w:pStyle w:val="65"/>
              <w:spacing w:before="116" w:line="217"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宜综合设置</w:t>
            </w:r>
          </w:p>
        </w:tc>
      </w:tr>
      <w:tr w14:paraId="19B22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417" w:type="dxa"/>
            <w:vMerge w:val="restart"/>
            <w:tcBorders>
              <w:bottom w:val="nil"/>
            </w:tcBorders>
            <w:vAlign w:val="top"/>
          </w:tcPr>
          <w:p w14:paraId="6ADECFD3">
            <w:pPr>
              <w:spacing w:line="249" w:lineRule="auto"/>
              <w:rPr>
                <w:rFonts w:hint="eastAsia" w:ascii="仿宋" w:hAnsi="仿宋" w:eastAsia="仿宋" w:cs="仿宋"/>
                <w:color w:val="000000" w:themeColor="text1"/>
                <w:sz w:val="28"/>
                <w:szCs w:val="28"/>
                <w:highlight w:val="none"/>
                <w14:textFill>
                  <w14:solidFill>
                    <w14:schemeClr w14:val="tx1"/>
                  </w14:solidFill>
                </w14:textFill>
              </w:rPr>
            </w:pPr>
          </w:p>
          <w:p w14:paraId="67542F58">
            <w:pPr>
              <w:spacing w:line="250" w:lineRule="auto"/>
              <w:rPr>
                <w:rFonts w:hint="eastAsia" w:ascii="仿宋" w:hAnsi="仿宋" w:eastAsia="仿宋" w:cs="仿宋"/>
                <w:color w:val="000000" w:themeColor="text1"/>
                <w:sz w:val="28"/>
                <w:szCs w:val="28"/>
                <w:highlight w:val="none"/>
                <w14:textFill>
                  <w14:solidFill>
                    <w14:schemeClr w14:val="tx1"/>
                  </w14:solidFill>
                </w14:textFill>
              </w:rPr>
            </w:pPr>
          </w:p>
          <w:p w14:paraId="5763BECD">
            <w:pPr>
              <w:spacing w:line="250" w:lineRule="auto"/>
              <w:rPr>
                <w:rFonts w:hint="eastAsia" w:ascii="仿宋" w:hAnsi="仿宋" w:eastAsia="仿宋" w:cs="仿宋"/>
                <w:color w:val="000000" w:themeColor="text1"/>
                <w:sz w:val="28"/>
                <w:szCs w:val="28"/>
                <w:highlight w:val="none"/>
                <w14:textFill>
                  <w14:solidFill>
                    <w14:schemeClr w14:val="tx1"/>
                  </w14:solidFill>
                </w14:textFill>
              </w:rPr>
            </w:pPr>
          </w:p>
          <w:p w14:paraId="792415C8">
            <w:pPr>
              <w:pStyle w:val="65"/>
              <w:spacing w:before="78" w:line="214" w:lineRule="auto"/>
              <w:ind w:left="241"/>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为老服务</w:t>
            </w:r>
          </w:p>
        </w:tc>
        <w:tc>
          <w:tcPr>
            <w:tcW w:w="2408" w:type="dxa"/>
            <w:vAlign w:val="top"/>
          </w:tcPr>
          <w:p w14:paraId="0F48BEE7">
            <w:pPr>
              <w:pStyle w:val="65"/>
              <w:spacing w:before="115" w:line="214" w:lineRule="auto"/>
              <w:ind w:left="851"/>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养老院</w:t>
            </w:r>
          </w:p>
        </w:tc>
        <w:tc>
          <w:tcPr>
            <w:tcW w:w="1621" w:type="dxa"/>
            <w:vAlign w:val="top"/>
          </w:tcPr>
          <w:p w14:paraId="094C8771">
            <w:pPr>
              <w:spacing w:before="100" w:line="266" w:lineRule="exact"/>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5"/>
                <w:sz w:val="28"/>
                <w:szCs w:val="28"/>
                <w:highlight w:val="none"/>
                <w14:textFill>
                  <w14:solidFill>
                    <w14:schemeClr w14:val="tx1"/>
                  </w14:solidFill>
                </w14:textFill>
              </w:rPr>
              <w:drawing>
                <wp:inline distT="0" distB="0" distL="0" distR="0">
                  <wp:extent cx="122555" cy="168275"/>
                  <wp:effectExtent l="0" t="0" r="10795" b="254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122986" cy="168859"/>
                          </a:xfrm>
                          <a:prstGeom prst="rect">
                            <a:avLst/>
                          </a:prstGeom>
                        </pic:spPr>
                      </pic:pic>
                    </a:graphicData>
                  </a:graphic>
                </wp:inline>
              </w:drawing>
            </w:r>
          </w:p>
        </w:tc>
        <w:tc>
          <w:tcPr>
            <w:tcW w:w="1622" w:type="dxa"/>
            <w:vAlign w:val="top"/>
          </w:tcPr>
          <w:p w14:paraId="751A8564">
            <w:pPr>
              <w:pStyle w:val="65"/>
              <w:spacing w:before="227" w:line="163" w:lineRule="exact"/>
              <w:ind w:left="59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771" w:type="dxa"/>
            <w:vAlign w:val="top"/>
          </w:tcPr>
          <w:p w14:paraId="7D24FBD7">
            <w:pPr>
              <w:pStyle w:val="65"/>
              <w:spacing w:before="116" w:line="219"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宜独立占地</w:t>
            </w:r>
          </w:p>
        </w:tc>
      </w:tr>
      <w:tr w14:paraId="65064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bottom w:val="nil"/>
            </w:tcBorders>
            <w:vAlign w:val="top"/>
          </w:tcPr>
          <w:p w14:paraId="23CB2B1B">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7EC97E6B">
            <w:pPr>
              <w:pStyle w:val="65"/>
              <w:spacing w:before="118" w:line="216" w:lineRule="auto"/>
              <w:ind w:left="60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2"/>
                <w:sz w:val="28"/>
                <w:szCs w:val="28"/>
                <w:highlight w:val="none"/>
                <w14:textFill>
                  <w14:solidFill>
                    <w14:schemeClr w14:val="tx1"/>
                  </w14:solidFill>
                </w14:textFill>
              </w:rPr>
              <w:t>老年活动室</w:t>
            </w:r>
          </w:p>
        </w:tc>
        <w:tc>
          <w:tcPr>
            <w:tcW w:w="1621" w:type="dxa"/>
            <w:vAlign w:val="top"/>
          </w:tcPr>
          <w:p w14:paraId="09A518D0">
            <w:pPr>
              <w:spacing w:before="107" w:line="207" w:lineRule="auto"/>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622" w:type="dxa"/>
            <w:vAlign w:val="top"/>
          </w:tcPr>
          <w:p w14:paraId="73F5DCD6">
            <w:pPr>
              <w:spacing w:before="107" w:line="207" w:lineRule="auto"/>
              <w:ind w:left="72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771" w:type="dxa"/>
            <w:vAlign w:val="top"/>
          </w:tcPr>
          <w:p w14:paraId="3AD64B49">
            <w:pPr>
              <w:pStyle w:val="65"/>
              <w:spacing w:before="118" w:line="217"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宜综合设置</w:t>
            </w:r>
          </w:p>
        </w:tc>
      </w:tr>
      <w:tr w14:paraId="2AA17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bottom w:val="nil"/>
            </w:tcBorders>
            <w:vAlign w:val="top"/>
          </w:tcPr>
          <w:p w14:paraId="08D4CA2A">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024959AD">
            <w:pPr>
              <w:pStyle w:val="65"/>
              <w:spacing w:before="117" w:line="214" w:lineRule="auto"/>
              <w:ind w:left="12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2"/>
                <w:sz w:val="28"/>
                <w:szCs w:val="28"/>
                <w:highlight w:val="none"/>
                <w14:textFill>
                  <w14:solidFill>
                    <w14:schemeClr w14:val="tx1"/>
                  </w14:solidFill>
                </w14:textFill>
              </w:rPr>
              <w:t>老年人日间照料中心</w:t>
            </w:r>
          </w:p>
        </w:tc>
        <w:tc>
          <w:tcPr>
            <w:tcW w:w="1621" w:type="dxa"/>
            <w:vAlign w:val="top"/>
          </w:tcPr>
          <w:p w14:paraId="4EE49BB6">
            <w:pPr>
              <w:spacing w:before="106" w:line="208" w:lineRule="auto"/>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622" w:type="dxa"/>
            <w:vAlign w:val="top"/>
          </w:tcPr>
          <w:p w14:paraId="27B8357E">
            <w:pPr>
              <w:spacing w:before="100" w:line="266" w:lineRule="exact"/>
              <w:ind w:left="72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5"/>
                <w:sz w:val="28"/>
                <w:szCs w:val="28"/>
                <w:highlight w:val="none"/>
                <w14:textFill>
                  <w14:solidFill>
                    <w14:schemeClr w14:val="tx1"/>
                  </w14:solidFill>
                </w14:textFill>
              </w:rPr>
              <w:drawing>
                <wp:inline distT="0" distB="0" distL="0" distR="0">
                  <wp:extent cx="122555" cy="168275"/>
                  <wp:effectExtent l="0" t="0" r="10795" b="25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
                          <a:stretch>
                            <a:fillRect/>
                          </a:stretch>
                        </pic:blipFill>
                        <pic:spPr>
                          <a:xfrm>
                            <a:off x="0" y="0"/>
                            <a:ext cx="122986" cy="168859"/>
                          </a:xfrm>
                          <a:prstGeom prst="rect">
                            <a:avLst/>
                          </a:prstGeom>
                        </pic:spPr>
                      </pic:pic>
                    </a:graphicData>
                  </a:graphic>
                </wp:inline>
              </w:drawing>
            </w:r>
          </w:p>
        </w:tc>
        <w:tc>
          <w:tcPr>
            <w:tcW w:w="1771" w:type="dxa"/>
            <w:vAlign w:val="top"/>
          </w:tcPr>
          <w:p w14:paraId="1C1E6FB4">
            <w:pPr>
              <w:pStyle w:val="65"/>
              <w:spacing w:before="118" w:line="217"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宜综合设置</w:t>
            </w:r>
          </w:p>
        </w:tc>
      </w:tr>
      <w:tr w14:paraId="07266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tcBorders>
            <w:vAlign w:val="top"/>
          </w:tcPr>
          <w:p w14:paraId="7B3F0436">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35DE36AB">
            <w:pPr>
              <w:pStyle w:val="65"/>
              <w:spacing w:before="117" w:line="214" w:lineRule="auto"/>
              <w:ind w:left="60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2"/>
                <w:sz w:val="28"/>
                <w:szCs w:val="28"/>
                <w:highlight w:val="none"/>
                <w14:textFill>
                  <w14:solidFill>
                    <w14:schemeClr w14:val="tx1"/>
                  </w14:solidFill>
                </w14:textFill>
              </w:rPr>
              <w:t>村级幸福院</w:t>
            </w:r>
          </w:p>
        </w:tc>
        <w:tc>
          <w:tcPr>
            <w:tcW w:w="1621" w:type="dxa"/>
            <w:vAlign w:val="top"/>
          </w:tcPr>
          <w:p w14:paraId="79017D42">
            <w:pPr>
              <w:pStyle w:val="65"/>
              <w:spacing w:before="229" w:line="163" w:lineRule="exact"/>
              <w:ind w:left="58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622" w:type="dxa"/>
            <w:vAlign w:val="top"/>
          </w:tcPr>
          <w:p w14:paraId="7A3F26DF">
            <w:pPr>
              <w:spacing w:before="100" w:line="266" w:lineRule="exact"/>
              <w:ind w:left="72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5"/>
                <w:sz w:val="28"/>
                <w:szCs w:val="28"/>
                <w:highlight w:val="none"/>
                <w14:textFill>
                  <w14:solidFill>
                    <w14:schemeClr w14:val="tx1"/>
                  </w14:solidFill>
                </w14:textFill>
              </w:rPr>
              <w:drawing>
                <wp:inline distT="0" distB="0" distL="0" distR="0">
                  <wp:extent cx="122555" cy="168275"/>
                  <wp:effectExtent l="0" t="0" r="10795" b="254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3"/>
                          <a:stretch>
                            <a:fillRect/>
                          </a:stretch>
                        </pic:blipFill>
                        <pic:spPr>
                          <a:xfrm>
                            <a:off x="0" y="0"/>
                            <a:ext cx="122986" cy="168859"/>
                          </a:xfrm>
                          <a:prstGeom prst="rect">
                            <a:avLst/>
                          </a:prstGeom>
                        </pic:spPr>
                      </pic:pic>
                    </a:graphicData>
                  </a:graphic>
                </wp:inline>
              </w:drawing>
            </w:r>
          </w:p>
        </w:tc>
        <w:tc>
          <w:tcPr>
            <w:tcW w:w="1771" w:type="dxa"/>
            <w:vAlign w:val="top"/>
          </w:tcPr>
          <w:p w14:paraId="718356FD">
            <w:pPr>
              <w:pStyle w:val="65"/>
              <w:spacing w:before="117" w:line="217" w:lineRule="auto"/>
              <w:ind w:left="297"/>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应独立占地</w:t>
            </w:r>
          </w:p>
        </w:tc>
      </w:tr>
      <w:tr w14:paraId="6EABF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restart"/>
            <w:tcBorders>
              <w:bottom w:val="nil"/>
            </w:tcBorders>
            <w:vAlign w:val="top"/>
          </w:tcPr>
          <w:p w14:paraId="46336D41">
            <w:pPr>
              <w:spacing w:line="250" w:lineRule="auto"/>
              <w:rPr>
                <w:rFonts w:hint="eastAsia" w:ascii="仿宋" w:hAnsi="仿宋" w:eastAsia="仿宋" w:cs="仿宋"/>
                <w:color w:val="000000" w:themeColor="text1"/>
                <w:sz w:val="28"/>
                <w:szCs w:val="28"/>
                <w:highlight w:val="none"/>
                <w14:textFill>
                  <w14:solidFill>
                    <w14:schemeClr w14:val="tx1"/>
                  </w14:solidFill>
                </w14:textFill>
              </w:rPr>
            </w:pPr>
          </w:p>
          <w:p w14:paraId="7A04CA66">
            <w:pPr>
              <w:spacing w:line="250" w:lineRule="auto"/>
              <w:rPr>
                <w:rFonts w:hint="eastAsia" w:ascii="仿宋" w:hAnsi="仿宋" w:eastAsia="仿宋" w:cs="仿宋"/>
                <w:color w:val="000000" w:themeColor="text1"/>
                <w:sz w:val="28"/>
                <w:szCs w:val="28"/>
                <w:highlight w:val="none"/>
                <w14:textFill>
                  <w14:solidFill>
                    <w14:schemeClr w14:val="tx1"/>
                  </w14:solidFill>
                </w14:textFill>
              </w:rPr>
            </w:pPr>
          </w:p>
          <w:p w14:paraId="43959623">
            <w:pPr>
              <w:spacing w:line="251" w:lineRule="auto"/>
              <w:rPr>
                <w:rFonts w:hint="eastAsia" w:ascii="仿宋" w:hAnsi="仿宋" w:eastAsia="仿宋" w:cs="仿宋"/>
                <w:color w:val="000000" w:themeColor="text1"/>
                <w:sz w:val="28"/>
                <w:szCs w:val="28"/>
                <w:highlight w:val="none"/>
                <w14:textFill>
                  <w14:solidFill>
                    <w14:schemeClr w14:val="tx1"/>
                  </w14:solidFill>
                </w14:textFill>
              </w:rPr>
            </w:pPr>
          </w:p>
          <w:p w14:paraId="69A451E2">
            <w:pPr>
              <w:pStyle w:val="65"/>
              <w:spacing w:before="78" w:line="214" w:lineRule="auto"/>
              <w:ind w:left="235"/>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
                <w:sz w:val="28"/>
                <w:szCs w:val="28"/>
                <w:highlight w:val="none"/>
                <w14:textFill>
                  <w14:solidFill>
                    <w14:schemeClr w14:val="tx1"/>
                  </w14:solidFill>
                </w14:textFill>
              </w:rPr>
              <w:t>终身教育</w:t>
            </w:r>
          </w:p>
        </w:tc>
        <w:tc>
          <w:tcPr>
            <w:tcW w:w="2408" w:type="dxa"/>
            <w:vAlign w:val="top"/>
          </w:tcPr>
          <w:p w14:paraId="512CDD3E">
            <w:pPr>
              <w:pStyle w:val="65"/>
              <w:spacing w:before="116" w:line="214" w:lineRule="auto"/>
              <w:ind w:left="98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10"/>
                <w:sz w:val="28"/>
                <w:szCs w:val="28"/>
                <w:highlight w:val="none"/>
                <w14:textFill>
                  <w14:solidFill>
                    <w14:schemeClr w14:val="tx1"/>
                  </w14:solidFill>
                </w14:textFill>
              </w:rPr>
              <w:t>高中</w:t>
            </w:r>
          </w:p>
        </w:tc>
        <w:tc>
          <w:tcPr>
            <w:tcW w:w="1621" w:type="dxa"/>
            <w:vAlign w:val="top"/>
          </w:tcPr>
          <w:p w14:paraId="14BDC3EB">
            <w:pPr>
              <w:spacing w:before="102" w:line="266" w:lineRule="exact"/>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5"/>
                <w:sz w:val="28"/>
                <w:szCs w:val="28"/>
                <w:highlight w:val="none"/>
                <w14:textFill>
                  <w14:solidFill>
                    <w14:schemeClr w14:val="tx1"/>
                  </w14:solidFill>
                </w14:textFill>
              </w:rPr>
              <w:drawing>
                <wp:inline distT="0" distB="0" distL="0" distR="0">
                  <wp:extent cx="122555" cy="168275"/>
                  <wp:effectExtent l="0" t="0" r="10795" b="254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4"/>
                          <a:stretch>
                            <a:fillRect/>
                          </a:stretch>
                        </pic:blipFill>
                        <pic:spPr>
                          <a:xfrm>
                            <a:off x="0" y="0"/>
                            <a:ext cx="122986" cy="168859"/>
                          </a:xfrm>
                          <a:prstGeom prst="rect">
                            <a:avLst/>
                          </a:prstGeom>
                        </pic:spPr>
                      </pic:pic>
                    </a:graphicData>
                  </a:graphic>
                </wp:inline>
              </w:drawing>
            </w:r>
          </w:p>
        </w:tc>
        <w:tc>
          <w:tcPr>
            <w:tcW w:w="1622" w:type="dxa"/>
            <w:vAlign w:val="top"/>
          </w:tcPr>
          <w:p w14:paraId="20EF2C56">
            <w:pPr>
              <w:pStyle w:val="65"/>
              <w:spacing w:before="229" w:line="163" w:lineRule="exact"/>
              <w:ind w:left="59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771" w:type="dxa"/>
            <w:vAlign w:val="top"/>
          </w:tcPr>
          <w:p w14:paraId="1322683F">
            <w:pPr>
              <w:pStyle w:val="65"/>
              <w:spacing w:before="117" w:line="219"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宜独立占地</w:t>
            </w:r>
          </w:p>
        </w:tc>
      </w:tr>
      <w:tr w14:paraId="5806A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bottom w:val="nil"/>
            </w:tcBorders>
            <w:vAlign w:val="top"/>
          </w:tcPr>
          <w:p w14:paraId="3EF76EF4">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4825A119">
            <w:pPr>
              <w:pStyle w:val="65"/>
              <w:spacing w:before="116" w:line="214" w:lineRule="auto"/>
              <w:ind w:left="96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初中</w:t>
            </w:r>
          </w:p>
        </w:tc>
        <w:tc>
          <w:tcPr>
            <w:tcW w:w="1621" w:type="dxa"/>
            <w:vAlign w:val="top"/>
          </w:tcPr>
          <w:p w14:paraId="3C9BD2CA">
            <w:pPr>
              <w:spacing w:before="107" w:line="207" w:lineRule="auto"/>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622" w:type="dxa"/>
            <w:vAlign w:val="top"/>
          </w:tcPr>
          <w:p w14:paraId="1BE34169">
            <w:pPr>
              <w:pStyle w:val="65"/>
              <w:spacing w:before="229" w:line="162" w:lineRule="exact"/>
              <w:ind w:left="59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771" w:type="dxa"/>
            <w:vAlign w:val="top"/>
          </w:tcPr>
          <w:p w14:paraId="4D83979E">
            <w:pPr>
              <w:pStyle w:val="65"/>
              <w:spacing w:before="117" w:line="219"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宜独立占地</w:t>
            </w:r>
          </w:p>
        </w:tc>
      </w:tr>
      <w:tr w14:paraId="00281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bottom w:val="nil"/>
            </w:tcBorders>
            <w:vAlign w:val="top"/>
          </w:tcPr>
          <w:p w14:paraId="5BA20D17">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7050B4C3">
            <w:pPr>
              <w:pStyle w:val="65"/>
              <w:spacing w:before="116" w:line="216" w:lineRule="auto"/>
              <w:ind w:left="971"/>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6"/>
                <w:sz w:val="28"/>
                <w:szCs w:val="28"/>
                <w:highlight w:val="none"/>
                <w14:textFill>
                  <w14:solidFill>
                    <w14:schemeClr w14:val="tx1"/>
                  </w14:solidFill>
                </w14:textFill>
              </w:rPr>
              <w:t>小学</w:t>
            </w:r>
          </w:p>
        </w:tc>
        <w:tc>
          <w:tcPr>
            <w:tcW w:w="1621" w:type="dxa"/>
            <w:vAlign w:val="top"/>
          </w:tcPr>
          <w:p w14:paraId="35C94EE7">
            <w:pPr>
              <w:spacing w:before="107" w:line="207" w:lineRule="auto"/>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622" w:type="dxa"/>
            <w:vAlign w:val="top"/>
          </w:tcPr>
          <w:p w14:paraId="34E25ACE">
            <w:pPr>
              <w:spacing w:before="101" w:line="266" w:lineRule="exact"/>
              <w:ind w:left="72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5"/>
                <w:sz w:val="28"/>
                <w:szCs w:val="28"/>
                <w:highlight w:val="none"/>
                <w14:textFill>
                  <w14:solidFill>
                    <w14:schemeClr w14:val="tx1"/>
                  </w14:solidFill>
                </w14:textFill>
              </w:rPr>
              <w:drawing>
                <wp:inline distT="0" distB="0" distL="0" distR="0">
                  <wp:extent cx="122555" cy="168275"/>
                  <wp:effectExtent l="0" t="0" r="10795" b="254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
                          <a:stretch>
                            <a:fillRect/>
                          </a:stretch>
                        </pic:blipFill>
                        <pic:spPr>
                          <a:xfrm>
                            <a:off x="0" y="0"/>
                            <a:ext cx="122986" cy="168859"/>
                          </a:xfrm>
                          <a:prstGeom prst="rect">
                            <a:avLst/>
                          </a:prstGeom>
                        </pic:spPr>
                      </pic:pic>
                    </a:graphicData>
                  </a:graphic>
                </wp:inline>
              </w:drawing>
            </w:r>
          </w:p>
        </w:tc>
        <w:tc>
          <w:tcPr>
            <w:tcW w:w="1771" w:type="dxa"/>
            <w:vAlign w:val="top"/>
          </w:tcPr>
          <w:p w14:paraId="72C52B63">
            <w:pPr>
              <w:pStyle w:val="65"/>
              <w:spacing w:before="116" w:line="217" w:lineRule="auto"/>
              <w:ind w:left="297"/>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应独立占地</w:t>
            </w:r>
          </w:p>
        </w:tc>
      </w:tr>
      <w:tr w14:paraId="41CC4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tcBorders>
            <w:vAlign w:val="top"/>
          </w:tcPr>
          <w:p w14:paraId="28836293">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0781476A">
            <w:pPr>
              <w:pStyle w:val="65"/>
              <w:spacing w:before="118" w:line="214" w:lineRule="auto"/>
              <w:ind w:left="86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7"/>
                <w:sz w:val="28"/>
                <w:szCs w:val="28"/>
                <w:highlight w:val="none"/>
                <w14:textFill>
                  <w14:solidFill>
                    <w14:schemeClr w14:val="tx1"/>
                  </w14:solidFill>
                </w14:textFill>
              </w:rPr>
              <w:t>幼儿园</w:t>
            </w:r>
          </w:p>
        </w:tc>
        <w:tc>
          <w:tcPr>
            <w:tcW w:w="1621" w:type="dxa"/>
            <w:vAlign w:val="top"/>
          </w:tcPr>
          <w:p w14:paraId="650E5EC7">
            <w:pPr>
              <w:spacing w:before="107" w:line="207" w:lineRule="auto"/>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622" w:type="dxa"/>
            <w:vAlign w:val="top"/>
          </w:tcPr>
          <w:p w14:paraId="00F02AD9">
            <w:pPr>
              <w:spacing w:before="101" w:line="265" w:lineRule="exact"/>
              <w:ind w:left="72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5"/>
                <w:sz w:val="28"/>
                <w:szCs w:val="28"/>
                <w:highlight w:val="none"/>
                <w14:textFill>
                  <w14:solidFill>
                    <w14:schemeClr w14:val="tx1"/>
                  </w14:solidFill>
                </w14:textFill>
              </w:rPr>
              <w:drawing>
                <wp:inline distT="0" distB="0" distL="0" distR="0">
                  <wp:extent cx="122555" cy="168275"/>
                  <wp:effectExtent l="0" t="0" r="10795" b="254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2986" cy="168859"/>
                          </a:xfrm>
                          <a:prstGeom prst="rect">
                            <a:avLst/>
                          </a:prstGeom>
                        </pic:spPr>
                      </pic:pic>
                    </a:graphicData>
                  </a:graphic>
                </wp:inline>
              </w:drawing>
            </w:r>
          </w:p>
        </w:tc>
        <w:tc>
          <w:tcPr>
            <w:tcW w:w="1771" w:type="dxa"/>
            <w:vAlign w:val="top"/>
          </w:tcPr>
          <w:p w14:paraId="0160FBC9">
            <w:pPr>
              <w:pStyle w:val="65"/>
              <w:spacing w:before="118" w:line="217" w:lineRule="auto"/>
              <w:ind w:left="297"/>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应独立占地</w:t>
            </w:r>
          </w:p>
        </w:tc>
      </w:tr>
      <w:tr w14:paraId="2F915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restart"/>
            <w:tcBorders>
              <w:bottom w:val="nil"/>
            </w:tcBorders>
            <w:vAlign w:val="top"/>
          </w:tcPr>
          <w:p w14:paraId="71696160">
            <w:pPr>
              <w:spacing w:line="247" w:lineRule="auto"/>
              <w:rPr>
                <w:rFonts w:hint="eastAsia" w:ascii="仿宋" w:hAnsi="仿宋" w:eastAsia="仿宋" w:cs="仿宋"/>
                <w:color w:val="000000" w:themeColor="text1"/>
                <w:sz w:val="28"/>
                <w:szCs w:val="28"/>
                <w:highlight w:val="none"/>
                <w14:textFill>
                  <w14:solidFill>
                    <w14:schemeClr w14:val="tx1"/>
                  </w14:solidFill>
                </w14:textFill>
              </w:rPr>
            </w:pPr>
          </w:p>
          <w:p w14:paraId="053DB595">
            <w:pPr>
              <w:spacing w:line="247" w:lineRule="auto"/>
              <w:rPr>
                <w:rFonts w:hint="eastAsia" w:ascii="仿宋" w:hAnsi="仿宋" w:eastAsia="仿宋" w:cs="仿宋"/>
                <w:color w:val="000000" w:themeColor="text1"/>
                <w:sz w:val="28"/>
                <w:szCs w:val="28"/>
                <w:highlight w:val="none"/>
                <w14:textFill>
                  <w14:solidFill>
                    <w14:schemeClr w14:val="tx1"/>
                  </w14:solidFill>
                </w14:textFill>
              </w:rPr>
            </w:pPr>
          </w:p>
          <w:p w14:paraId="0E6EEE7B">
            <w:pPr>
              <w:spacing w:line="247" w:lineRule="auto"/>
              <w:rPr>
                <w:rFonts w:hint="eastAsia" w:ascii="仿宋" w:hAnsi="仿宋" w:eastAsia="仿宋" w:cs="仿宋"/>
                <w:color w:val="000000" w:themeColor="text1"/>
                <w:sz w:val="28"/>
                <w:szCs w:val="28"/>
                <w:highlight w:val="none"/>
                <w14:textFill>
                  <w14:solidFill>
                    <w14:schemeClr w14:val="tx1"/>
                  </w14:solidFill>
                </w14:textFill>
              </w:rPr>
            </w:pPr>
          </w:p>
          <w:p w14:paraId="0C8F388D">
            <w:pPr>
              <w:spacing w:line="247" w:lineRule="auto"/>
              <w:rPr>
                <w:rFonts w:hint="eastAsia" w:ascii="仿宋" w:hAnsi="仿宋" w:eastAsia="仿宋" w:cs="仿宋"/>
                <w:color w:val="000000" w:themeColor="text1"/>
                <w:sz w:val="28"/>
                <w:szCs w:val="28"/>
                <w:highlight w:val="none"/>
                <w14:textFill>
                  <w14:solidFill>
                    <w14:schemeClr w14:val="tx1"/>
                  </w14:solidFill>
                </w14:textFill>
              </w:rPr>
            </w:pPr>
          </w:p>
          <w:p w14:paraId="3B999801">
            <w:pPr>
              <w:pStyle w:val="65"/>
              <w:spacing w:before="78" w:line="216" w:lineRule="auto"/>
              <w:ind w:left="24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文化活动</w:t>
            </w:r>
          </w:p>
        </w:tc>
        <w:tc>
          <w:tcPr>
            <w:tcW w:w="2408" w:type="dxa"/>
            <w:vAlign w:val="top"/>
          </w:tcPr>
          <w:p w14:paraId="64E5FDA1">
            <w:pPr>
              <w:pStyle w:val="65"/>
              <w:spacing w:before="117" w:line="214" w:lineRule="auto"/>
              <w:ind w:left="283"/>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6"/>
                <w:sz w:val="28"/>
                <w:szCs w:val="28"/>
                <w:highlight w:val="none"/>
                <w14:textFill>
                  <w14:solidFill>
                    <w14:schemeClr w14:val="tx1"/>
                  </w14:solidFill>
                </w14:textFill>
              </w:rPr>
              <w:t>乡镇文化活动中心</w:t>
            </w:r>
          </w:p>
        </w:tc>
        <w:tc>
          <w:tcPr>
            <w:tcW w:w="1621" w:type="dxa"/>
            <w:vAlign w:val="top"/>
          </w:tcPr>
          <w:p w14:paraId="287C99A2">
            <w:pPr>
              <w:spacing w:before="100" w:line="266" w:lineRule="exact"/>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5"/>
                <w:sz w:val="28"/>
                <w:szCs w:val="28"/>
                <w:highlight w:val="none"/>
                <w14:textFill>
                  <w14:solidFill>
                    <w14:schemeClr w14:val="tx1"/>
                  </w14:solidFill>
                </w14:textFill>
              </w:rPr>
              <w:drawing>
                <wp:inline distT="0" distB="0" distL="0" distR="0">
                  <wp:extent cx="122555" cy="168275"/>
                  <wp:effectExtent l="0" t="0" r="10795" b="254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4"/>
                          <a:stretch>
                            <a:fillRect/>
                          </a:stretch>
                        </pic:blipFill>
                        <pic:spPr>
                          <a:xfrm>
                            <a:off x="0" y="0"/>
                            <a:ext cx="122986" cy="168859"/>
                          </a:xfrm>
                          <a:prstGeom prst="rect">
                            <a:avLst/>
                          </a:prstGeom>
                        </pic:spPr>
                      </pic:pic>
                    </a:graphicData>
                  </a:graphic>
                </wp:inline>
              </w:drawing>
            </w:r>
          </w:p>
        </w:tc>
        <w:tc>
          <w:tcPr>
            <w:tcW w:w="1622" w:type="dxa"/>
            <w:vAlign w:val="top"/>
          </w:tcPr>
          <w:p w14:paraId="34307105">
            <w:pPr>
              <w:pStyle w:val="65"/>
              <w:spacing w:before="230" w:line="163" w:lineRule="exact"/>
              <w:ind w:left="59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771" w:type="dxa"/>
            <w:vAlign w:val="top"/>
          </w:tcPr>
          <w:p w14:paraId="021D8F7E">
            <w:pPr>
              <w:pStyle w:val="65"/>
              <w:spacing w:before="118" w:line="217" w:lineRule="auto"/>
              <w:ind w:left="302"/>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可综合设置</w:t>
            </w:r>
          </w:p>
        </w:tc>
      </w:tr>
      <w:tr w14:paraId="61343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417" w:type="dxa"/>
            <w:vMerge w:val="continue"/>
            <w:tcBorders>
              <w:top w:val="nil"/>
              <w:bottom w:val="nil"/>
            </w:tcBorders>
            <w:vAlign w:val="top"/>
          </w:tcPr>
          <w:p w14:paraId="7C780315">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6172EF03">
            <w:pPr>
              <w:pStyle w:val="65"/>
              <w:spacing w:before="117" w:line="216" w:lineRule="auto"/>
              <w:ind w:left="6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文化活动室</w:t>
            </w:r>
          </w:p>
        </w:tc>
        <w:tc>
          <w:tcPr>
            <w:tcW w:w="1621" w:type="dxa"/>
            <w:vAlign w:val="top"/>
          </w:tcPr>
          <w:p w14:paraId="54D124DF">
            <w:pPr>
              <w:spacing w:before="108" w:line="206" w:lineRule="auto"/>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622" w:type="dxa"/>
            <w:vAlign w:val="top"/>
          </w:tcPr>
          <w:p w14:paraId="6B300BD2">
            <w:pPr>
              <w:spacing w:before="108" w:line="206" w:lineRule="auto"/>
              <w:ind w:left="72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771" w:type="dxa"/>
            <w:vAlign w:val="top"/>
          </w:tcPr>
          <w:p w14:paraId="77D604DA">
            <w:pPr>
              <w:pStyle w:val="65"/>
              <w:spacing w:before="118" w:line="217"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宜综合设置</w:t>
            </w:r>
          </w:p>
        </w:tc>
      </w:tr>
      <w:tr w14:paraId="233EC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bottom w:val="nil"/>
            </w:tcBorders>
            <w:vAlign w:val="top"/>
          </w:tcPr>
          <w:p w14:paraId="5204CD21">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26453F21">
            <w:pPr>
              <w:pStyle w:val="65"/>
              <w:spacing w:before="118" w:line="216" w:lineRule="auto"/>
              <w:ind w:left="731"/>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
                <w:sz w:val="28"/>
                <w:szCs w:val="28"/>
                <w:highlight w:val="none"/>
                <w14:textFill>
                  <w14:solidFill>
                    <w14:schemeClr w14:val="tx1"/>
                  </w14:solidFill>
                </w14:textFill>
              </w:rPr>
              <w:t>农家书屋</w:t>
            </w:r>
          </w:p>
        </w:tc>
        <w:tc>
          <w:tcPr>
            <w:tcW w:w="1621" w:type="dxa"/>
            <w:vAlign w:val="top"/>
          </w:tcPr>
          <w:p w14:paraId="7F51F0D5">
            <w:pPr>
              <w:pStyle w:val="65"/>
              <w:spacing w:before="230" w:line="163" w:lineRule="exact"/>
              <w:ind w:left="58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622" w:type="dxa"/>
            <w:vAlign w:val="top"/>
          </w:tcPr>
          <w:p w14:paraId="132AA2CD">
            <w:pPr>
              <w:spacing w:before="109" w:line="206" w:lineRule="auto"/>
              <w:ind w:left="72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771" w:type="dxa"/>
            <w:vAlign w:val="top"/>
          </w:tcPr>
          <w:p w14:paraId="0E0B2AF5">
            <w:pPr>
              <w:pStyle w:val="65"/>
              <w:spacing w:before="118" w:line="217"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宜综合设置</w:t>
            </w:r>
          </w:p>
        </w:tc>
      </w:tr>
      <w:tr w14:paraId="5815D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417" w:type="dxa"/>
            <w:vMerge w:val="continue"/>
            <w:tcBorders>
              <w:top w:val="nil"/>
              <w:bottom w:val="nil"/>
            </w:tcBorders>
            <w:vAlign w:val="top"/>
          </w:tcPr>
          <w:p w14:paraId="02D4E7A0">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484C8916">
            <w:pPr>
              <w:pStyle w:val="65"/>
              <w:spacing w:before="117" w:line="214" w:lineRule="auto"/>
              <w:ind w:left="615"/>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红白喜事厅</w:t>
            </w:r>
          </w:p>
        </w:tc>
        <w:tc>
          <w:tcPr>
            <w:tcW w:w="1621" w:type="dxa"/>
            <w:vAlign w:val="top"/>
          </w:tcPr>
          <w:p w14:paraId="64337192">
            <w:pPr>
              <w:pStyle w:val="65"/>
              <w:spacing w:before="230" w:line="162" w:lineRule="exact"/>
              <w:ind w:left="58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622" w:type="dxa"/>
            <w:vAlign w:val="top"/>
          </w:tcPr>
          <w:p w14:paraId="1EFC411F">
            <w:pPr>
              <w:spacing w:before="102" w:line="266" w:lineRule="exact"/>
              <w:ind w:left="72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5"/>
                <w:sz w:val="28"/>
                <w:szCs w:val="28"/>
                <w:highlight w:val="none"/>
                <w14:textFill>
                  <w14:solidFill>
                    <w14:schemeClr w14:val="tx1"/>
                  </w14:solidFill>
                </w14:textFill>
              </w:rPr>
              <w:drawing>
                <wp:inline distT="0" distB="0" distL="0" distR="0">
                  <wp:extent cx="122555" cy="168275"/>
                  <wp:effectExtent l="0" t="0" r="10795" b="254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3"/>
                          <a:stretch>
                            <a:fillRect/>
                          </a:stretch>
                        </pic:blipFill>
                        <pic:spPr>
                          <a:xfrm>
                            <a:off x="0" y="0"/>
                            <a:ext cx="122986" cy="168859"/>
                          </a:xfrm>
                          <a:prstGeom prst="rect">
                            <a:avLst/>
                          </a:prstGeom>
                        </pic:spPr>
                      </pic:pic>
                    </a:graphicData>
                  </a:graphic>
                </wp:inline>
              </w:drawing>
            </w:r>
          </w:p>
        </w:tc>
        <w:tc>
          <w:tcPr>
            <w:tcW w:w="1771" w:type="dxa"/>
            <w:vAlign w:val="top"/>
          </w:tcPr>
          <w:p w14:paraId="6B43CE58">
            <w:pPr>
              <w:pStyle w:val="65"/>
              <w:spacing w:before="118" w:line="217"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宜综合设置</w:t>
            </w:r>
          </w:p>
        </w:tc>
      </w:tr>
      <w:tr w14:paraId="36D60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tcBorders>
            <w:vAlign w:val="top"/>
          </w:tcPr>
          <w:p w14:paraId="508F4290">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6F2CBAC0">
            <w:pPr>
              <w:pStyle w:val="65"/>
              <w:spacing w:before="118" w:line="216" w:lineRule="auto"/>
              <w:ind w:left="372"/>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2"/>
                <w:sz w:val="28"/>
                <w:szCs w:val="28"/>
                <w:highlight w:val="none"/>
                <w14:textFill>
                  <w14:solidFill>
                    <w14:schemeClr w14:val="tx1"/>
                  </w14:solidFill>
                </w14:textFill>
              </w:rPr>
              <w:t>特色民俗活动点</w:t>
            </w:r>
          </w:p>
        </w:tc>
        <w:tc>
          <w:tcPr>
            <w:tcW w:w="1621" w:type="dxa"/>
            <w:vAlign w:val="top"/>
          </w:tcPr>
          <w:p w14:paraId="71FDAF4B">
            <w:pPr>
              <w:pStyle w:val="65"/>
              <w:spacing w:before="230" w:line="163" w:lineRule="exact"/>
              <w:ind w:left="58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622" w:type="dxa"/>
            <w:vAlign w:val="top"/>
          </w:tcPr>
          <w:p w14:paraId="2DD75822">
            <w:pPr>
              <w:spacing w:before="103" w:line="266" w:lineRule="exact"/>
              <w:ind w:left="72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5"/>
                <w:sz w:val="28"/>
                <w:szCs w:val="28"/>
                <w:highlight w:val="none"/>
                <w14:textFill>
                  <w14:solidFill>
                    <w14:schemeClr w14:val="tx1"/>
                  </w14:solidFill>
                </w14:textFill>
              </w:rPr>
              <w:drawing>
                <wp:inline distT="0" distB="0" distL="0" distR="0">
                  <wp:extent cx="122555" cy="168275"/>
                  <wp:effectExtent l="0" t="0" r="10795" b="254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
                          <a:stretch>
                            <a:fillRect/>
                          </a:stretch>
                        </pic:blipFill>
                        <pic:spPr>
                          <a:xfrm>
                            <a:off x="0" y="0"/>
                            <a:ext cx="122986" cy="168859"/>
                          </a:xfrm>
                          <a:prstGeom prst="rect">
                            <a:avLst/>
                          </a:prstGeom>
                        </pic:spPr>
                      </pic:pic>
                    </a:graphicData>
                  </a:graphic>
                </wp:inline>
              </w:drawing>
            </w:r>
          </w:p>
        </w:tc>
        <w:tc>
          <w:tcPr>
            <w:tcW w:w="1771" w:type="dxa"/>
            <w:vAlign w:val="top"/>
          </w:tcPr>
          <w:p w14:paraId="0559547F">
            <w:pPr>
              <w:pStyle w:val="65"/>
              <w:spacing w:before="118" w:line="217"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宜综合设置</w:t>
            </w:r>
          </w:p>
        </w:tc>
      </w:tr>
      <w:tr w14:paraId="37F31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417" w:type="dxa"/>
            <w:vMerge w:val="restart"/>
            <w:tcBorders>
              <w:bottom w:val="nil"/>
            </w:tcBorders>
            <w:vAlign w:val="top"/>
          </w:tcPr>
          <w:p w14:paraId="6A9F198A">
            <w:pPr>
              <w:spacing w:line="258" w:lineRule="auto"/>
              <w:rPr>
                <w:rFonts w:hint="eastAsia" w:ascii="仿宋" w:hAnsi="仿宋" w:eastAsia="仿宋" w:cs="仿宋"/>
                <w:color w:val="000000" w:themeColor="text1"/>
                <w:sz w:val="28"/>
                <w:szCs w:val="28"/>
                <w:highlight w:val="none"/>
                <w14:textFill>
                  <w14:solidFill>
                    <w14:schemeClr w14:val="tx1"/>
                  </w14:solidFill>
                </w14:textFill>
              </w:rPr>
            </w:pPr>
          </w:p>
          <w:p w14:paraId="0CFC4C87">
            <w:pPr>
              <w:spacing w:line="258" w:lineRule="auto"/>
              <w:rPr>
                <w:rFonts w:hint="eastAsia" w:ascii="仿宋" w:hAnsi="仿宋" w:eastAsia="仿宋" w:cs="仿宋"/>
                <w:color w:val="000000" w:themeColor="text1"/>
                <w:sz w:val="28"/>
                <w:szCs w:val="28"/>
                <w:highlight w:val="none"/>
                <w14:textFill>
                  <w14:solidFill>
                    <w14:schemeClr w14:val="tx1"/>
                  </w14:solidFill>
                </w14:textFill>
              </w:rPr>
            </w:pPr>
          </w:p>
          <w:p w14:paraId="01FB9944">
            <w:pPr>
              <w:pStyle w:val="65"/>
              <w:spacing w:before="78" w:line="214" w:lineRule="auto"/>
              <w:ind w:left="228"/>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1"/>
                <w:sz w:val="28"/>
                <w:szCs w:val="28"/>
                <w:highlight w:val="none"/>
                <w14:textFill>
                  <w14:solidFill>
                    <w14:schemeClr w14:val="tx1"/>
                  </w14:solidFill>
                </w14:textFill>
              </w:rPr>
              <w:t>体育健康</w:t>
            </w:r>
          </w:p>
        </w:tc>
        <w:tc>
          <w:tcPr>
            <w:tcW w:w="2408" w:type="dxa"/>
            <w:vAlign w:val="top"/>
          </w:tcPr>
          <w:p w14:paraId="493992DE">
            <w:pPr>
              <w:pStyle w:val="65"/>
              <w:spacing w:before="120" w:line="214" w:lineRule="auto"/>
              <w:ind w:left="523"/>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8"/>
                <w:sz w:val="28"/>
                <w:szCs w:val="28"/>
                <w:highlight w:val="none"/>
                <w14:textFill>
                  <w14:solidFill>
                    <w14:schemeClr w14:val="tx1"/>
                  </w14:solidFill>
                </w14:textFill>
              </w:rPr>
              <w:t>乡镇体育中心</w:t>
            </w:r>
          </w:p>
        </w:tc>
        <w:tc>
          <w:tcPr>
            <w:tcW w:w="1621" w:type="dxa"/>
            <w:vAlign w:val="top"/>
          </w:tcPr>
          <w:p w14:paraId="5054EE68">
            <w:pPr>
              <w:spacing w:before="103" w:line="266" w:lineRule="exact"/>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5"/>
                <w:sz w:val="28"/>
                <w:szCs w:val="28"/>
                <w:highlight w:val="none"/>
                <w14:textFill>
                  <w14:solidFill>
                    <w14:schemeClr w14:val="tx1"/>
                  </w14:solidFill>
                </w14:textFill>
              </w:rPr>
              <w:drawing>
                <wp:inline distT="0" distB="0" distL="0" distR="0">
                  <wp:extent cx="122555" cy="168275"/>
                  <wp:effectExtent l="0" t="0" r="10795" b="254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
                          <a:stretch>
                            <a:fillRect/>
                          </a:stretch>
                        </pic:blipFill>
                        <pic:spPr>
                          <a:xfrm>
                            <a:off x="0" y="0"/>
                            <a:ext cx="122986" cy="168859"/>
                          </a:xfrm>
                          <a:prstGeom prst="rect">
                            <a:avLst/>
                          </a:prstGeom>
                        </pic:spPr>
                      </pic:pic>
                    </a:graphicData>
                  </a:graphic>
                </wp:inline>
              </w:drawing>
            </w:r>
          </w:p>
        </w:tc>
        <w:tc>
          <w:tcPr>
            <w:tcW w:w="1622" w:type="dxa"/>
            <w:vAlign w:val="top"/>
          </w:tcPr>
          <w:p w14:paraId="7B901303">
            <w:pPr>
              <w:pStyle w:val="65"/>
              <w:spacing w:before="232" w:line="163" w:lineRule="exact"/>
              <w:ind w:left="59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771" w:type="dxa"/>
            <w:vAlign w:val="top"/>
          </w:tcPr>
          <w:p w14:paraId="277F583B">
            <w:pPr>
              <w:pStyle w:val="65"/>
              <w:spacing w:before="120" w:line="217" w:lineRule="auto"/>
              <w:ind w:left="302"/>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可综合设置</w:t>
            </w:r>
          </w:p>
        </w:tc>
      </w:tr>
      <w:tr w14:paraId="4A261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bottom w:val="nil"/>
            </w:tcBorders>
            <w:vAlign w:val="top"/>
          </w:tcPr>
          <w:p w14:paraId="03C85AC9">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7C37E53A">
            <w:pPr>
              <w:pStyle w:val="65"/>
              <w:spacing w:before="121" w:line="214" w:lineRule="auto"/>
              <w:ind w:left="265"/>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室外综合健身场地</w:t>
            </w:r>
          </w:p>
        </w:tc>
        <w:tc>
          <w:tcPr>
            <w:tcW w:w="1621" w:type="dxa"/>
            <w:vAlign w:val="top"/>
          </w:tcPr>
          <w:p w14:paraId="3B6E3D07">
            <w:pPr>
              <w:spacing w:before="109" w:line="206" w:lineRule="auto"/>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622" w:type="dxa"/>
            <w:vAlign w:val="top"/>
          </w:tcPr>
          <w:p w14:paraId="13C9D658">
            <w:pPr>
              <w:pStyle w:val="65"/>
              <w:spacing w:before="233" w:line="163" w:lineRule="exact"/>
              <w:ind w:left="59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771" w:type="dxa"/>
            <w:vAlign w:val="top"/>
          </w:tcPr>
          <w:p w14:paraId="359AF346">
            <w:pPr>
              <w:pStyle w:val="65"/>
              <w:spacing w:before="121" w:line="217"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宜综合设置</w:t>
            </w:r>
          </w:p>
        </w:tc>
      </w:tr>
      <w:tr w14:paraId="02886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tcBorders>
            <w:vAlign w:val="top"/>
          </w:tcPr>
          <w:p w14:paraId="2F76E7D4">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07E123AB">
            <w:pPr>
              <w:pStyle w:val="65"/>
              <w:spacing w:before="120" w:line="216" w:lineRule="auto"/>
              <w:ind w:left="726"/>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2"/>
                <w:sz w:val="28"/>
                <w:szCs w:val="28"/>
                <w:highlight w:val="none"/>
                <w14:textFill>
                  <w14:solidFill>
                    <w14:schemeClr w14:val="tx1"/>
                  </w14:solidFill>
                </w14:textFill>
              </w:rPr>
              <w:t>健身广场</w:t>
            </w:r>
          </w:p>
        </w:tc>
        <w:tc>
          <w:tcPr>
            <w:tcW w:w="1621" w:type="dxa"/>
            <w:vAlign w:val="top"/>
          </w:tcPr>
          <w:p w14:paraId="5E17BC5F">
            <w:pPr>
              <w:pStyle w:val="65"/>
              <w:spacing w:before="232" w:line="163" w:lineRule="exact"/>
              <w:ind w:left="58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622" w:type="dxa"/>
            <w:vAlign w:val="top"/>
          </w:tcPr>
          <w:p w14:paraId="1A0A447E">
            <w:pPr>
              <w:spacing w:before="103" w:line="266" w:lineRule="exact"/>
              <w:ind w:left="72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5"/>
                <w:sz w:val="28"/>
                <w:szCs w:val="28"/>
                <w:highlight w:val="none"/>
                <w14:textFill>
                  <w14:solidFill>
                    <w14:schemeClr w14:val="tx1"/>
                  </w14:solidFill>
                </w14:textFill>
              </w:rPr>
              <w:drawing>
                <wp:inline distT="0" distB="0" distL="0" distR="0">
                  <wp:extent cx="122555" cy="168275"/>
                  <wp:effectExtent l="0" t="0" r="10795" b="254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3"/>
                          <a:stretch>
                            <a:fillRect/>
                          </a:stretch>
                        </pic:blipFill>
                        <pic:spPr>
                          <a:xfrm>
                            <a:off x="0" y="0"/>
                            <a:ext cx="122986" cy="168859"/>
                          </a:xfrm>
                          <a:prstGeom prst="rect">
                            <a:avLst/>
                          </a:prstGeom>
                        </pic:spPr>
                      </pic:pic>
                    </a:graphicData>
                  </a:graphic>
                </wp:inline>
              </w:drawing>
            </w:r>
          </w:p>
        </w:tc>
        <w:tc>
          <w:tcPr>
            <w:tcW w:w="1771" w:type="dxa"/>
            <w:vAlign w:val="top"/>
          </w:tcPr>
          <w:p w14:paraId="41FA9A75">
            <w:pPr>
              <w:pStyle w:val="65"/>
              <w:spacing w:before="120" w:line="217"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宜综合设置</w:t>
            </w:r>
          </w:p>
        </w:tc>
      </w:tr>
      <w:tr w14:paraId="38757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restart"/>
            <w:tcBorders>
              <w:bottom w:val="nil"/>
            </w:tcBorders>
            <w:vAlign w:val="top"/>
          </w:tcPr>
          <w:p w14:paraId="145AE9CB">
            <w:pPr>
              <w:spacing w:line="258" w:lineRule="auto"/>
              <w:rPr>
                <w:rFonts w:hint="eastAsia" w:ascii="仿宋" w:hAnsi="仿宋" w:eastAsia="仿宋" w:cs="仿宋"/>
                <w:color w:val="000000" w:themeColor="text1"/>
                <w:sz w:val="28"/>
                <w:szCs w:val="28"/>
                <w:highlight w:val="none"/>
                <w14:textFill>
                  <w14:solidFill>
                    <w14:schemeClr w14:val="tx1"/>
                  </w14:solidFill>
                </w14:textFill>
              </w:rPr>
            </w:pPr>
          </w:p>
          <w:p w14:paraId="45C03B78">
            <w:pPr>
              <w:spacing w:line="258" w:lineRule="auto"/>
              <w:rPr>
                <w:rFonts w:hint="eastAsia" w:ascii="仿宋" w:hAnsi="仿宋" w:eastAsia="仿宋" w:cs="仿宋"/>
                <w:color w:val="000000" w:themeColor="text1"/>
                <w:sz w:val="28"/>
                <w:szCs w:val="28"/>
                <w:highlight w:val="none"/>
                <w14:textFill>
                  <w14:solidFill>
                    <w14:schemeClr w14:val="tx1"/>
                  </w14:solidFill>
                </w14:textFill>
              </w:rPr>
            </w:pPr>
          </w:p>
          <w:p w14:paraId="07975145">
            <w:pPr>
              <w:pStyle w:val="65"/>
              <w:spacing w:before="78" w:line="214" w:lineRule="auto"/>
              <w:ind w:left="24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商业服务</w:t>
            </w:r>
          </w:p>
        </w:tc>
        <w:tc>
          <w:tcPr>
            <w:tcW w:w="2408" w:type="dxa"/>
            <w:vAlign w:val="top"/>
          </w:tcPr>
          <w:p w14:paraId="29E79BC8">
            <w:pPr>
              <w:pStyle w:val="65"/>
              <w:spacing w:before="120" w:line="216" w:lineRule="auto"/>
              <w:ind w:left="847"/>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
                <w:sz w:val="28"/>
                <w:szCs w:val="28"/>
                <w:highlight w:val="none"/>
                <w14:textFill>
                  <w14:solidFill>
                    <w14:schemeClr w14:val="tx1"/>
                  </w14:solidFill>
                </w14:textFill>
              </w:rPr>
              <w:t>菜市场</w:t>
            </w:r>
          </w:p>
        </w:tc>
        <w:tc>
          <w:tcPr>
            <w:tcW w:w="1621" w:type="dxa"/>
            <w:vAlign w:val="top"/>
          </w:tcPr>
          <w:p w14:paraId="09F1557A">
            <w:pPr>
              <w:spacing w:before="111" w:line="205" w:lineRule="auto"/>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622" w:type="dxa"/>
            <w:vAlign w:val="top"/>
          </w:tcPr>
          <w:p w14:paraId="45006850">
            <w:pPr>
              <w:pStyle w:val="65"/>
              <w:spacing w:before="232" w:line="163" w:lineRule="exact"/>
              <w:ind w:left="59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771" w:type="dxa"/>
            <w:vAlign w:val="top"/>
          </w:tcPr>
          <w:p w14:paraId="006174E8">
            <w:pPr>
              <w:pStyle w:val="65"/>
              <w:spacing w:before="120" w:line="217" w:lineRule="auto"/>
              <w:ind w:left="302"/>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可综合设置</w:t>
            </w:r>
          </w:p>
        </w:tc>
      </w:tr>
      <w:tr w14:paraId="38BDD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17" w:type="dxa"/>
            <w:vMerge w:val="continue"/>
            <w:tcBorders>
              <w:top w:val="nil"/>
              <w:bottom w:val="nil"/>
            </w:tcBorders>
            <w:vAlign w:val="top"/>
          </w:tcPr>
          <w:p w14:paraId="33497F96">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05D7B154">
            <w:pPr>
              <w:pStyle w:val="65"/>
              <w:spacing w:before="119" w:line="214" w:lineRule="auto"/>
              <w:ind w:left="50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邮政营业场所</w:t>
            </w:r>
          </w:p>
        </w:tc>
        <w:tc>
          <w:tcPr>
            <w:tcW w:w="1621" w:type="dxa"/>
            <w:vAlign w:val="top"/>
          </w:tcPr>
          <w:p w14:paraId="3BF5A820">
            <w:pPr>
              <w:spacing w:before="111" w:line="205" w:lineRule="auto"/>
              <w:ind w:left="72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622" w:type="dxa"/>
            <w:vAlign w:val="top"/>
          </w:tcPr>
          <w:p w14:paraId="1C69150F">
            <w:pPr>
              <w:pStyle w:val="65"/>
              <w:spacing w:before="232" w:line="162" w:lineRule="exact"/>
              <w:ind w:left="59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771" w:type="dxa"/>
            <w:vAlign w:val="top"/>
          </w:tcPr>
          <w:p w14:paraId="765867AA">
            <w:pPr>
              <w:pStyle w:val="65"/>
              <w:spacing w:before="120" w:line="217" w:lineRule="auto"/>
              <w:ind w:left="302"/>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可综合设置</w:t>
            </w:r>
          </w:p>
        </w:tc>
      </w:tr>
      <w:tr w14:paraId="1F584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417" w:type="dxa"/>
            <w:vMerge w:val="continue"/>
            <w:tcBorders>
              <w:top w:val="nil"/>
              <w:bottom w:val="nil"/>
            </w:tcBorders>
            <w:vAlign w:val="top"/>
          </w:tcPr>
          <w:p w14:paraId="6B371DAC">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32A680D3">
            <w:pPr>
              <w:pStyle w:val="65"/>
              <w:spacing w:before="119" w:line="214" w:lineRule="auto"/>
              <w:ind w:left="60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2"/>
                <w:sz w:val="28"/>
                <w:szCs w:val="28"/>
                <w:highlight w:val="none"/>
                <w14:textFill>
                  <w14:solidFill>
                    <w14:schemeClr w14:val="tx1"/>
                  </w14:solidFill>
                </w14:textFill>
              </w:rPr>
              <w:t>便民农家店</w:t>
            </w:r>
          </w:p>
        </w:tc>
        <w:tc>
          <w:tcPr>
            <w:tcW w:w="1621" w:type="dxa"/>
            <w:vAlign w:val="top"/>
          </w:tcPr>
          <w:p w14:paraId="6C50C5FB">
            <w:pPr>
              <w:pStyle w:val="65"/>
              <w:spacing w:before="231" w:line="163" w:lineRule="exact"/>
              <w:ind w:left="589"/>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622" w:type="dxa"/>
            <w:vAlign w:val="top"/>
          </w:tcPr>
          <w:p w14:paraId="5AB3F9CF">
            <w:pPr>
              <w:spacing w:before="109" w:line="207" w:lineRule="auto"/>
              <w:ind w:left="72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771" w:type="dxa"/>
            <w:vAlign w:val="top"/>
          </w:tcPr>
          <w:p w14:paraId="4B69ED44">
            <w:pPr>
              <w:pStyle w:val="65"/>
              <w:spacing w:before="119" w:line="217" w:lineRule="auto"/>
              <w:ind w:left="304"/>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宜综合设置</w:t>
            </w:r>
          </w:p>
        </w:tc>
      </w:tr>
      <w:tr w14:paraId="3E19A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417" w:type="dxa"/>
            <w:tcBorders>
              <w:top w:val="nil"/>
              <w:bottom w:val="nil"/>
            </w:tcBorders>
            <w:vAlign w:val="top"/>
          </w:tcPr>
          <w:p w14:paraId="5975A53B">
            <w:pPr>
              <w:rPr>
                <w:rFonts w:hint="eastAsia" w:ascii="仿宋" w:hAnsi="仿宋" w:eastAsia="仿宋" w:cs="仿宋"/>
                <w:color w:val="000000" w:themeColor="text1"/>
                <w:sz w:val="28"/>
                <w:szCs w:val="28"/>
                <w:highlight w:val="none"/>
                <w14:textFill>
                  <w14:solidFill>
                    <w14:schemeClr w14:val="tx1"/>
                  </w14:solidFill>
                </w14:textFill>
              </w:rPr>
            </w:pPr>
          </w:p>
        </w:tc>
        <w:tc>
          <w:tcPr>
            <w:tcW w:w="2408" w:type="dxa"/>
            <w:vAlign w:val="top"/>
          </w:tcPr>
          <w:p w14:paraId="79AC3C18">
            <w:pPr>
              <w:pStyle w:val="65"/>
              <w:spacing w:before="118" w:line="214" w:lineRule="auto"/>
              <w:ind w:left="371" w:leftChars="0"/>
              <w:rPr>
                <w:rFonts w:hint="eastAsia" w:ascii="仿宋" w:hAnsi="仿宋" w:eastAsia="仿宋" w:cs="仿宋"/>
                <w:color w:val="000000" w:themeColor="text1"/>
                <w:spacing w:val="-2"/>
                <w:sz w:val="28"/>
                <w:szCs w:val="28"/>
                <w:highlight w:val="none"/>
                <w14:textFill>
                  <w14:solidFill>
                    <w14:schemeClr w14:val="tx1"/>
                  </w14:solidFill>
                </w14:textFill>
              </w:rPr>
            </w:pPr>
            <w:r>
              <w:rPr>
                <w:rFonts w:hint="eastAsia" w:ascii="仿宋" w:hAnsi="仿宋" w:eastAsia="仿宋" w:cs="仿宋"/>
                <w:color w:val="000000" w:themeColor="text1"/>
                <w:spacing w:val="-2"/>
                <w:sz w:val="28"/>
                <w:szCs w:val="28"/>
                <w:highlight w:val="none"/>
                <w14:textFill>
                  <w14:solidFill>
                    <w14:schemeClr w14:val="tx1"/>
                  </w14:solidFill>
                </w14:textFill>
              </w:rPr>
              <w:t>金融电信服务点</w:t>
            </w:r>
          </w:p>
        </w:tc>
        <w:tc>
          <w:tcPr>
            <w:tcW w:w="1621" w:type="dxa"/>
            <w:vAlign w:val="top"/>
          </w:tcPr>
          <w:p w14:paraId="3172EF1B">
            <w:pPr>
              <w:pStyle w:val="65"/>
              <w:spacing w:before="230" w:line="163" w:lineRule="exact"/>
              <w:ind w:left="589" w:leftChars="0"/>
              <w:rPr>
                <w:rFonts w:hint="eastAsia" w:ascii="仿宋" w:hAnsi="仿宋" w:eastAsia="仿宋" w:cs="仿宋"/>
                <w:color w:val="000000" w:themeColor="text1"/>
                <w:position w:val="-4"/>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622" w:type="dxa"/>
            <w:vAlign w:val="top"/>
          </w:tcPr>
          <w:p w14:paraId="6A3C510E">
            <w:pPr>
              <w:spacing w:before="101" w:line="266" w:lineRule="exact"/>
              <w:ind w:left="724" w:leftChars="0"/>
              <w:rPr>
                <w:rFonts w:hint="eastAsia" w:ascii="仿宋" w:hAnsi="仿宋" w:eastAsia="仿宋" w:cs="仿宋"/>
                <w:color w:val="000000" w:themeColor="text1"/>
                <w:spacing w:val="37"/>
                <w:sz w:val="28"/>
                <w:szCs w:val="28"/>
                <w:highlight w:val="none"/>
                <w14:textFill>
                  <w14:solidFill>
                    <w14:schemeClr w14:val="tx1"/>
                  </w14:solidFill>
                </w14:textFill>
              </w:rPr>
            </w:pPr>
            <w:r>
              <w:rPr>
                <w:rFonts w:hint="eastAsia" w:ascii="仿宋" w:hAnsi="仿宋" w:eastAsia="仿宋" w:cs="仿宋"/>
                <w:color w:val="000000" w:themeColor="text1"/>
                <w:position w:val="-5"/>
                <w:sz w:val="28"/>
                <w:szCs w:val="28"/>
                <w:highlight w:val="none"/>
                <w14:textFill>
                  <w14:solidFill>
                    <w14:schemeClr w14:val="tx1"/>
                  </w14:solidFill>
                </w14:textFill>
              </w:rPr>
              <w:drawing>
                <wp:inline distT="0" distB="0" distL="0" distR="0">
                  <wp:extent cx="122555" cy="168275"/>
                  <wp:effectExtent l="0" t="0" r="10795" b="2540"/>
                  <wp:docPr id="9" name="IM 26"/>
                  <wp:cNvGraphicFramePr/>
                  <a:graphic xmlns:a="http://schemas.openxmlformats.org/drawingml/2006/main">
                    <a:graphicData uri="http://schemas.openxmlformats.org/drawingml/2006/picture">
                      <pic:pic xmlns:pic="http://schemas.openxmlformats.org/drawingml/2006/picture">
                        <pic:nvPicPr>
                          <pic:cNvPr id="9" name="IM 26"/>
                          <pic:cNvPicPr/>
                        </pic:nvPicPr>
                        <pic:blipFill>
                          <a:blip r:embed="rId12"/>
                          <a:stretch>
                            <a:fillRect/>
                          </a:stretch>
                        </pic:blipFill>
                        <pic:spPr>
                          <a:xfrm>
                            <a:off x="0" y="0"/>
                            <a:ext cx="122986" cy="168859"/>
                          </a:xfrm>
                          <a:prstGeom prst="rect">
                            <a:avLst/>
                          </a:prstGeom>
                        </pic:spPr>
                      </pic:pic>
                    </a:graphicData>
                  </a:graphic>
                </wp:inline>
              </w:drawing>
            </w:r>
          </w:p>
        </w:tc>
        <w:tc>
          <w:tcPr>
            <w:tcW w:w="1771" w:type="dxa"/>
            <w:vAlign w:val="top"/>
          </w:tcPr>
          <w:p w14:paraId="7D950D97">
            <w:pPr>
              <w:pStyle w:val="65"/>
              <w:spacing w:before="119" w:line="217" w:lineRule="auto"/>
              <w:ind w:left="304" w:leftChars="0"/>
              <w:rPr>
                <w:rFonts w:hint="eastAsia" w:ascii="仿宋" w:hAnsi="仿宋" w:eastAsia="仿宋" w:cs="仿宋"/>
                <w:color w:val="000000" w:themeColor="text1"/>
                <w:spacing w:val="-5"/>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宜综合设置</w:t>
            </w:r>
          </w:p>
        </w:tc>
      </w:tr>
      <w:tr w14:paraId="572B3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417" w:type="dxa"/>
            <w:tcBorders>
              <w:top w:val="nil"/>
            </w:tcBorders>
            <w:vAlign w:val="top"/>
          </w:tcPr>
          <w:p w14:paraId="7996793F">
            <w:pPr>
              <w:pStyle w:val="65"/>
              <w:spacing w:before="118" w:line="214" w:lineRule="auto"/>
              <w:ind w:left="234" w:leftChars="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3"/>
                <w:sz w:val="28"/>
                <w:szCs w:val="28"/>
                <w:highlight w:val="none"/>
                <w14:textFill>
                  <w14:solidFill>
                    <w14:schemeClr w14:val="tx1"/>
                  </w14:solidFill>
                </w14:textFill>
              </w:rPr>
              <w:t>行政管理</w:t>
            </w:r>
          </w:p>
        </w:tc>
        <w:tc>
          <w:tcPr>
            <w:tcW w:w="2408" w:type="dxa"/>
            <w:vAlign w:val="top"/>
          </w:tcPr>
          <w:p w14:paraId="2035D7B7">
            <w:pPr>
              <w:pStyle w:val="65"/>
              <w:spacing w:before="118" w:line="214" w:lineRule="auto"/>
              <w:ind w:left="849" w:leftChars="0"/>
              <w:rPr>
                <w:rFonts w:hint="eastAsia" w:ascii="仿宋" w:hAnsi="仿宋" w:eastAsia="仿宋" w:cs="仿宋"/>
                <w:color w:val="000000" w:themeColor="text1"/>
                <w:spacing w:val="-2"/>
                <w:sz w:val="28"/>
                <w:szCs w:val="28"/>
                <w:highlight w:val="none"/>
                <w14:textFill>
                  <w14:solidFill>
                    <w14:schemeClr w14:val="tx1"/>
                  </w14:solidFill>
                </w14:textFill>
              </w:rPr>
            </w:pPr>
            <w:r>
              <w:rPr>
                <w:rFonts w:hint="eastAsia" w:ascii="仿宋" w:hAnsi="仿宋" w:eastAsia="仿宋" w:cs="仿宋"/>
                <w:color w:val="000000" w:themeColor="text1"/>
                <w:spacing w:val="-4"/>
                <w:sz w:val="28"/>
                <w:szCs w:val="28"/>
                <w:highlight w:val="none"/>
                <w14:textFill>
                  <w14:solidFill>
                    <w14:schemeClr w14:val="tx1"/>
                  </w14:solidFill>
                </w14:textFill>
              </w:rPr>
              <w:t>村务室</w:t>
            </w:r>
          </w:p>
        </w:tc>
        <w:tc>
          <w:tcPr>
            <w:tcW w:w="1621" w:type="dxa"/>
            <w:vAlign w:val="top"/>
          </w:tcPr>
          <w:p w14:paraId="72FC21A6">
            <w:pPr>
              <w:pStyle w:val="65"/>
              <w:spacing w:before="231" w:line="163" w:lineRule="exact"/>
              <w:ind w:left="589" w:leftChars="0"/>
              <w:rPr>
                <w:rFonts w:hint="eastAsia" w:ascii="仿宋" w:hAnsi="仿宋" w:eastAsia="仿宋" w:cs="仿宋"/>
                <w:color w:val="000000" w:themeColor="text1"/>
                <w:position w:val="-4"/>
                <w:sz w:val="28"/>
                <w:szCs w:val="28"/>
                <w:highlight w:val="none"/>
                <w14:textFill>
                  <w14:solidFill>
                    <w14:schemeClr w14:val="tx1"/>
                  </w14:solidFill>
                </w14:textFill>
              </w:rPr>
            </w:pPr>
            <w:r>
              <w:rPr>
                <w:rFonts w:hint="eastAsia" w:ascii="仿宋" w:hAnsi="仿宋" w:eastAsia="仿宋" w:cs="仿宋"/>
                <w:color w:val="000000" w:themeColor="text1"/>
                <w:position w:val="-4"/>
                <w:sz w:val="28"/>
                <w:szCs w:val="28"/>
                <w:highlight w:val="none"/>
                <w14:textFill>
                  <w14:solidFill>
                    <w14:schemeClr w14:val="tx1"/>
                  </w14:solidFill>
                </w14:textFill>
              </w:rPr>
              <w:t>——</w:t>
            </w:r>
          </w:p>
        </w:tc>
        <w:tc>
          <w:tcPr>
            <w:tcW w:w="1622" w:type="dxa"/>
            <w:vAlign w:val="top"/>
          </w:tcPr>
          <w:p w14:paraId="13D23DF6">
            <w:pPr>
              <w:spacing w:before="110" w:line="207" w:lineRule="auto"/>
              <w:ind w:left="724" w:leftChars="0"/>
              <w:rPr>
                <w:rFonts w:hint="eastAsia" w:ascii="仿宋" w:hAnsi="仿宋" w:eastAsia="仿宋" w:cs="仿宋"/>
                <w:color w:val="000000" w:themeColor="text1"/>
                <w:spacing w:val="37"/>
                <w:sz w:val="28"/>
                <w:szCs w:val="28"/>
                <w:highlight w:val="none"/>
                <w14:textFill>
                  <w14:solidFill>
                    <w14:schemeClr w14:val="tx1"/>
                  </w14:solidFill>
                </w14:textFill>
              </w:rPr>
            </w:pPr>
            <w:r>
              <w:rPr>
                <w:rFonts w:hint="eastAsia" w:ascii="仿宋" w:hAnsi="仿宋" w:eastAsia="仿宋" w:cs="仿宋"/>
                <w:color w:val="000000" w:themeColor="text1"/>
                <w:spacing w:val="37"/>
                <w:sz w:val="28"/>
                <w:szCs w:val="28"/>
                <w:highlight w:val="none"/>
                <w14:textFill>
                  <w14:solidFill>
                    <w14:schemeClr w14:val="tx1"/>
                  </w14:solidFill>
                </w14:textFill>
              </w:rPr>
              <w:t>●</w:t>
            </w:r>
          </w:p>
        </w:tc>
        <w:tc>
          <w:tcPr>
            <w:tcW w:w="1771" w:type="dxa"/>
            <w:vAlign w:val="top"/>
          </w:tcPr>
          <w:p w14:paraId="73B5D171">
            <w:pPr>
              <w:pStyle w:val="65"/>
              <w:spacing w:before="119" w:line="217" w:lineRule="auto"/>
              <w:ind w:left="304" w:leftChars="0"/>
              <w:rPr>
                <w:rFonts w:hint="eastAsia" w:ascii="仿宋" w:hAnsi="仿宋" w:eastAsia="仿宋" w:cs="仿宋"/>
                <w:color w:val="000000" w:themeColor="text1"/>
                <w:spacing w:val="-5"/>
                <w:sz w:val="28"/>
                <w:szCs w:val="28"/>
                <w:highlight w:val="none"/>
                <w14:textFill>
                  <w14:solidFill>
                    <w14:schemeClr w14:val="tx1"/>
                  </w14:solidFill>
                </w14:textFill>
              </w:rPr>
            </w:pPr>
            <w:r>
              <w:rPr>
                <w:rFonts w:hint="eastAsia" w:ascii="仿宋" w:hAnsi="仿宋" w:eastAsia="仿宋" w:cs="仿宋"/>
                <w:color w:val="000000" w:themeColor="text1"/>
                <w:spacing w:val="-5"/>
                <w:sz w:val="28"/>
                <w:szCs w:val="28"/>
                <w:highlight w:val="none"/>
                <w14:textFill>
                  <w14:solidFill>
                    <w14:schemeClr w14:val="tx1"/>
                  </w14:solidFill>
                </w14:textFill>
              </w:rPr>
              <w:t>宜综合设置</w:t>
            </w:r>
          </w:p>
        </w:tc>
      </w:tr>
    </w:tbl>
    <w:p w14:paraId="07FD2514">
      <w:pPr>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1"/>
          <w:sz w:val="28"/>
          <w:szCs w:val="28"/>
          <w:highlight w:val="none"/>
          <w14:textFill>
            <w14:solidFill>
              <w14:schemeClr w14:val="tx1"/>
            </w14:solidFill>
          </w14:textFill>
        </w:rPr>
        <w:t>注： ●——一般情况下建设；</w:t>
      </w:r>
      <w:r>
        <w:rPr>
          <w:rFonts w:hint="eastAsia" w:ascii="仿宋" w:hAnsi="仿宋" w:eastAsia="仿宋" w:cs="仿宋"/>
          <w:color w:val="000000" w:themeColor="text1"/>
          <w:spacing w:val="-85"/>
          <w:sz w:val="28"/>
          <w:szCs w:val="28"/>
          <w:highlight w:val="none"/>
          <w14:textFill>
            <w14:solidFill>
              <w14:schemeClr w14:val="tx1"/>
            </w14:solidFill>
          </w14:textFill>
        </w:rPr>
        <w:t xml:space="preserve"> </w:t>
      </w:r>
      <w:r>
        <w:rPr>
          <w:rFonts w:hint="eastAsia" w:ascii="仿宋" w:hAnsi="仿宋" w:eastAsia="仿宋" w:cs="仿宋"/>
          <w:color w:val="000000" w:themeColor="text1"/>
          <w:position w:val="-3"/>
          <w:sz w:val="28"/>
          <w:szCs w:val="28"/>
          <w:highlight w:val="none"/>
          <w14:textFill>
            <w14:solidFill>
              <w14:schemeClr w14:val="tx1"/>
            </w14:solidFill>
          </w14:textFill>
        </w:rPr>
        <w:drawing>
          <wp:inline distT="0" distB="0" distL="0" distR="0">
            <wp:extent cx="122555" cy="168275"/>
            <wp:effectExtent l="0" t="0" r="10795" b="254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5"/>
                    <a:stretch>
                      <a:fillRect/>
                    </a:stretch>
                  </pic:blipFill>
                  <pic:spPr>
                    <a:xfrm>
                      <a:off x="0" y="0"/>
                      <a:ext cx="122986" cy="168859"/>
                    </a:xfrm>
                    <a:prstGeom prst="rect">
                      <a:avLst/>
                    </a:prstGeom>
                  </pic:spPr>
                </pic:pic>
              </a:graphicData>
            </a:graphic>
          </wp:inline>
        </w:drawing>
      </w:r>
      <w:r>
        <w:rPr>
          <w:rFonts w:hint="eastAsia" w:ascii="仿宋" w:hAnsi="仿宋" w:eastAsia="仿宋" w:cs="仿宋"/>
          <w:color w:val="000000" w:themeColor="text1"/>
          <w:spacing w:val="1"/>
          <w:sz w:val="28"/>
          <w:szCs w:val="28"/>
          <w:highlight w:val="none"/>
          <w14:textFill>
            <w14:solidFill>
              <w14:schemeClr w14:val="tx1"/>
            </w14:solidFill>
          </w14:textFill>
        </w:rPr>
        <w:t>——有条件情况下建设。</w:t>
      </w:r>
    </w:p>
    <w:p w14:paraId="1AA01729">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szCs w:val="32"/>
          <w:highlight w:val="none"/>
          <w:lang w:val="en-US" w:eastAsia="zh-CN"/>
          <w14:textFill>
            <w14:solidFill>
              <w14:schemeClr w14:val="tx1"/>
            </w14:solidFill>
          </w14:textFill>
        </w:rPr>
      </w:pPr>
      <w:bookmarkStart w:id="119" w:name="bookmark14"/>
      <w:bookmarkEnd w:id="119"/>
      <w:r>
        <w:rPr>
          <w:rFonts w:hint="eastAsia" w:eastAsia="仿宋_GB2312"/>
          <w:color w:val="000000" w:themeColor="text1"/>
          <w:w w:val="105"/>
          <w:sz w:val="32"/>
          <w:szCs w:val="32"/>
          <w:highlight w:val="none"/>
          <w:lang w:val="en-US" w:eastAsia="zh-CN"/>
          <w14:textFill>
            <w14:solidFill>
              <w14:schemeClr w14:val="tx1"/>
            </w14:solidFill>
          </w14:textFill>
        </w:rPr>
        <w:t>乡村市政公用设施用地布局要求</w:t>
      </w:r>
    </w:p>
    <w:p w14:paraId="14CC0682">
      <w:pPr>
        <w:pageBreakBefore w:val="0"/>
        <w:widowControl w:val="0"/>
        <w:kinsoku/>
        <w:wordWrap/>
        <w:overflowPunct/>
        <w:topLinePunct w:val="0"/>
        <w:autoSpaceDE w:val="0"/>
        <w:autoSpaceDN w:val="0"/>
        <w:bidi w:val="0"/>
        <w:adjustRightInd/>
        <w:snapToGrid/>
        <w:spacing w:line="360" w:lineRule="auto"/>
        <w:ind w:left="142" w:firstLine="668"/>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3"/>
          <w:sz w:val="32"/>
          <w:szCs w:val="32"/>
          <w:highlight w:val="none"/>
          <w14:textFill>
            <w14:solidFill>
              <w14:schemeClr w14:val="tx1"/>
            </w14:solidFill>
          </w14:textFill>
        </w:rPr>
        <w:t>乡村市政公用设施应充分考虑地形地貌、防灾减灾、邻避距</w:t>
      </w:r>
      <w:r>
        <w:rPr>
          <w:rFonts w:ascii="仿宋_GB2312" w:hAnsi="仿宋_GB2312" w:eastAsia="仿宋_GB2312" w:cs="仿宋_GB2312"/>
          <w:color w:val="000000" w:themeColor="text1"/>
          <w:spacing w:val="6"/>
          <w:sz w:val="32"/>
          <w:szCs w:val="32"/>
          <w:highlight w:val="none"/>
          <w14:textFill>
            <w14:solidFill>
              <w14:schemeClr w14:val="tx1"/>
            </w14:solidFill>
          </w14:textFill>
        </w:rPr>
        <w:t>离等要素，在满足功能需求的前提下减少对环境和生活的影响。</w:t>
      </w:r>
    </w:p>
    <w:p w14:paraId="12850E69">
      <w:pPr>
        <w:pageBreakBefore w:val="0"/>
        <w:widowControl w:val="0"/>
        <w:kinsoku/>
        <w:wordWrap/>
        <w:overflowPunct/>
        <w:topLinePunct w:val="0"/>
        <w:autoSpaceDE w:val="0"/>
        <w:autoSpaceDN w:val="0"/>
        <w:bidi w:val="0"/>
        <w:adjustRightInd/>
        <w:snapToGrid/>
        <w:spacing w:line="360" w:lineRule="auto"/>
        <w:ind w:left="132" w:right="18" w:firstLine="678"/>
        <w:jc w:val="both"/>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4"/>
          <w:sz w:val="32"/>
          <w:szCs w:val="32"/>
          <w:highlight w:val="none"/>
          <w14:textFill>
            <w14:solidFill>
              <w14:schemeClr w14:val="tx1"/>
            </w14:solidFill>
          </w14:textFill>
        </w:rPr>
        <w:t>乡村污水处理设施布局必须满足水源保护区划定控制要求；</w:t>
      </w:r>
      <w:r>
        <w:rPr>
          <w:rFonts w:ascii="仿宋_GB2312" w:hAnsi="仿宋_GB2312" w:eastAsia="仿宋_GB2312" w:cs="仿宋_GB2312"/>
          <w:color w:val="000000" w:themeColor="text1"/>
          <w:spacing w:val="5"/>
          <w:sz w:val="32"/>
          <w:szCs w:val="32"/>
          <w:highlight w:val="none"/>
          <w14:textFill>
            <w14:solidFill>
              <w14:schemeClr w14:val="tx1"/>
            </w14:solidFill>
          </w14:textFill>
        </w:rPr>
        <w:t>应布置在居民点常年主导风向的下风向、村庄水系下游；宜靠近受纳水体或农田灌溉区；宜设置在便于污水、污泥的收集、排放</w:t>
      </w:r>
      <w:r>
        <w:rPr>
          <w:rFonts w:ascii="仿宋_GB2312" w:hAnsi="仿宋_GB2312" w:eastAsia="仿宋_GB2312" w:cs="仿宋_GB2312"/>
          <w:color w:val="000000" w:themeColor="text1"/>
          <w:spacing w:val="6"/>
          <w:sz w:val="32"/>
          <w:szCs w:val="32"/>
          <w:highlight w:val="none"/>
          <w14:textFill>
            <w14:solidFill>
              <w14:schemeClr w14:val="tx1"/>
            </w14:solidFill>
          </w14:textFill>
        </w:rPr>
        <w:t>和再利用的区域；宜选址在交通、运输及供水供电较方便地段；</w:t>
      </w:r>
      <w:r>
        <w:rPr>
          <w:rFonts w:ascii="仿宋_GB2312" w:hAnsi="仿宋_GB2312" w:eastAsia="仿宋_GB2312" w:cs="仿宋_GB2312"/>
          <w:color w:val="000000" w:themeColor="text1"/>
          <w:spacing w:val="8"/>
          <w:sz w:val="32"/>
          <w:szCs w:val="32"/>
          <w:highlight w:val="none"/>
          <w14:textFill>
            <w14:solidFill>
              <w14:schemeClr w14:val="tx1"/>
            </w14:solidFill>
          </w14:textFill>
        </w:rPr>
        <w:t>远离学校及医院等公共建筑；不宜设置在低洼易涝区。</w:t>
      </w:r>
    </w:p>
    <w:p w14:paraId="252AA66D">
      <w:pPr>
        <w:pageBreakBefore w:val="0"/>
        <w:widowControl w:val="0"/>
        <w:kinsoku/>
        <w:wordWrap/>
        <w:overflowPunct/>
        <w:topLinePunct w:val="0"/>
        <w:autoSpaceDE w:val="0"/>
        <w:autoSpaceDN w:val="0"/>
        <w:bidi w:val="0"/>
        <w:adjustRightInd/>
        <w:snapToGrid/>
        <w:spacing w:line="360" w:lineRule="auto"/>
        <w:ind w:left="120" w:right="18" w:firstLine="689"/>
        <w:jc w:val="both"/>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3"/>
          <w:sz w:val="32"/>
          <w:szCs w:val="32"/>
          <w:highlight w:val="none"/>
          <w14:textFill>
            <w14:solidFill>
              <w14:schemeClr w14:val="tx1"/>
            </w14:solidFill>
          </w14:textFill>
        </w:rPr>
        <w:t>乡村公厕应选择不易积存雨水的地段；宜建在公共场所等人</w:t>
      </w:r>
      <w:r>
        <w:rPr>
          <w:rFonts w:ascii="仿宋_GB2312" w:hAnsi="仿宋_GB2312" w:eastAsia="仿宋_GB2312" w:cs="仿宋_GB2312"/>
          <w:color w:val="000000" w:themeColor="text1"/>
          <w:spacing w:val="5"/>
          <w:sz w:val="32"/>
          <w:szCs w:val="32"/>
          <w:highlight w:val="none"/>
          <w14:textFill>
            <w14:solidFill>
              <w14:schemeClr w14:val="tx1"/>
            </w14:solidFill>
          </w14:textFill>
        </w:rPr>
        <w:t>口较集中的区域；附属式公共厕所可优先考虑与村委会、村民活动中心、老人活动站、卫生站等设施结合建设；独立式公共厕所</w:t>
      </w:r>
      <w:r>
        <w:rPr>
          <w:rFonts w:ascii="仿宋_GB2312" w:hAnsi="仿宋_GB2312" w:eastAsia="仿宋_GB2312" w:cs="仿宋_GB2312"/>
          <w:color w:val="000000" w:themeColor="text1"/>
          <w:spacing w:val="4"/>
          <w:sz w:val="32"/>
          <w:szCs w:val="32"/>
          <w:highlight w:val="none"/>
          <w14:textFill>
            <w14:solidFill>
              <w14:schemeClr w14:val="tx1"/>
            </w14:solidFill>
          </w14:textFill>
        </w:rPr>
        <w:t>可优先考虑建在村入</w:t>
      </w:r>
      <w:r>
        <w:rPr>
          <w:rFonts w:ascii="仿宋_GB2312" w:hAnsi="仿宋_GB2312" w:eastAsia="仿宋_GB2312" w:cs="仿宋_GB2312"/>
          <w:color w:val="000000" w:themeColor="text1"/>
          <w:spacing w:val="-85"/>
          <w:sz w:val="32"/>
          <w:szCs w:val="32"/>
          <w:highlight w:val="none"/>
          <w14:textFill>
            <w14:solidFill>
              <w14:schemeClr w14:val="tx1"/>
            </w14:solidFill>
          </w14:textFill>
        </w:rPr>
        <w:t xml:space="preserve"> </w:t>
      </w:r>
      <w:r>
        <w:rPr>
          <w:rFonts w:ascii="仿宋_GB2312" w:hAnsi="仿宋_GB2312" w:eastAsia="仿宋_GB2312" w:cs="仿宋_GB2312"/>
          <w:color w:val="000000" w:themeColor="text1"/>
          <w:spacing w:val="4"/>
          <w:sz w:val="32"/>
          <w:szCs w:val="32"/>
          <w:highlight w:val="none"/>
          <w14:textFill>
            <w14:solidFill>
              <w14:schemeClr w14:val="tx1"/>
            </w14:solidFill>
          </w14:textFill>
        </w:rPr>
        <w:t>口、活动广场、停车场、集贸市场等区域；</w:t>
      </w:r>
      <w:r>
        <w:rPr>
          <w:rFonts w:ascii="仿宋_GB2312" w:hAnsi="仿宋_GB2312" w:eastAsia="仿宋_GB2312" w:cs="仿宋_GB2312"/>
          <w:color w:val="000000" w:themeColor="text1"/>
          <w:spacing w:val="8"/>
          <w:sz w:val="32"/>
          <w:szCs w:val="32"/>
          <w:highlight w:val="none"/>
          <w14:textFill>
            <w14:solidFill>
              <w14:schemeClr w14:val="tx1"/>
            </w14:solidFill>
          </w14:textFill>
        </w:rPr>
        <w:t>与集中式给水点和地下取水构筑物等的距离应大于</w:t>
      </w:r>
      <w:r>
        <w:rPr>
          <w:rFonts w:ascii="仿宋_GB2312" w:hAnsi="仿宋_GB2312" w:eastAsia="仿宋_GB2312" w:cs="仿宋_GB2312"/>
          <w:color w:val="000000" w:themeColor="text1"/>
          <w:spacing w:val="-17"/>
          <w:sz w:val="32"/>
          <w:szCs w:val="32"/>
          <w:highlight w:val="none"/>
          <w14:textFill>
            <w14:solidFill>
              <w14:schemeClr w14:val="tx1"/>
            </w14:solidFill>
          </w14:textFill>
        </w:rPr>
        <w:t xml:space="preserve"> </w:t>
      </w:r>
      <w:r>
        <w:rPr>
          <w:rFonts w:ascii="仿宋_GB2312" w:hAnsi="仿宋_GB2312" w:eastAsia="仿宋_GB2312" w:cs="仿宋_GB2312"/>
          <w:color w:val="000000" w:themeColor="text1"/>
          <w:spacing w:val="8"/>
          <w:sz w:val="32"/>
          <w:szCs w:val="32"/>
          <w:highlight w:val="none"/>
          <w14:textFill>
            <w14:solidFill>
              <w14:schemeClr w14:val="tx1"/>
            </w14:solidFill>
          </w14:textFill>
        </w:rPr>
        <w:t>30</w:t>
      </w:r>
      <w:r>
        <w:rPr>
          <w:rFonts w:ascii="仿宋_GB2312" w:hAnsi="仿宋_GB2312" w:eastAsia="仿宋_GB2312" w:cs="仿宋_GB2312"/>
          <w:color w:val="000000" w:themeColor="text1"/>
          <w:spacing w:val="-53"/>
          <w:sz w:val="32"/>
          <w:szCs w:val="32"/>
          <w:highlight w:val="none"/>
          <w14:textFill>
            <w14:solidFill>
              <w14:schemeClr w14:val="tx1"/>
            </w14:solidFill>
          </w14:textFill>
        </w:rPr>
        <w:t xml:space="preserve"> </w:t>
      </w:r>
      <w:r>
        <w:rPr>
          <w:rFonts w:ascii="仿宋_GB2312" w:hAnsi="仿宋_GB2312" w:eastAsia="仿宋_GB2312" w:cs="仿宋_GB2312"/>
          <w:color w:val="000000" w:themeColor="text1"/>
          <w:spacing w:val="8"/>
          <w:sz w:val="32"/>
          <w:szCs w:val="32"/>
          <w:highlight w:val="none"/>
          <w14:textFill>
            <w14:solidFill>
              <w14:schemeClr w14:val="tx1"/>
            </w14:solidFill>
          </w14:textFill>
        </w:rPr>
        <w:t>米；宜建</w:t>
      </w:r>
      <w:r>
        <w:rPr>
          <w:rFonts w:ascii="仿宋_GB2312" w:hAnsi="仿宋_GB2312" w:eastAsia="仿宋_GB2312" w:cs="仿宋_GB2312"/>
          <w:color w:val="000000" w:themeColor="text1"/>
          <w:spacing w:val="5"/>
          <w:sz w:val="32"/>
          <w:szCs w:val="32"/>
          <w:highlight w:val="none"/>
          <w14:textFill>
            <w14:solidFill>
              <w14:schemeClr w14:val="tx1"/>
            </w14:solidFill>
          </w14:textFill>
        </w:rPr>
        <w:t>在所服务区域的常年主导风向的下风向处；不宜靠近民房、学校</w:t>
      </w:r>
      <w:r>
        <w:rPr>
          <w:rFonts w:ascii="仿宋_GB2312" w:hAnsi="仿宋_GB2312" w:eastAsia="仿宋_GB2312" w:cs="仿宋_GB2312"/>
          <w:color w:val="000000" w:themeColor="text1"/>
          <w:spacing w:val="8"/>
          <w:sz w:val="32"/>
          <w:szCs w:val="32"/>
          <w:highlight w:val="none"/>
          <w14:textFill>
            <w14:solidFill>
              <w14:schemeClr w14:val="tx1"/>
            </w14:solidFill>
          </w14:textFill>
        </w:rPr>
        <w:t>及卫生设施等敏感建筑。</w:t>
      </w:r>
    </w:p>
    <w:p w14:paraId="40787A75">
      <w:pPr>
        <w:pageBreakBefore w:val="0"/>
        <w:widowControl w:val="0"/>
        <w:kinsoku/>
        <w:wordWrap/>
        <w:overflowPunct/>
        <w:topLinePunct w:val="0"/>
        <w:autoSpaceDE w:val="0"/>
        <w:autoSpaceDN w:val="0"/>
        <w:bidi w:val="0"/>
        <w:adjustRightInd/>
        <w:snapToGrid/>
        <w:spacing w:line="360" w:lineRule="auto"/>
        <w:ind w:left="764"/>
        <w:textAlignment w:val="auto"/>
        <w:rPr>
          <w:rFonts w:ascii="仿宋_GB2312" w:hAnsi="仿宋_GB2312" w:eastAsia="仿宋_GB2312" w:cs="仿宋_GB2312"/>
          <w:color w:val="000000" w:themeColor="text1"/>
          <w:spacing w:val="9"/>
          <w:sz w:val="32"/>
          <w:szCs w:val="32"/>
          <w:highlight w:val="none"/>
          <w14:textFill>
            <w14:solidFill>
              <w14:schemeClr w14:val="tx1"/>
            </w14:solidFill>
          </w14:textFill>
        </w:rPr>
      </w:pPr>
      <w:r>
        <w:rPr>
          <w:rFonts w:ascii="仿宋_GB2312" w:hAnsi="仿宋_GB2312" w:eastAsia="仿宋_GB2312" w:cs="仿宋_GB2312"/>
          <w:color w:val="000000" w:themeColor="text1"/>
          <w:spacing w:val="9"/>
          <w:sz w:val="32"/>
          <w:szCs w:val="32"/>
          <w:highlight w:val="none"/>
          <w14:textFill>
            <w14:solidFill>
              <w14:schemeClr w14:val="tx1"/>
            </w14:solidFill>
          </w14:textFill>
        </w:rPr>
        <w:t>各类设施用地应符合国家和地方相关行业标准的规定。</w:t>
      </w:r>
      <w:bookmarkStart w:id="120" w:name="bookmark15"/>
      <w:bookmarkEnd w:id="120"/>
    </w:p>
    <w:p w14:paraId="17D55812">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color w:val="000000" w:themeColor="text1"/>
          <w:sz w:val="32"/>
          <w:szCs w:val="32"/>
          <w:highlight w:val="none"/>
          <w14:textFill>
            <w14:solidFill>
              <w14:schemeClr w14:val="tx1"/>
            </w14:solidFill>
          </w14:textFill>
        </w:rPr>
      </w:pPr>
      <w:r>
        <w:rPr>
          <w:rFonts w:hint="eastAsia" w:eastAsia="仿宋_GB2312"/>
          <w:color w:val="000000" w:themeColor="text1"/>
          <w:w w:val="105"/>
          <w:sz w:val="32"/>
          <w:szCs w:val="32"/>
          <w:highlight w:val="none"/>
          <w:lang w:val="en-US" w:eastAsia="zh-CN"/>
          <w14:textFill>
            <w14:solidFill>
              <w14:schemeClr w14:val="tx1"/>
            </w14:solidFill>
          </w14:textFill>
        </w:rPr>
        <w:t>乡村产业用地布局要求</w:t>
      </w:r>
    </w:p>
    <w:p w14:paraId="0F38F0C1">
      <w:pPr>
        <w:pageBreakBefore w:val="0"/>
        <w:widowControl w:val="0"/>
        <w:kinsoku/>
        <w:wordWrap/>
        <w:overflowPunct/>
        <w:topLinePunct w:val="0"/>
        <w:autoSpaceDE w:val="0"/>
        <w:autoSpaceDN w:val="0"/>
        <w:bidi w:val="0"/>
        <w:adjustRightInd/>
        <w:snapToGrid/>
        <w:spacing w:line="360" w:lineRule="auto"/>
        <w:ind w:left="34" w:right="101" w:firstLine="658"/>
        <w:jc w:val="both"/>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5"/>
          <w:sz w:val="32"/>
          <w:szCs w:val="32"/>
          <w:highlight w:val="none"/>
          <w14:textFill>
            <w14:solidFill>
              <w14:schemeClr w14:val="tx1"/>
            </w14:solidFill>
          </w14:textFill>
        </w:rPr>
        <w:t>乡村产业必须符合《产业结构调整指导目录（2024</w:t>
      </w:r>
      <w:r>
        <w:rPr>
          <w:rFonts w:ascii="仿宋_GB2312" w:hAnsi="仿宋_GB2312" w:eastAsia="仿宋_GB2312" w:cs="仿宋_GB2312"/>
          <w:color w:val="000000" w:themeColor="text1"/>
          <w:spacing w:val="-55"/>
          <w:sz w:val="32"/>
          <w:szCs w:val="32"/>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2"/>
          <w:szCs w:val="32"/>
          <w:highlight w:val="none"/>
          <w14:textFill>
            <w14:solidFill>
              <w14:schemeClr w14:val="tx1"/>
            </w14:solidFill>
          </w14:textFill>
        </w:rPr>
        <w:t>年本）》</w:t>
      </w:r>
      <w:r>
        <w:rPr>
          <w:rFonts w:ascii="仿宋_GB2312" w:hAnsi="仿宋_GB2312" w:eastAsia="仿宋_GB2312" w:cs="仿宋_GB2312"/>
          <w:color w:val="000000" w:themeColor="text1"/>
          <w:spacing w:val="7"/>
          <w:sz w:val="32"/>
          <w:szCs w:val="32"/>
          <w:highlight w:val="none"/>
          <w14:textFill>
            <w14:solidFill>
              <w14:schemeClr w14:val="tx1"/>
            </w14:solidFill>
          </w14:textFill>
        </w:rPr>
        <w:t>的要求；严禁生产、制造危险化学品及其相关产物。</w:t>
      </w:r>
    </w:p>
    <w:p w14:paraId="530DE9D8">
      <w:pPr>
        <w:pageBreakBefore w:val="0"/>
        <w:widowControl w:val="0"/>
        <w:kinsoku/>
        <w:wordWrap/>
        <w:overflowPunct/>
        <w:topLinePunct w:val="0"/>
        <w:autoSpaceDE w:val="0"/>
        <w:autoSpaceDN w:val="0"/>
        <w:bidi w:val="0"/>
        <w:adjustRightInd/>
        <w:snapToGrid/>
        <w:spacing w:line="360" w:lineRule="auto"/>
        <w:ind w:left="7" w:right="255" w:firstLine="660"/>
        <w:jc w:val="both"/>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4"/>
          <w:sz w:val="32"/>
          <w:szCs w:val="32"/>
          <w:highlight w:val="none"/>
          <w14:textFill>
            <w14:solidFill>
              <w14:schemeClr w14:val="tx1"/>
            </w14:solidFill>
          </w14:textFill>
        </w:rPr>
        <w:t>规模较大、工业化程度高、分散布局配套设施成本高的产</w:t>
      </w:r>
      <w:r>
        <w:rPr>
          <w:rFonts w:ascii="仿宋_GB2312" w:hAnsi="仿宋_GB2312" w:eastAsia="仿宋_GB2312" w:cs="仿宋_GB2312"/>
          <w:color w:val="000000" w:themeColor="text1"/>
          <w:spacing w:val="5"/>
          <w:sz w:val="32"/>
          <w:szCs w:val="32"/>
          <w:highlight w:val="none"/>
          <w14:textFill>
            <w14:solidFill>
              <w14:schemeClr w14:val="tx1"/>
            </w14:solidFill>
          </w14:textFill>
        </w:rPr>
        <w:t>业项目宜在产业园区内布局；具有一定规模的农产品加工宜在城</w:t>
      </w:r>
      <w:r>
        <w:rPr>
          <w:rFonts w:ascii="仿宋_GB2312" w:hAnsi="仿宋_GB2312" w:eastAsia="仿宋_GB2312" w:cs="仿宋_GB2312"/>
          <w:color w:val="000000" w:themeColor="text1"/>
          <w:spacing w:val="7"/>
          <w:sz w:val="32"/>
          <w:szCs w:val="32"/>
          <w:highlight w:val="none"/>
          <w14:textFill>
            <w14:solidFill>
              <w14:schemeClr w14:val="tx1"/>
            </w14:solidFill>
          </w14:textFill>
        </w:rPr>
        <w:t>镇开发边界内集中布局。</w:t>
      </w:r>
    </w:p>
    <w:p w14:paraId="46FE3F6B">
      <w:pPr>
        <w:pageBreakBefore w:val="0"/>
        <w:widowControl w:val="0"/>
        <w:kinsoku/>
        <w:wordWrap/>
        <w:overflowPunct/>
        <w:topLinePunct w:val="0"/>
        <w:autoSpaceDE w:val="0"/>
        <w:autoSpaceDN w:val="0"/>
        <w:bidi w:val="0"/>
        <w:adjustRightInd/>
        <w:snapToGrid/>
        <w:spacing w:line="360" w:lineRule="auto"/>
        <w:ind w:left="7" w:right="258" w:firstLine="653"/>
        <w:jc w:val="both"/>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4"/>
          <w:sz w:val="32"/>
          <w:szCs w:val="32"/>
          <w:highlight w:val="none"/>
          <w14:textFill>
            <w14:solidFill>
              <w14:schemeClr w14:val="tx1"/>
            </w14:solidFill>
          </w14:textFill>
        </w:rPr>
        <w:t>直接服务种植养殖业的农产品加工、电子商务、仓储保鲜</w:t>
      </w:r>
      <w:r>
        <w:rPr>
          <w:rFonts w:ascii="仿宋_GB2312" w:hAnsi="仿宋_GB2312" w:eastAsia="仿宋_GB2312" w:cs="仿宋_GB2312"/>
          <w:color w:val="000000" w:themeColor="text1"/>
          <w:spacing w:val="5"/>
          <w:sz w:val="32"/>
          <w:szCs w:val="32"/>
          <w:highlight w:val="none"/>
          <w14:textFill>
            <w14:solidFill>
              <w14:schemeClr w14:val="tx1"/>
            </w14:solidFill>
          </w14:textFill>
        </w:rPr>
        <w:t>冷链、产地低温直销配送等产业原则上应集中在行政村村庄建设</w:t>
      </w:r>
      <w:r>
        <w:rPr>
          <w:rFonts w:ascii="仿宋_GB2312" w:hAnsi="仿宋_GB2312" w:eastAsia="仿宋_GB2312" w:cs="仿宋_GB2312"/>
          <w:color w:val="000000" w:themeColor="text1"/>
          <w:spacing w:val="4"/>
          <w:sz w:val="32"/>
          <w:szCs w:val="32"/>
          <w:highlight w:val="none"/>
          <w14:textFill>
            <w14:solidFill>
              <w14:schemeClr w14:val="tx1"/>
            </w14:solidFill>
          </w14:textFill>
        </w:rPr>
        <w:t>边界内。</w:t>
      </w:r>
    </w:p>
    <w:p w14:paraId="515F4432">
      <w:pPr>
        <w:pageBreakBefore w:val="0"/>
        <w:widowControl w:val="0"/>
        <w:kinsoku/>
        <w:wordWrap/>
        <w:overflowPunct/>
        <w:topLinePunct w:val="0"/>
        <w:autoSpaceDE w:val="0"/>
        <w:autoSpaceDN w:val="0"/>
        <w:bidi w:val="0"/>
        <w:adjustRightInd/>
        <w:snapToGrid/>
        <w:spacing w:line="360" w:lineRule="auto"/>
        <w:ind w:left="13" w:firstLine="659"/>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4"/>
          <w:sz w:val="32"/>
          <w:szCs w:val="32"/>
          <w:highlight w:val="none"/>
          <w14:textFill>
            <w14:solidFill>
              <w14:schemeClr w14:val="tx1"/>
            </w14:solidFill>
          </w14:textFill>
        </w:rPr>
        <w:t>利用农村本地资源开展农产品初加工、发展休闲</w:t>
      </w:r>
      <w:r>
        <w:rPr>
          <w:rFonts w:ascii="仿宋_GB2312" w:hAnsi="仿宋_GB2312" w:eastAsia="仿宋_GB2312" w:cs="仿宋_GB2312"/>
          <w:color w:val="000000" w:themeColor="text1"/>
          <w:spacing w:val="3"/>
          <w:sz w:val="32"/>
          <w:szCs w:val="32"/>
          <w:highlight w:val="none"/>
          <w14:textFill>
            <w14:solidFill>
              <w14:schemeClr w14:val="tx1"/>
            </w14:solidFill>
          </w14:textFill>
        </w:rPr>
        <w:t>观光旅游</w:t>
      </w:r>
      <w:r>
        <w:rPr>
          <w:rFonts w:ascii="仿宋_GB2312" w:hAnsi="仿宋_GB2312" w:eastAsia="仿宋_GB2312" w:cs="仿宋_GB2312"/>
          <w:color w:val="000000" w:themeColor="text1"/>
          <w:spacing w:val="5"/>
          <w:sz w:val="32"/>
          <w:szCs w:val="32"/>
          <w:highlight w:val="none"/>
          <w14:textFill>
            <w14:solidFill>
              <w14:schemeClr w14:val="tx1"/>
            </w14:solidFill>
          </w14:textFill>
        </w:rPr>
        <w:t>而必需的配套设施建设，可在不占用永久基本农田和生态保护红</w:t>
      </w:r>
      <w:r>
        <w:rPr>
          <w:rFonts w:ascii="仿宋_GB2312" w:hAnsi="仿宋_GB2312" w:eastAsia="仿宋_GB2312" w:cs="仿宋_GB2312"/>
          <w:color w:val="000000" w:themeColor="text1"/>
          <w:spacing w:val="3"/>
          <w:sz w:val="32"/>
          <w:szCs w:val="32"/>
          <w:highlight w:val="none"/>
          <w14:textFill>
            <w14:solidFill>
              <w14:schemeClr w14:val="tx1"/>
            </w14:solidFill>
          </w14:textFill>
        </w:rPr>
        <w:t>线、不突破乡镇级国土空间规划传导的建设用地指标等约束条件、</w:t>
      </w:r>
      <w:r>
        <w:rPr>
          <w:rFonts w:ascii="仿宋_GB2312" w:hAnsi="仿宋_GB2312" w:eastAsia="仿宋_GB2312" w:cs="仿宋_GB2312"/>
          <w:color w:val="000000" w:themeColor="text1"/>
          <w:spacing w:val="5"/>
          <w:sz w:val="32"/>
          <w:szCs w:val="32"/>
          <w:highlight w:val="none"/>
          <w14:textFill>
            <w14:solidFill>
              <w14:schemeClr w14:val="tx1"/>
            </w14:solidFill>
          </w14:textFill>
        </w:rPr>
        <w:t>不破坏生态环境和乡村风貌的前提下，在村庄建设边界外安排少</w:t>
      </w:r>
      <w:r>
        <w:rPr>
          <w:rFonts w:ascii="仿宋_GB2312" w:hAnsi="仿宋_GB2312" w:eastAsia="仿宋_GB2312" w:cs="仿宋_GB2312"/>
          <w:color w:val="000000" w:themeColor="text1"/>
          <w:spacing w:val="4"/>
          <w:sz w:val="32"/>
          <w:szCs w:val="32"/>
          <w:highlight w:val="none"/>
          <w14:textFill>
            <w14:solidFill>
              <w14:schemeClr w14:val="tx1"/>
            </w14:solidFill>
          </w14:textFill>
        </w:rPr>
        <w:t>量建设用地。</w:t>
      </w:r>
    </w:p>
    <w:p w14:paraId="3B0D0C5B">
      <w:pPr>
        <w:pageBreakBefore w:val="0"/>
        <w:widowControl w:val="0"/>
        <w:kinsoku/>
        <w:wordWrap/>
        <w:overflowPunct/>
        <w:topLinePunct w:val="0"/>
        <w:autoSpaceDE w:val="0"/>
        <w:autoSpaceDN w:val="0"/>
        <w:bidi w:val="0"/>
        <w:adjustRightInd/>
        <w:snapToGrid/>
        <w:spacing w:line="360" w:lineRule="auto"/>
        <w:ind w:left="2" w:firstLine="659"/>
        <w:textAlignment w:val="auto"/>
        <w:rPr>
          <w:rFonts w:hint="eastAsia" w:ascii="仿宋_GB2312" w:hAnsi="仿宋_GB2312" w:eastAsia="仿宋_GB2312" w:cs="仿宋_GB2312"/>
          <w:color w:val="000000" w:themeColor="text1"/>
          <w:spacing w:val="7"/>
          <w:sz w:val="32"/>
          <w:szCs w:val="32"/>
          <w:highlight w:val="none"/>
          <w:lang w:val="en-US" w:eastAsia="zh-CN"/>
          <w14:textFill>
            <w14:solidFill>
              <w14:schemeClr w14:val="tx1"/>
            </w14:solidFill>
          </w14:textFill>
        </w:rPr>
      </w:pPr>
      <w:r>
        <w:rPr>
          <w:rFonts w:ascii="仿宋_GB2312" w:hAnsi="仿宋_GB2312" w:eastAsia="仿宋_GB2312" w:cs="仿宋_GB2312"/>
          <w:color w:val="000000" w:themeColor="text1"/>
          <w:spacing w:val="4"/>
          <w:sz w:val="32"/>
          <w:szCs w:val="32"/>
          <w:highlight w:val="none"/>
          <w14:textFill>
            <w14:solidFill>
              <w14:schemeClr w14:val="tx1"/>
            </w14:solidFill>
          </w14:textFill>
        </w:rPr>
        <w:t>文旅融合产业鼓励在传承保护优先基础上，推动历史文化</w:t>
      </w:r>
      <w:r>
        <w:rPr>
          <w:rFonts w:ascii="仿宋_GB2312" w:hAnsi="仿宋_GB2312" w:eastAsia="仿宋_GB2312" w:cs="仿宋_GB2312"/>
          <w:color w:val="000000" w:themeColor="text1"/>
          <w:spacing w:val="5"/>
          <w:sz w:val="32"/>
          <w:szCs w:val="32"/>
          <w:highlight w:val="none"/>
          <w14:textFill>
            <w14:solidFill>
              <w14:schemeClr w14:val="tx1"/>
            </w14:solidFill>
          </w14:textFill>
        </w:rPr>
        <w:t>资源活化利用，进一步实现</w:t>
      </w:r>
      <w:r>
        <w:rPr>
          <w:rFonts w:hint="eastAsia" w:ascii="仿宋_GB2312" w:hAnsi="仿宋_GB2312" w:eastAsia="仿宋_GB2312" w:cs="仿宋_GB2312"/>
          <w:color w:val="000000" w:themeColor="text1"/>
          <w:spacing w:val="5"/>
          <w:sz w:val="32"/>
          <w:szCs w:val="32"/>
          <w:highlight w:val="none"/>
          <w:lang w:eastAsia="zh-CN"/>
          <w14:textFill>
            <w14:solidFill>
              <w14:schemeClr w14:val="tx1"/>
            </w14:solidFill>
          </w14:textFill>
        </w:rPr>
        <w:t>一二三产业融合</w:t>
      </w:r>
      <w:r>
        <w:rPr>
          <w:rFonts w:ascii="仿宋_GB2312" w:hAnsi="仿宋_GB2312" w:eastAsia="仿宋_GB2312" w:cs="仿宋_GB2312"/>
          <w:color w:val="000000" w:themeColor="text1"/>
          <w:spacing w:val="5"/>
          <w:sz w:val="32"/>
          <w:szCs w:val="32"/>
          <w:highlight w:val="none"/>
          <w14:textFill>
            <w14:solidFill>
              <w14:schemeClr w14:val="tx1"/>
            </w14:solidFill>
          </w14:textFill>
        </w:rPr>
        <w:t>发展。合理利用院落形</w:t>
      </w:r>
      <w:r>
        <w:rPr>
          <w:rFonts w:ascii="仿宋_GB2312" w:hAnsi="仿宋_GB2312" w:eastAsia="仿宋_GB2312" w:cs="仿宋_GB2312"/>
          <w:color w:val="000000" w:themeColor="text1"/>
          <w:spacing w:val="6"/>
          <w:sz w:val="32"/>
          <w:szCs w:val="32"/>
          <w:highlight w:val="none"/>
          <w14:textFill>
            <w14:solidFill>
              <w14:schemeClr w14:val="tx1"/>
            </w14:solidFill>
          </w14:textFill>
        </w:rPr>
        <w:t>式建筑特色，植入文化博览、非遗体验等传统</w:t>
      </w:r>
      <w:r>
        <w:rPr>
          <w:rFonts w:ascii="仿宋_GB2312" w:hAnsi="仿宋_GB2312" w:eastAsia="仿宋_GB2312" w:cs="仿宋_GB2312"/>
          <w:color w:val="000000" w:themeColor="text1"/>
          <w:spacing w:val="5"/>
          <w:sz w:val="32"/>
          <w:szCs w:val="32"/>
          <w:highlight w:val="none"/>
          <w14:textFill>
            <w14:solidFill>
              <w14:schemeClr w14:val="tx1"/>
            </w14:solidFill>
          </w14:textFill>
        </w:rPr>
        <w:t>文化功能，配套研学体验、休闲娱乐等旅游服务功能。以建设用地功能为主导，指</w:t>
      </w:r>
      <w:r>
        <w:rPr>
          <w:rFonts w:ascii="仿宋_GB2312" w:hAnsi="仿宋_GB2312" w:eastAsia="仿宋_GB2312" w:cs="仿宋_GB2312"/>
          <w:color w:val="000000" w:themeColor="text1"/>
          <w:spacing w:val="6"/>
          <w:sz w:val="32"/>
          <w:szCs w:val="32"/>
          <w:highlight w:val="none"/>
          <w14:textFill>
            <w14:solidFill>
              <w14:schemeClr w14:val="tx1"/>
            </w14:solidFill>
          </w14:textFill>
        </w:rPr>
        <w:t>导非建设用地产业、环境、景观整治，结合</w:t>
      </w:r>
      <w:r>
        <w:rPr>
          <w:rFonts w:ascii="仿宋_GB2312" w:hAnsi="仿宋_GB2312" w:eastAsia="仿宋_GB2312" w:cs="仿宋_GB2312"/>
          <w:color w:val="000000" w:themeColor="text1"/>
          <w:spacing w:val="5"/>
          <w:sz w:val="32"/>
          <w:szCs w:val="32"/>
          <w:highlight w:val="none"/>
          <w14:textFill>
            <w14:solidFill>
              <w14:schemeClr w14:val="tx1"/>
            </w14:solidFill>
          </w14:textFill>
        </w:rPr>
        <w:t>传统农业，拓宽文旅产业空间承载范围，实现一二三产一体</w:t>
      </w:r>
      <w:r>
        <w:rPr>
          <w:rFonts w:ascii="仿宋_GB2312" w:hAnsi="仿宋_GB2312" w:eastAsia="仿宋_GB2312" w:cs="仿宋_GB2312"/>
          <w:color w:val="000000" w:themeColor="text1"/>
          <w:spacing w:val="7"/>
          <w:sz w:val="32"/>
          <w:szCs w:val="32"/>
          <w:highlight w:val="none"/>
          <w14:textFill>
            <w14:solidFill>
              <w14:schemeClr w14:val="tx1"/>
            </w14:solidFill>
          </w14:textFill>
        </w:rPr>
        <w:t>化发展格局。</w:t>
      </w:r>
      <w:r>
        <w:rPr>
          <w:rFonts w:hint="eastAsia" w:ascii="仿宋_GB2312" w:hAnsi="仿宋_GB2312" w:eastAsia="仿宋_GB2312" w:cs="仿宋_GB2312"/>
          <w:color w:val="000000" w:themeColor="text1"/>
          <w:spacing w:val="7"/>
          <w:sz w:val="32"/>
          <w:szCs w:val="32"/>
          <w:highlight w:val="none"/>
          <w:lang w:val="en-US" w:eastAsia="zh-CN"/>
          <w14:textFill>
            <w14:solidFill>
              <w14:schemeClr w14:val="tx1"/>
            </w14:solidFill>
          </w14:textFill>
        </w:rPr>
        <w:t xml:space="preserve">  </w:t>
      </w:r>
    </w:p>
    <w:p w14:paraId="286957D8">
      <w:pPr>
        <w:pageBreakBefore w:val="0"/>
        <w:widowControl w:val="0"/>
        <w:kinsoku/>
        <w:wordWrap/>
        <w:overflowPunct/>
        <w:topLinePunct w:val="0"/>
        <w:autoSpaceDE w:val="0"/>
        <w:autoSpaceDN w:val="0"/>
        <w:bidi w:val="0"/>
        <w:adjustRightInd/>
        <w:snapToGrid/>
        <w:spacing w:line="360" w:lineRule="auto"/>
        <w:ind w:left="2" w:firstLine="659"/>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4"/>
          <w:sz w:val="32"/>
          <w:szCs w:val="32"/>
          <w:highlight w:val="none"/>
          <w14:textFill>
            <w14:solidFill>
              <w14:schemeClr w14:val="tx1"/>
            </w14:solidFill>
          </w14:textFill>
        </w:rPr>
        <w:t>鼓励乡村产业用地与其他用地功能合理布局，鼓励闲置资</w:t>
      </w:r>
      <w:r>
        <w:rPr>
          <w:rFonts w:ascii="仿宋_GB2312" w:hAnsi="仿宋_GB2312" w:eastAsia="仿宋_GB2312" w:cs="仿宋_GB2312"/>
          <w:color w:val="000000" w:themeColor="text1"/>
          <w:spacing w:val="5"/>
          <w:sz w:val="32"/>
          <w:szCs w:val="32"/>
          <w:highlight w:val="none"/>
          <w14:textFill>
            <w14:solidFill>
              <w14:schemeClr w14:val="tx1"/>
            </w14:solidFill>
          </w14:textFill>
        </w:rPr>
        <w:t>源活化利用，实现用地混合。在符合国土空间规划确定的用地类型、控制性高度、乡村风貌、基础设施和用途管制要求、确保安全的前提下，鼓励对闲置宅基地、闲置集体用地、古院落等农村</w:t>
      </w:r>
      <w:r>
        <w:rPr>
          <w:rFonts w:ascii="仿宋_GB2312" w:hAnsi="仿宋_GB2312" w:eastAsia="仿宋_GB2312" w:cs="仿宋_GB2312"/>
          <w:color w:val="000000" w:themeColor="text1"/>
          <w:spacing w:val="-2"/>
          <w:sz w:val="32"/>
          <w:szCs w:val="32"/>
          <w:highlight w:val="none"/>
          <w14:textFill>
            <w14:solidFill>
              <w14:schemeClr w14:val="tx1"/>
            </w14:solidFill>
          </w14:textFill>
        </w:rPr>
        <w:t>建设用地，通过购买、租赁、经营权转让、资产入股、集中流</w:t>
      </w:r>
      <w:r>
        <w:rPr>
          <w:rFonts w:ascii="仿宋_GB2312" w:hAnsi="仿宋_GB2312" w:eastAsia="仿宋_GB2312" w:cs="仿宋_GB2312"/>
          <w:color w:val="000000" w:themeColor="text1"/>
          <w:spacing w:val="-3"/>
          <w:sz w:val="32"/>
          <w:szCs w:val="32"/>
          <w:highlight w:val="none"/>
          <w14:textFill>
            <w14:solidFill>
              <w14:schemeClr w14:val="tx1"/>
            </w14:solidFill>
          </w14:textFill>
        </w:rPr>
        <w:t>转、</w:t>
      </w:r>
      <w:r>
        <w:rPr>
          <w:rFonts w:ascii="仿宋_GB2312" w:hAnsi="仿宋_GB2312" w:eastAsia="仿宋_GB2312" w:cs="仿宋_GB2312"/>
          <w:color w:val="000000" w:themeColor="text1"/>
          <w:spacing w:val="5"/>
          <w:sz w:val="32"/>
          <w:szCs w:val="32"/>
          <w:highlight w:val="none"/>
          <w14:textFill>
            <w14:solidFill>
              <w14:schemeClr w14:val="tx1"/>
            </w14:solidFill>
          </w14:textFill>
        </w:rPr>
        <w:t>收储等方式整合活化，进行复合利用，发展乡村民宿、农产品初</w:t>
      </w:r>
      <w:r>
        <w:rPr>
          <w:rFonts w:ascii="仿宋_GB2312" w:hAnsi="仿宋_GB2312" w:eastAsia="仿宋_GB2312" w:cs="仿宋_GB2312"/>
          <w:color w:val="000000" w:themeColor="text1"/>
          <w:spacing w:val="6"/>
          <w:sz w:val="32"/>
          <w:szCs w:val="32"/>
          <w:highlight w:val="none"/>
          <w14:textFill>
            <w14:solidFill>
              <w14:schemeClr w14:val="tx1"/>
            </w14:solidFill>
          </w14:textFill>
        </w:rPr>
        <w:t>加工、电子商务、</w:t>
      </w:r>
      <w:r>
        <w:rPr>
          <w:rFonts w:ascii="仿宋_GB2312" w:hAnsi="仿宋_GB2312" w:eastAsia="仿宋_GB2312" w:cs="仿宋_GB2312"/>
          <w:color w:val="000000" w:themeColor="text1"/>
          <w:spacing w:val="-86"/>
          <w:sz w:val="32"/>
          <w:szCs w:val="32"/>
          <w:highlight w:val="none"/>
          <w14:textFill>
            <w14:solidFill>
              <w14:schemeClr w14:val="tx1"/>
            </w14:solidFill>
          </w14:textFill>
        </w:rPr>
        <w:t xml:space="preserve"> </w:t>
      </w:r>
      <w:r>
        <w:rPr>
          <w:rFonts w:ascii="仿宋_GB2312" w:hAnsi="仿宋_GB2312" w:eastAsia="仿宋_GB2312" w:cs="仿宋_GB2312"/>
          <w:color w:val="000000" w:themeColor="text1"/>
          <w:spacing w:val="6"/>
          <w:sz w:val="32"/>
          <w:szCs w:val="32"/>
          <w:highlight w:val="none"/>
          <w14:textFill>
            <w14:solidFill>
              <w14:schemeClr w14:val="tx1"/>
            </w14:solidFill>
          </w14:textFill>
        </w:rPr>
        <w:t>民俗体验、文化创意等乡村产业。</w:t>
      </w:r>
    </w:p>
    <w:p w14:paraId="5F54D282">
      <w:pPr>
        <w:pageBreakBefore w:val="0"/>
        <w:widowControl w:val="0"/>
        <w:kinsoku/>
        <w:wordWrap/>
        <w:overflowPunct/>
        <w:topLinePunct w:val="0"/>
        <w:autoSpaceDE w:val="0"/>
        <w:autoSpaceDN w:val="0"/>
        <w:bidi w:val="0"/>
        <w:adjustRightInd/>
        <w:snapToGrid/>
        <w:spacing w:line="360" w:lineRule="auto"/>
        <w:ind w:left="5" w:right="45" w:firstLine="655"/>
        <w:textAlignment w:val="auto"/>
        <w:rPr>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14"/>
          <w:sz w:val="32"/>
          <w:szCs w:val="32"/>
          <w:highlight w:val="none"/>
          <w14:textFill>
            <w14:solidFill>
              <w14:schemeClr w14:val="tx1"/>
            </w14:solidFill>
          </w14:textFill>
        </w:rPr>
        <w:t>乡村产业项目原则上应为直接服务于乡村振兴</w:t>
      </w:r>
      <w:r>
        <w:rPr>
          <w:rFonts w:ascii="仿宋_GB2312" w:hAnsi="仿宋_GB2312" w:eastAsia="仿宋_GB2312" w:cs="仿宋_GB2312"/>
          <w:color w:val="000000" w:themeColor="text1"/>
          <w:spacing w:val="13"/>
          <w:sz w:val="32"/>
          <w:szCs w:val="32"/>
          <w:highlight w:val="none"/>
          <w14:textFill>
            <w14:solidFill>
              <w14:schemeClr w14:val="tx1"/>
            </w14:solidFill>
          </w14:textFill>
        </w:rPr>
        <w:t>和农村生</w:t>
      </w:r>
      <w:r>
        <w:rPr>
          <w:rFonts w:ascii="仿宋_GB2312" w:hAnsi="仿宋_GB2312" w:eastAsia="仿宋_GB2312" w:cs="仿宋_GB2312"/>
          <w:color w:val="000000" w:themeColor="text1"/>
          <w:spacing w:val="5"/>
          <w:sz w:val="32"/>
          <w:szCs w:val="32"/>
          <w:highlight w:val="none"/>
          <w14:textFill>
            <w14:solidFill>
              <w14:schemeClr w14:val="tx1"/>
            </w14:solidFill>
          </w14:textFill>
        </w:rPr>
        <w:t>产生活的项目，并符合村庄所在的乡镇主体功能定位和相关产业</w:t>
      </w:r>
      <w:r>
        <w:rPr>
          <w:rFonts w:ascii="仿宋_GB2312" w:hAnsi="仿宋_GB2312" w:eastAsia="仿宋_GB2312" w:cs="仿宋_GB2312"/>
          <w:color w:val="000000" w:themeColor="text1"/>
          <w:spacing w:val="7"/>
          <w:sz w:val="32"/>
          <w:szCs w:val="32"/>
          <w:highlight w:val="none"/>
          <w14:textFill>
            <w14:solidFill>
              <w14:schemeClr w14:val="tx1"/>
            </w14:solidFill>
          </w14:textFill>
        </w:rPr>
        <w:t>规划，不得违背产业准入负面清单，不得用于商品住宅、别墅、酒店、公寓等房地产开发。</w:t>
      </w:r>
    </w:p>
    <w:p w14:paraId="711DE953">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szCs w:val="32"/>
          <w:highlight w:val="none"/>
          <w:lang w:val="en-US" w:eastAsia="zh-CN"/>
          <w14:textFill>
            <w14:solidFill>
              <w14:schemeClr w14:val="tx1"/>
            </w14:solidFill>
          </w14:textFill>
        </w:rPr>
      </w:pPr>
      <w:bookmarkStart w:id="121" w:name="bookmark16"/>
      <w:bookmarkEnd w:id="121"/>
      <w:r>
        <w:rPr>
          <w:rFonts w:hint="eastAsia" w:eastAsia="仿宋_GB2312"/>
          <w:color w:val="000000" w:themeColor="text1"/>
          <w:w w:val="105"/>
          <w:sz w:val="32"/>
          <w:szCs w:val="32"/>
          <w:highlight w:val="none"/>
          <w:lang w:val="en-US" w:eastAsia="zh-CN"/>
          <w14:textFill>
            <w14:solidFill>
              <w14:schemeClr w14:val="tx1"/>
            </w14:solidFill>
          </w14:textFill>
        </w:rPr>
        <w:t>国土综合整治要求</w:t>
      </w:r>
    </w:p>
    <w:p w14:paraId="10F7B47D">
      <w:pPr>
        <w:pageBreakBefore w:val="0"/>
        <w:widowControl w:val="0"/>
        <w:kinsoku/>
        <w:wordWrap/>
        <w:overflowPunct/>
        <w:topLinePunct w:val="0"/>
        <w:autoSpaceDE w:val="0"/>
        <w:autoSpaceDN w:val="0"/>
        <w:bidi w:val="0"/>
        <w:adjustRightInd/>
        <w:snapToGrid/>
        <w:spacing w:line="360" w:lineRule="auto"/>
        <w:ind w:left="5" w:right="95" w:firstLine="658"/>
        <w:jc w:val="both"/>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17"/>
          <w:sz w:val="32"/>
          <w:szCs w:val="32"/>
          <w:highlight w:val="none"/>
          <w14:textFill>
            <w14:solidFill>
              <w14:schemeClr w14:val="tx1"/>
            </w14:solidFill>
          </w14:textFill>
        </w:rPr>
        <w:t>落实国土空间总体规划或专项规划确定的国土综</w:t>
      </w:r>
      <w:r>
        <w:rPr>
          <w:rFonts w:ascii="仿宋_GB2312" w:hAnsi="仿宋_GB2312" w:eastAsia="仿宋_GB2312" w:cs="仿宋_GB2312"/>
          <w:color w:val="000000" w:themeColor="text1"/>
          <w:spacing w:val="16"/>
          <w:sz w:val="32"/>
          <w:szCs w:val="32"/>
          <w:highlight w:val="none"/>
          <w14:textFill>
            <w14:solidFill>
              <w14:schemeClr w14:val="tx1"/>
            </w14:solidFill>
          </w14:textFill>
        </w:rPr>
        <w:t>合整治区</w:t>
      </w:r>
      <w:r>
        <w:rPr>
          <w:rFonts w:ascii="仿宋_GB2312" w:hAnsi="仿宋_GB2312" w:eastAsia="仿宋_GB2312" w:cs="仿宋_GB2312"/>
          <w:color w:val="000000" w:themeColor="text1"/>
          <w:spacing w:val="5"/>
          <w:sz w:val="32"/>
          <w:szCs w:val="32"/>
          <w:highlight w:val="none"/>
          <w14:textFill>
            <w14:solidFill>
              <w14:schemeClr w14:val="tx1"/>
            </w14:solidFill>
          </w14:textFill>
        </w:rPr>
        <w:t>域及要求。以乡镇为基本实施单元，统筹推进农用地整治与建设用地整治。</w:t>
      </w:r>
    </w:p>
    <w:p w14:paraId="4C1345E2">
      <w:pPr>
        <w:pageBreakBefore w:val="0"/>
        <w:widowControl w:val="0"/>
        <w:numPr>
          <w:ilvl w:val="0"/>
          <w:numId w:val="0"/>
        </w:numPr>
        <w:kinsoku/>
        <w:wordWrap/>
        <w:overflowPunct/>
        <w:topLinePunct w:val="0"/>
        <w:autoSpaceDE w:val="0"/>
        <w:autoSpaceDN w:val="0"/>
        <w:bidi w:val="0"/>
        <w:adjustRightInd/>
        <w:snapToGrid/>
        <w:spacing w:line="360" w:lineRule="auto"/>
        <w:ind w:right="263" w:rightChars="0" w:firstLine="656" w:firstLineChars="200"/>
        <w:jc w:val="both"/>
        <w:textAlignment w:val="auto"/>
        <w:rPr>
          <w:rFonts w:ascii="仿宋_GB2312" w:hAnsi="仿宋_GB2312" w:eastAsia="仿宋_GB2312" w:cs="仿宋_GB2312"/>
          <w:color w:val="000000" w:themeColor="text1"/>
          <w:spacing w:val="8"/>
          <w:sz w:val="32"/>
          <w:szCs w:val="32"/>
          <w:highlight w:val="none"/>
          <w14:textFill>
            <w14:solidFill>
              <w14:schemeClr w14:val="tx1"/>
            </w14:solidFill>
          </w14:textFill>
        </w:rPr>
      </w:pPr>
      <w:r>
        <w:rPr>
          <w:rFonts w:ascii="仿宋_GB2312" w:hAnsi="仿宋_GB2312" w:eastAsia="仿宋_GB2312" w:cs="仿宋_GB2312"/>
          <w:color w:val="000000" w:themeColor="text1"/>
          <w:spacing w:val="4"/>
          <w:sz w:val="32"/>
          <w:szCs w:val="32"/>
          <w:highlight w:val="none"/>
          <w14:textFill>
            <w14:solidFill>
              <w14:schemeClr w14:val="tx1"/>
            </w14:solidFill>
          </w14:textFill>
        </w:rPr>
        <w:t>农用地整治：大力推进土地综合整治，统筹实施农用地集</w:t>
      </w:r>
      <w:r>
        <w:rPr>
          <w:rFonts w:ascii="仿宋_GB2312" w:hAnsi="仿宋_GB2312" w:eastAsia="仿宋_GB2312" w:cs="仿宋_GB2312"/>
          <w:color w:val="000000" w:themeColor="text1"/>
          <w:spacing w:val="5"/>
          <w:sz w:val="32"/>
          <w:szCs w:val="32"/>
          <w:highlight w:val="none"/>
          <w14:textFill>
            <w14:solidFill>
              <w14:schemeClr w14:val="tx1"/>
            </w14:solidFill>
          </w14:textFill>
        </w:rPr>
        <w:t>中连片整治、质量提升和生态化改造，开展高标准农田建设，严格保护已建成高标准农田，落实新增高标准农田建设任务，建设</w:t>
      </w:r>
      <w:r>
        <w:rPr>
          <w:rFonts w:ascii="仿宋_GB2312" w:hAnsi="仿宋_GB2312" w:eastAsia="仿宋_GB2312" w:cs="仿宋_GB2312"/>
          <w:color w:val="000000" w:themeColor="text1"/>
          <w:spacing w:val="7"/>
          <w:sz w:val="32"/>
          <w:szCs w:val="32"/>
          <w:highlight w:val="none"/>
          <w14:textFill>
            <w14:solidFill>
              <w14:schemeClr w14:val="tx1"/>
            </w14:solidFill>
          </w14:textFill>
        </w:rPr>
        <w:t>“稳产、节水、生态、美观”</w:t>
      </w:r>
      <w:r>
        <w:rPr>
          <w:rFonts w:ascii="仿宋_GB2312" w:hAnsi="仿宋_GB2312" w:eastAsia="仿宋_GB2312" w:cs="仿宋_GB2312"/>
          <w:color w:val="000000" w:themeColor="text1"/>
          <w:spacing w:val="-99"/>
          <w:sz w:val="32"/>
          <w:szCs w:val="32"/>
          <w:highlight w:val="none"/>
          <w14:textFill>
            <w14:solidFill>
              <w14:schemeClr w14:val="tx1"/>
            </w14:solidFill>
          </w14:textFill>
        </w:rPr>
        <w:t xml:space="preserve"> </w:t>
      </w:r>
      <w:r>
        <w:rPr>
          <w:rFonts w:ascii="仿宋_GB2312" w:hAnsi="仿宋_GB2312" w:eastAsia="仿宋_GB2312" w:cs="仿宋_GB2312"/>
          <w:color w:val="000000" w:themeColor="text1"/>
          <w:spacing w:val="7"/>
          <w:sz w:val="32"/>
          <w:szCs w:val="32"/>
          <w:highlight w:val="none"/>
          <w14:textFill>
            <w14:solidFill>
              <w14:schemeClr w14:val="tx1"/>
            </w14:solidFill>
          </w14:textFill>
        </w:rPr>
        <w:t>的高标准农田。到</w:t>
      </w:r>
      <w:r>
        <w:rPr>
          <w:rFonts w:ascii="仿宋_GB2312" w:hAnsi="仿宋_GB2312" w:eastAsia="仿宋_GB2312" w:cs="仿宋_GB2312"/>
          <w:color w:val="000000" w:themeColor="text1"/>
          <w:spacing w:val="-48"/>
          <w:sz w:val="32"/>
          <w:szCs w:val="32"/>
          <w:highlight w:val="none"/>
          <w14:textFill>
            <w14:solidFill>
              <w14:schemeClr w14:val="tx1"/>
            </w14:solidFill>
          </w14:textFill>
        </w:rPr>
        <w:t xml:space="preserve"> </w:t>
      </w:r>
      <w:r>
        <w:rPr>
          <w:rFonts w:ascii="仿宋_GB2312" w:hAnsi="仿宋_GB2312" w:eastAsia="仿宋_GB2312" w:cs="仿宋_GB2312"/>
          <w:color w:val="000000" w:themeColor="text1"/>
          <w:spacing w:val="7"/>
          <w:sz w:val="32"/>
          <w:szCs w:val="32"/>
          <w:highlight w:val="none"/>
          <w14:textFill>
            <w14:solidFill>
              <w14:schemeClr w14:val="tx1"/>
            </w14:solidFill>
          </w14:textFill>
        </w:rPr>
        <w:t>2035</w:t>
      </w:r>
      <w:r>
        <w:rPr>
          <w:rFonts w:ascii="仿宋_GB2312" w:hAnsi="仿宋_GB2312" w:eastAsia="仿宋_GB2312" w:cs="仿宋_GB2312"/>
          <w:color w:val="000000" w:themeColor="text1"/>
          <w:spacing w:val="-56"/>
          <w:sz w:val="32"/>
          <w:szCs w:val="32"/>
          <w:highlight w:val="none"/>
          <w14:textFill>
            <w14:solidFill>
              <w14:schemeClr w14:val="tx1"/>
            </w14:solidFill>
          </w14:textFill>
        </w:rPr>
        <w:t xml:space="preserve"> </w:t>
      </w:r>
      <w:r>
        <w:rPr>
          <w:rFonts w:ascii="仿宋_GB2312" w:hAnsi="仿宋_GB2312" w:eastAsia="仿宋_GB2312" w:cs="仿宋_GB2312"/>
          <w:color w:val="000000" w:themeColor="text1"/>
          <w:spacing w:val="7"/>
          <w:sz w:val="32"/>
          <w:szCs w:val="32"/>
          <w:highlight w:val="none"/>
          <w14:textFill>
            <w14:solidFill>
              <w14:schemeClr w14:val="tx1"/>
            </w14:solidFill>
          </w14:textFill>
        </w:rPr>
        <w:t>年将永久</w:t>
      </w:r>
      <w:r>
        <w:rPr>
          <w:rFonts w:ascii="仿宋_GB2312" w:hAnsi="仿宋_GB2312" w:eastAsia="仿宋_GB2312" w:cs="仿宋_GB2312"/>
          <w:color w:val="000000" w:themeColor="text1"/>
          <w:spacing w:val="8"/>
          <w:sz w:val="32"/>
          <w:szCs w:val="32"/>
          <w:highlight w:val="none"/>
          <w14:textFill>
            <w14:solidFill>
              <w14:schemeClr w14:val="tx1"/>
            </w14:solidFill>
          </w14:textFill>
        </w:rPr>
        <w:t>基本农田全部建设为高标准农田。</w:t>
      </w:r>
    </w:p>
    <w:p w14:paraId="5F2DD090">
      <w:pPr>
        <w:pageBreakBefore w:val="0"/>
        <w:widowControl w:val="0"/>
        <w:numPr>
          <w:ilvl w:val="0"/>
          <w:numId w:val="0"/>
        </w:numPr>
        <w:kinsoku/>
        <w:wordWrap/>
        <w:overflowPunct/>
        <w:topLinePunct w:val="0"/>
        <w:autoSpaceDE w:val="0"/>
        <w:autoSpaceDN w:val="0"/>
        <w:bidi w:val="0"/>
        <w:adjustRightInd/>
        <w:snapToGrid/>
        <w:spacing w:line="360" w:lineRule="auto"/>
        <w:ind w:right="263" w:rightChars="0" w:firstLine="656" w:firstLineChars="200"/>
        <w:jc w:val="both"/>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4"/>
          <w:sz w:val="32"/>
          <w:szCs w:val="32"/>
          <w:highlight w:val="none"/>
          <w14:textFill>
            <w14:solidFill>
              <w14:schemeClr w14:val="tx1"/>
            </w14:solidFill>
          </w14:textFill>
        </w:rPr>
        <w:t>建设用地整治：适应宜居宜业和美乡村建设需要，统筹考</w:t>
      </w:r>
      <w:r>
        <w:rPr>
          <w:rFonts w:ascii="仿宋_GB2312" w:hAnsi="仿宋_GB2312" w:eastAsia="仿宋_GB2312" w:cs="仿宋_GB2312"/>
          <w:color w:val="000000" w:themeColor="text1"/>
          <w:spacing w:val="5"/>
          <w:sz w:val="32"/>
          <w:szCs w:val="32"/>
          <w:highlight w:val="none"/>
          <w14:textFill>
            <w14:solidFill>
              <w14:schemeClr w14:val="tx1"/>
            </w14:solidFill>
          </w14:textFill>
        </w:rPr>
        <w:t>虑区位条件、资源禀赋、环境容量、产业基础、历史文化传承以及农民住房、产业发展、公共服务、基础设施等各类建设用地需</w:t>
      </w:r>
      <w:r>
        <w:rPr>
          <w:rFonts w:ascii="仿宋_GB2312" w:hAnsi="仿宋_GB2312" w:eastAsia="仿宋_GB2312" w:cs="仿宋_GB2312"/>
          <w:color w:val="000000" w:themeColor="text1"/>
          <w:spacing w:val="7"/>
          <w:sz w:val="32"/>
          <w:szCs w:val="32"/>
          <w:highlight w:val="none"/>
          <w14:textFill>
            <w14:solidFill>
              <w14:schemeClr w14:val="tx1"/>
            </w14:solidFill>
          </w14:textFill>
        </w:rPr>
        <w:t>求，根据实施单元具备的基础条件和特点，对农村零散、闲置、</w:t>
      </w:r>
      <w:r>
        <w:rPr>
          <w:rFonts w:ascii="仿宋_GB2312" w:hAnsi="仿宋_GB2312" w:eastAsia="仿宋_GB2312" w:cs="仿宋_GB2312"/>
          <w:color w:val="000000" w:themeColor="text1"/>
          <w:spacing w:val="5"/>
          <w:sz w:val="32"/>
          <w:szCs w:val="32"/>
          <w:highlight w:val="none"/>
          <w14:textFill>
            <w14:solidFill>
              <w14:schemeClr w14:val="tx1"/>
            </w14:solidFill>
          </w14:textFill>
        </w:rPr>
        <w:t>低效建设用地进行整理盘活，统筹推进建设用地布局优化、村庄建设用地整理、废弃采矿用地复垦利用、集体经营性建设用地依法流转等，确保城镇开发边界规模和扩展倍数不突破、整治区域内建设用地总面积不增加，进一步提升土地资源配置效率和节约集约利用水平，为保障农民合理居住需求、乡村基础设施建设和</w:t>
      </w:r>
      <w:r>
        <w:rPr>
          <w:rFonts w:ascii="仿宋_GB2312" w:hAnsi="仿宋_GB2312" w:eastAsia="仿宋_GB2312" w:cs="仿宋_GB2312"/>
          <w:color w:val="000000" w:themeColor="text1"/>
          <w:spacing w:val="8"/>
          <w:sz w:val="32"/>
          <w:szCs w:val="32"/>
          <w:highlight w:val="none"/>
          <w14:textFill>
            <w14:solidFill>
              <w14:schemeClr w14:val="tx1"/>
            </w14:solidFill>
          </w14:textFill>
        </w:rPr>
        <w:t>产业发展提供用地支撑。</w:t>
      </w:r>
    </w:p>
    <w:p w14:paraId="75A0CABD">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szCs w:val="32"/>
          <w:highlight w:val="none"/>
          <w:lang w:val="en-US" w:eastAsia="zh-CN"/>
          <w14:textFill>
            <w14:solidFill>
              <w14:schemeClr w14:val="tx1"/>
            </w14:solidFill>
          </w14:textFill>
        </w:rPr>
      </w:pPr>
      <w:bookmarkStart w:id="122" w:name="bookmark17"/>
      <w:bookmarkEnd w:id="122"/>
      <w:r>
        <w:rPr>
          <w:rFonts w:hint="eastAsia" w:eastAsia="仿宋_GB2312"/>
          <w:color w:val="000000" w:themeColor="text1"/>
          <w:w w:val="105"/>
          <w:sz w:val="32"/>
          <w:szCs w:val="32"/>
          <w:highlight w:val="none"/>
          <w:lang w:val="en-US" w:eastAsia="zh-CN"/>
          <w14:textFill>
            <w14:solidFill>
              <w14:schemeClr w14:val="tx1"/>
            </w14:solidFill>
          </w14:textFill>
        </w:rPr>
        <w:t>生态保护修复要求</w:t>
      </w:r>
    </w:p>
    <w:p w14:paraId="6829F25E">
      <w:pPr>
        <w:pageBreakBefore w:val="0"/>
        <w:widowControl w:val="0"/>
        <w:kinsoku/>
        <w:wordWrap/>
        <w:overflowPunct/>
        <w:topLinePunct w:val="0"/>
        <w:autoSpaceDE w:val="0"/>
        <w:autoSpaceDN w:val="0"/>
        <w:bidi w:val="0"/>
        <w:adjustRightInd/>
        <w:snapToGrid/>
        <w:spacing w:line="360" w:lineRule="auto"/>
        <w:ind w:right="263" w:firstLine="664"/>
        <w:jc w:val="both"/>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4"/>
          <w:sz w:val="32"/>
          <w:szCs w:val="32"/>
          <w:highlight w:val="none"/>
          <w14:textFill>
            <w14:solidFill>
              <w14:schemeClr w14:val="tx1"/>
            </w14:solidFill>
          </w14:textFill>
        </w:rPr>
        <w:t>落实国土空间总体规划确定的生态保护修复区域及要求。以</w:t>
      </w:r>
      <w:r>
        <w:rPr>
          <w:rFonts w:ascii="仿宋_GB2312" w:hAnsi="仿宋_GB2312" w:eastAsia="仿宋_GB2312" w:cs="仿宋_GB2312"/>
          <w:color w:val="000000" w:themeColor="text1"/>
          <w:spacing w:val="5"/>
          <w:sz w:val="32"/>
          <w:szCs w:val="32"/>
          <w:highlight w:val="none"/>
          <w14:textFill>
            <w14:solidFill>
              <w14:schemeClr w14:val="tx1"/>
            </w14:solidFill>
          </w14:textFill>
        </w:rPr>
        <w:t>严守生态保护红线、改善农村人居环境、优化生态空间布局为目标，统筹考虑自然生态系统的完整性和联通性、乡村肌理格局以</w:t>
      </w:r>
      <w:r>
        <w:rPr>
          <w:rFonts w:ascii="仿宋_GB2312" w:hAnsi="仿宋_GB2312" w:eastAsia="仿宋_GB2312" w:cs="仿宋_GB2312"/>
          <w:color w:val="000000" w:themeColor="text1"/>
          <w:spacing w:val="7"/>
          <w:sz w:val="32"/>
          <w:szCs w:val="32"/>
          <w:highlight w:val="none"/>
          <w14:textFill>
            <w14:solidFill>
              <w14:schemeClr w14:val="tx1"/>
            </w14:solidFill>
          </w14:textFill>
        </w:rPr>
        <w:t>及基层群众对于</w:t>
      </w:r>
      <w:r>
        <w:rPr>
          <w:rFonts w:hint="eastAsia" w:ascii="仿宋_GB2312" w:hAnsi="仿宋_GB2312" w:eastAsia="仿宋_GB2312" w:cs="仿宋_GB2312"/>
          <w:color w:val="000000" w:themeColor="text1"/>
          <w:spacing w:val="7"/>
          <w:sz w:val="32"/>
          <w:szCs w:val="32"/>
          <w:highlight w:val="none"/>
          <w:lang w:val="en-US" w:eastAsia="zh-CN"/>
          <w14:textFill>
            <w14:solidFill>
              <w14:schemeClr w14:val="tx1"/>
            </w14:solidFill>
          </w14:textFill>
        </w:rPr>
        <w:t>和美</w:t>
      </w:r>
      <w:r>
        <w:rPr>
          <w:rFonts w:ascii="仿宋_GB2312" w:hAnsi="仿宋_GB2312" w:eastAsia="仿宋_GB2312" w:cs="仿宋_GB2312"/>
          <w:color w:val="000000" w:themeColor="text1"/>
          <w:spacing w:val="7"/>
          <w:sz w:val="32"/>
          <w:szCs w:val="32"/>
          <w:highlight w:val="none"/>
          <w14:textFill>
            <w14:solidFill>
              <w14:schemeClr w14:val="tx1"/>
            </w14:solidFill>
          </w14:textFill>
        </w:rPr>
        <w:t>乡村建设的需要，协同开展矿山生态修复、</w:t>
      </w:r>
      <w:r>
        <w:rPr>
          <w:rFonts w:ascii="仿宋_GB2312" w:hAnsi="仿宋_GB2312" w:eastAsia="仿宋_GB2312" w:cs="仿宋_GB2312"/>
          <w:color w:val="000000" w:themeColor="text1"/>
          <w:spacing w:val="5"/>
          <w:sz w:val="32"/>
          <w:szCs w:val="32"/>
          <w:highlight w:val="none"/>
          <w14:textFill>
            <w14:solidFill>
              <w14:schemeClr w14:val="tx1"/>
            </w14:solidFill>
          </w14:textFill>
        </w:rPr>
        <w:t>湿地与水域生态修复、山林生态修复等工作，加快宜居宜业和美</w:t>
      </w:r>
      <w:r>
        <w:rPr>
          <w:rFonts w:ascii="仿宋_GB2312" w:hAnsi="仿宋_GB2312" w:eastAsia="仿宋_GB2312" w:cs="仿宋_GB2312"/>
          <w:color w:val="000000" w:themeColor="text1"/>
          <w:spacing w:val="6"/>
          <w:sz w:val="32"/>
          <w:szCs w:val="32"/>
          <w:highlight w:val="none"/>
          <w14:textFill>
            <w14:solidFill>
              <w14:schemeClr w14:val="tx1"/>
            </w14:solidFill>
          </w14:textFill>
        </w:rPr>
        <w:t>乡村建设。</w:t>
      </w:r>
    </w:p>
    <w:p w14:paraId="2E9605B6">
      <w:pPr>
        <w:pageBreakBefore w:val="0"/>
        <w:widowControl w:val="0"/>
        <w:kinsoku/>
        <w:wordWrap/>
        <w:overflowPunct/>
        <w:topLinePunct w:val="0"/>
        <w:autoSpaceDE w:val="0"/>
        <w:autoSpaceDN w:val="0"/>
        <w:bidi w:val="0"/>
        <w:adjustRightInd/>
        <w:snapToGrid/>
        <w:spacing w:line="360" w:lineRule="auto"/>
        <w:ind w:left="19" w:firstLine="647"/>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4"/>
          <w:sz w:val="32"/>
          <w:szCs w:val="32"/>
          <w:highlight w:val="none"/>
          <w14:textFill>
            <w14:solidFill>
              <w14:schemeClr w14:val="tx1"/>
            </w14:solidFill>
          </w14:textFill>
        </w:rPr>
        <w:t>矿山生态修复：坚持“谁开发、谁保护，谁污染、谁治理”</w:t>
      </w:r>
      <w:r>
        <w:rPr>
          <w:rFonts w:ascii="仿宋_GB2312" w:hAnsi="仿宋_GB2312" w:eastAsia="仿宋_GB2312" w:cs="仿宋_GB2312"/>
          <w:color w:val="000000" w:themeColor="text1"/>
          <w:spacing w:val="5"/>
          <w:sz w:val="32"/>
          <w:szCs w:val="32"/>
          <w:highlight w:val="none"/>
          <w14:textFill>
            <w14:solidFill>
              <w14:schemeClr w14:val="tx1"/>
            </w14:solidFill>
          </w14:textFill>
        </w:rPr>
        <w:t>的原则，重点加强关停矿山等区域山体修复，改善生态</w:t>
      </w:r>
      <w:r>
        <w:rPr>
          <w:rFonts w:ascii="仿宋_GB2312" w:hAnsi="仿宋_GB2312" w:eastAsia="仿宋_GB2312" w:cs="仿宋_GB2312"/>
          <w:color w:val="000000" w:themeColor="text1"/>
          <w:spacing w:val="4"/>
          <w:sz w:val="32"/>
          <w:szCs w:val="32"/>
          <w:highlight w:val="none"/>
          <w14:textFill>
            <w14:solidFill>
              <w14:schemeClr w14:val="tx1"/>
            </w14:solidFill>
          </w14:textFill>
        </w:rPr>
        <w:t>环境，提</w:t>
      </w:r>
      <w:r>
        <w:rPr>
          <w:rFonts w:ascii="仿宋_GB2312" w:hAnsi="仿宋_GB2312" w:eastAsia="仿宋_GB2312" w:cs="仿宋_GB2312"/>
          <w:color w:val="000000" w:themeColor="text1"/>
          <w:sz w:val="32"/>
          <w:szCs w:val="32"/>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2"/>
          <w:szCs w:val="32"/>
          <w:highlight w:val="none"/>
          <w14:textFill>
            <w14:solidFill>
              <w14:schemeClr w14:val="tx1"/>
            </w14:solidFill>
          </w14:textFill>
        </w:rPr>
        <w:t>高生态质量。引导矿业修复与乡村振兴有机结合，积极开展</w:t>
      </w:r>
      <w:r>
        <w:rPr>
          <w:rFonts w:ascii="仿宋_GB2312" w:hAnsi="仿宋_GB2312" w:eastAsia="仿宋_GB2312" w:cs="仿宋_GB2312"/>
          <w:color w:val="000000" w:themeColor="text1"/>
          <w:spacing w:val="4"/>
          <w:sz w:val="32"/>
          <w:szCs w:val="32"/>
          <w:highlight w:val="none"/>
          <w14:textFill>
            <w14:solidFill>
              <w14:schemeClr w14:val="tx1"/>
            </w14:solidFill>
          </w14:textFill>
        </w:rPr>
        <w:t>工矿</w:t>
      </w:r>
      <w:r>
        <w:rPr>
          <w:rFonts w:ascii="仿宋_GB2312" w:hAnsi="仿宋_GB2312" w:eastAsia="仿宋_GB2312" w:cs="仿宋_GB2312"/>
          <w:color w:val="000000" w:themeColor="text1"/>
          <w:spacing w:val="5"/>
          <w:sz w:val="32"/>
          <w:szCs w:val="32"/>
          <w:highlight w:val="none"/>
          <w14:textFill>
            <w14:solidFill>
              <w14:schemeClr w14:val="tx1"/>
            </w14:solidFill>
          </w14:textFill>
        </w:rPr>
        <w:t>废弃地整治复垦。针对历史遗留矿山主要采取自然恢复、辅助再</w:t>
      </w:r>
      <w:r>
        <w:rPr>
          <w:rFonts w:ascii="仿宋_GB2312" w:hAnsi="仿宋_GB2312" w:eastAsia="仿宋_GB2312" w:cs="仿宋_GB2312"/>
          <w:color w:val="000000" w:themeColor="text1"/>
          <w:spacing w:val="4"/>
          <w:sz w:val="32"/>
          <w:szCs w:val="32"/>
          <w:highlight w:val="none"/>
          <w14:textFill>
            <w14:solidFill>
              <w14:schemeClr w14:val="tx1"/>
            </w14:solidFill>
          </w14:textFill>
        </w:rPr>
        <w:t>生、生态重建、转型利用等生态修复方式；针对现有矿山，坚持</w:t>
      </w:r>
      <w:r>
        <w:rPr>
          <w:rFonts w:ascii="仿宋_GB2312" w:hAnsi="仿宋_GB2312" w:eastAsia="仿宋_GB2312" w:cs="仿宋_GB2312"/>
          <w:color w:val="000000" w:themeColor="text1"/>
          <w:spacing w:val="-3"/>
          <w:sz w:val="32"/>
          <w:szCs w:val="32"/>
          <w:highlight w:val="none"/>
          <w14:textFill>
            <w14:solidFill>
              <w14:schemeClr w14:val="tx1"/>
            </w14:solidFill>
          </w14:textFill>
        </w:rPr>
        <w:t>“边开采边复垦复绿”，加强对矿山绿化修复工作的引导和监</w:t>
      </w:r>
      <w:r>
        <w:rPr>
          <w:rFonts w:ascii="仿宋_GB2312" w:hAnsi="仿宋_GB2312" w:eastAsia="仿宋_GB2312" w:cs="仿宋_GB2312"/>
          <w:color w:val="000000" w:themeColor="text1"/>
          <w:spacing w:val="-4"/>
          <w:sz w:val="32"/>
          <w:szCs w:val="32"/>
          <w:highlight w:val="none"/>
          <w14:textFill>
            <w14:solidFill>
              <w14:schemeClr w14:val="tx1"/>
            </w14:solidFill>
          </w14:textFill>
        </w:rPr>
        <w:t>督。</w:t>
      </w:r>
    </w:p>
    <w:p w14:paraId="67213C76">
      <w:pPr>
        <w:pageBreakBefore w:val="0"/>
        <w:widowControl w:val="0"/>
        <w:kinsoku/>
        <w:wordWrap/>
        <w:overflowPunct/>
        <w:topLinePunct w:val="0"/>
        <w:autoSpaceDE w:val="0"/>
        <w:autoSpaceDN w:val="0"/>
        <w:bidi w:val="0"/>
        <w:adjustRightInd/>
        <w:snapToGrid/>
        <w:spacing w:line="360" w:lineRule="auto"/>
        <w:ind w:left="3" w:right="45" w:firstLine="653"/>
        <w:textAlignment w:val="auto"/>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pacing w:val="4"/>
          <w:sz w:val="32"/>
          <w:szCs w:val="32"/>
          <w:highlight w:val="none"/>
          <w14:textFill>
            <w14:solidFill>
              <w14:schemeClr w14:val="tx1"/>
            </w14:solidFill>
          </w14:textFill>
        </w:rPr>
        <w:t>湿地与水域生态修复：优化</w:t>
      </w:r>
      <w:r>
        <w:rPr>
          <w:rFonts w:hint="eastAsia" w:ascii="仿宋_GB2312" w:hAnsi="仿宋_GB2312" w:eastAsia="仿宋_GB2312" w:cs="仿宋_GB2312"/>
          <w:color w:val="000000" w:themeColor="text1"/>
          <w:spacing w:val="4"/>
          <w:sz w:val="32"/>
          <w:szCs w:val="32"/>
          <w:highlight w:val="none"/>
          <w:lang w:val="en-US" w:eastAsia="zh-CN"/>
          <w14:textFill>
            <w14:solidFill>
              <w14:schemeClr w14:val="tx1"/>
            </w14:solidFill>
          </w14:textFill>
        </w:rPr>
        <w:t>滨河</w:t>
      </w:r>
      <w:r>
        <w:rPr>
          <w:rFonts w:ascii="仿宋_GB2312" w:hAnsi="仿宋_GB2312" w:eastAsia="仿宋_GB2312" w:cs="仿宋_GB2312"/>
          <w:color w:val="000000" w:themeColor="text1"/>
          <w:spacing w:val="4"/>
          <w:sz w:val="32"/>
          <w:szCs w:val="32"/>
          <w:highlight w:val="none"/>
          <w14:textFill>
            <w14:solidFill>
              <w14:schemeClr w14:val="tx1"/>
            </w14:solidFill>
          </w14:textFill>
        </w:rPr>
        <w:t>生态廊道环境。坚持“源</w:t>
      </w:r>
      <w:r>
        <w:rPr>
          <w:rFonts w:ascii="仿宋_GB2312" w:hAnsi="仿宋_GB2312" w:eastAsia="仿宋_GB2312" w:cs="仿宋_GB2312"/>
          <w:color w:val="000000" w:themeColor="text1"/>
          <w:spacing w:val="5"/>
          <w:sz w:val="32"/>
          <w:szCs w:val="32"/>
          <w:highlight w:val="none"/>
          <w14:textFill>
            <w14:solidFill>
              <w14:schemeClr w14:val="tx1"/>
            </w14:solidFill>
          </w14:textFill>
        </w:rPr>
        <w:t>头保护、沿线治污、两岸增绿、生态补水、中水回用”</w:t>
      </w:r>
      <w:r>
        <w:rPr>
          <w:rFonts w:ascii="仿宋_GB2312" w:hAnsi="仿宋_GB2312" w:eastAsia="仿宋_GB2312" w:cs="仿宋_GB2312"/>
          <w:color w:val="000000" w:themeColor="text1"/>
          <w:spacing w:val="-99"/>
          <w:sz w:val="32"/>
          <w:szCs w:val="32"/>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2"/>
          <w:szCs w:val="32"/>
          <w:highlight w:val="none"/>
          <w14:textFill>
            <w14:solidFill>
              <w14:schemeClr w14:val="tx1"/>
            </w14:solidFill>
          </w14:textFill>
        </w:rPr>
        <w:t>的思路，持续实施流域生态保护工程。坚持水岸同治、河路共治，建设带状生态滨水空间，</w:t>
      </w:r>
      <w:r>
        <w:rPr>
          <w:rFonts w:ascii="仿宋_GB2312" w:hAnsi="仿宋_GB2312" w:eastAsia="仿宋_GB2312" w:cs="仿宋_GB2312"/>
          <w:color w:val="000000" w:themeColor="text1"/>
          <w:spacing w:val="-92"/>
          <w:sz w:val="32"/>
          <w:szCs w:val="32"/>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2"/>
          <w:szCs w:val="32"/>
          <w:highlight w:val="none"/>
          <w14:textFill>
            <w14:solidFill>
              <w14:schemeClr w14:val="tx1"/>
            </w14:solidFill>
          </w14:textFill>
        </w:rPr>
        <w:t>以生态步道、慢行系统串</w:t>
      </w:r>
      <w:r>
        <w:rPr>
          <w:rFonts w:ascii="仿宋_GB2312" w:hAnsi="仿宋_GB2312" w:eastAsia="仿宋_GB2312" w:cs="仿宋_GB2312"/>
          <w:color w:val="000000" w:themeColor="text1"/>
          <w:spacing w:val="4"/>
          <w:sz w:val="32"/>
          <w:szCs w:val="32"/>
          <w:highlight w:val="none"/>
          <w14:textFill>
            <w14:solidFill>
              <w14:schemeClr w14:val="tx1"/>
            </w14:solidFill>
          </w14:textFill>
        </w:rPr>
        <w:t>联老城和新区。</w:t>
      </w:r>
    </w:p>
    <w:p w14:paraId="3AD06BBC">
      <w:pPr>
        <w:pageBreakBefore w:val="0"/>
        <w:widowControl w:val="0"/>
        <w:kinsoku/>
        <w:wordWrap/>
        <w:overflowPunct/>
        <w:topLinePunct w:val="0"/>
        <w:autoSpaceDE w:val="0"/>
        <w:autoSpaceDN w:val="0"/>
        <w:bidi w:val="0"/>
        <w:adjustRightInd/>
        <w:snapToGrid/>
        <w:spacing w:line="360" w:lineRule="auto"/>
        <w:ind w:right="89" w:firstLine="669"/>
        <w:textAlignment w:val="auto"/>
        <w:rPr>
          <w:rFonts w:ascii="仿宋_GB2312" w:hAnsi="仿宋_GB2312" w:eastAsia="仿宋_GB2312" w:cs="仿宋_GB2312"/>
          <w:color w:val="000000" w:themeColor="text1"/>
          <w:spacing w:val="9"/>
          <w:sz w:val="32"/>
          <w:szCs w:val="32"/>
          <w:highlight w:val="none"/>
          <w14:textFill>
            <w14:solidFill>
              <w14:schemeClr w14:val="tx1"/>
            </w14:solidFill>
          </w14:textFill>
        </w:rPr>
      </w:pPr>
      <w:r>
        <w:rPr>
          <w:rFonts w:ascii="仿宋_GB2312" w:hAnsi="仿宋_GB2312" w:eastAsia="仿宋_GB2312" w:cs="仿宋_GB2312"/>
          <w:color w:val="000000" w:themeColor="text1"/>
          <w:spacing w:val="4"/>
          <w:sz w:val="32"/>
          <w:szCs w:val="32"/>
          <w:highlight w:val="none"/>
          <w14:textFill>
            <w14:solidFill>
              <w14:schemeClr w14:val="tx1"/>
            </w14:solidFill>
          </w14:textFill>
        </w:rPr>
        <w:t>山林生态修复：实施</w:t>
      </w:r>
      <w:r>
        <w:rPr>
          <w:rFonts w:hint="eastAsia" w:ascii="仿宋_GB2312" w:hAnsi="仿宋_GB2312" w:eastAsia="仿宋_GB2312" w:cs="仿宋_GB2312"/>
          <w:color w:val="000000" w:themeColor="text1"/>
          <w:spacing w:val="4"/>
          <w:sz w:val="32"/>
          <w:szCs w:val="32"/>
          <w:highlight w:val="none"/>
          <w:lang w:val="en-US" w:eastAsia="zh-CN"/>
          <w14:textFill>
            <w14:solidFill>
              <w14:schemeClr w14:val="tx1"/>
            </w14:solidFill>
          </w14:textFill>
        </w:rPr>
        <w:t>造林</w:t>
      </w:r>
      <w:r>
        <w:rPr>
          <w:rFonts w:ascii="仿宋_GB2312" w:hAnsi="仿宋_GB2312" w:eastAsia="仿宋_GB2312" w:cs="仿宋_GB2312"/>
          <w:color w:val="000000" w:themeColor="text1"/>
          <w:spacing w:val="4"/>
          <w:sz w:val="32"/>
          <w:szCs w:val="32"/>
          <w:highlight w:val="none"/>
          <w14:textFill>
            <w14:solidFill>
              <w14:schemeClr w14:val="tx1"/>
            </w14:solidFill>
          </w14:textFill>
        </w:rPr>
        <w:t>绿化行动，推行置</w:t>
      </w:r>
      <w:r>
        <w:rPr>
          <w:rFonts w:ascii="仿宋_GB2312" w:hAnsi="仿宋_GB2312" w:eastAsia="仿宋_GB2312" w:cs="仿宋_GB2312"/>
          <w:color w:val="000000" w:themeColor="text1"/>
          <w:spacing w:val="5"/>
          <w:sz w:val="32"/>
          <w:szCs w:val="32"/>
          <w:highlight w:val="none"/>
          <w14:textFill>
            <w14:solidFill>
              <w14:schemeClr w14:val="tx1"/>
            </w14:solidFill>
          </w14:textFill>
        </w:rPr>
        <w:t>换造林、购买式造林、碳汇造林等市场化运作机制，持续促进增绿增收双赢。重点抓好景区、林区、旅游林地建设，加强植树造林，进一步提高森林覆盖率。实施国省干道、旅游公路等道路两</w:t>
      </w:r>
      <w:r>
        <w:rPr>
          <w:rFonts w:ascii="仿宋_GB2312" w:hAnsi="仿宋_GB2312" w:eastAsia="仿宋_GB2312" w:cs="仿宋_GB2312"/>
          <w:color w:val="000000" w:themeColor="text1"/>
          <w:spacing w:val="9"/>
          <w:sz w:val="32"/>
          <w:szCs w:val="32"/>
          <w:highlight w:val="none"/>
          <w14:textFill>
            <w14:solidFill>
              <w14:schemeClr w14:val="tx1"/>
            </w14:solidFill>
          </w14:textFill>
        </w:rPr>
        <w:t>侧宜林荒山绿化工程，提升通道沿线两侧生态景观。</w:t>
      </w:r>
    </w:p>
    <w:p w14:paraId="3A34F346">
      <w:pPr>
        <w:pStyle w:val="13"/>
        <w:keepNext w:val="0"/>
        <w:keepLines w:val="0"/>
        <w:pageBreakBefore w:val="0"/>
        <w:widowControl w:val="0"/>
        <w:kinsoku/>
        <w:wordWrap/>
        <w:overflowPunct/>
        <w:topLinePunct w:val="0"/>
        <w:autoSpaceDE w:val="0"/>
        <w:autoSpaceDN w:val="0"/>
        <w:bidi w:val="0"/>
        <w:adjustRightInd/>
        <w:snapToGrid w:val="0"/>
        <w:spacing w:before="240" w:beforeLines="0" w:after="240" w:line="592" w:lineRule="exact"/>
        <w:ind w:left="0" w:leftChars="0" w:right="0" w:rightChars="0" w:firstLine="0" w:firstLineChars="0"/>
        <w:jc w:val="center"/>
        <w:textAlignment w:val="auto"/>
        <w:outlineLvl w:val="1"/>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pPr>
      <w:bookmarkStart w:id="123" w:name="_Toc30086"/>
      <w:bookmarkStart w:id="124" w:name="_Toc21747"/>
      <w:r>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t>第六节  建设控制</w:t>
      </w:r>
      <w:bookmarkEnd w:id="123"/>
      <w:bookmarkEnd w:id="124"/>
    </w:p>
    <w:p w14:paraId="36478245">
      <w:pPr>
        <w:pStyle w:val="33"/>
        <w:pageBreakBefore w:val="0"/>
        <w:widowControl w:val="0"/>
        <w:kinsoku/>
        <w:wordWrap/>
        <w:overflowPunct/>
        <w:topLinePunct w:val="0"/>
        <w:autoSpaceDE w:val="0"/>
        <w:autoSpaceDN w:val="0"/>
        <w:bidi w:val="0"/>
        <w:adjustRightInd/>
        <w:snapToGrid/>
        <w:spacing w:before="0" w:line="360" w:lineRule="auto"/>
        <w:ind w:left="0" w:right="108" w:firstLine="675" w:firstLineChars="200"/>
        <w:textAlignment w:val="auto"/>
        <w:rPr>
          <w:rFonts w:hint="eastAsia" w:eastAsia="仿宋_GB2312"/>
          <w:color w:val="000000" w:themeColor="text1"/>
          <w:w w:val="105"/>
          <w:sz w:val="32"/>
          <w:szCs w:val="32"/>
          <w:highlight w:val="none"/>
          <w:lang w:val="en-US" w:eastAsia="zh-CN"/>
          <w14:textFill>
            <w14:solidFill>
              <w14:schemeClr w14:val="tx1"/>
            </w14:solidFill>
          </w14:textFill>
        </w:rPr>
      </w:pPr>
      <w:r>
        <w:rPr>
          <w:rFonts w:hint="eastAsia" w:eastAsia="仿宋_GB2312"/>
          <w:color w:val="000000" w:themeColor="text1"/>
          <w:w w:val="105"/>
          <w:sz w:val="32"/>
          <w:szCs w:val="32"/>
          <w:highlight w:val="none"/>
          <w:lang w:val="en-US" w:eastAsia="zh-CN"/>
          <w14:textFill>
            <w14:solidFill>
              <w14:schemeClr w14:val="tx1"/>
            </w14:solidFill>
          </w14:textFill>
        </w:rPr>
        <w:t xml:space="preserve">村民住宅建设标准 </w:t>
      </w:r>
    </w:p>
    <w:p w14:paraId="49614E74">
      <w:pPr>
        <w:pageBreakBefore w:val="0"/>
        <w:widowControl w:val="0"/>
        <w:kinsoku/>
        <w:wordWrap/>
        <w:overflowPunct/>
        <w:topLinePunct w:val="0"/>
        <w:autoSpaceDE w:val="0"/>
        <w:autoSpaceDN w:val="0"/>
        <w:bidi w:val="0"/>
        <w:adjustRightInd/>
        <w:snapToGrid/>
        <w:spacing w:line="360" w:lineRule="auto"/>
        <w:ind w:right="89" w:firstLine="669"/>
        <w:textAlignment w:val="auto"/>
        <w:rPr>
          <w:rFonts w:hint="default" w:ascii="仿宋_GB2312" w:hAnsi="仿宋_GB2312" w:eastAsia="仿宋_GB2312" w:cs="仿宋_GB2312"/>
          <w:color w:val="000000" w:themeColor="text1"/>
          <w:spacing w:val="4"/>
          <w:sz w:val="32"/>
          <w:szCs w:val="32"/>
          <w:highlight w:val="none"/>
          <w:lang w:val="en-US" w:eastAsia="zh-CN"/>
          <w14:textFill>
            <w14:solidFill>
              <w14:schemeClr w14:val="tx1"/>
            </w14:solidFill>
          </w14:textFill>
        </w:rPr>
      </w:pPr>
      <w:r>
        <w:rPr>
          <w:rFonts w:ascii="仿宋_GB2312" w:hAnsi="仿宋_GB2312" w:eastAsia="仿宋_GB2312" w:cs="仿宋_GB2312"/>
          <w:color w:val="000000" w:themeColor="text1"/>
          <w:spacing w:val="4"/>
          <w:sz w:val="32"/>
          <w:szCs w:val="32"/>
          <w:highlight w:val="none"/>
          <w:lang w:val="en-US" w:eastAsia="zh-CN"/>
          <w14:textFill>
            <w14:solidFill>
              <w14:schemeClr w14:val="tx1"/>
            </w14:solidFill>
          </w14:textFill>
        </w:rPr>
        <w:t xml:space="preserve">严格落实“一户一宅”政策，宅基用地面积按照下列标准执行：城郊、农村集镇和圩区，每户不得超过 </w:t>
      </w:r>
      <w:r>
        <w:rPr>
          <w:rFonts w:hint="default" w:ascii="仿宋_GB2312" w:hAnsi="仿宋_GB2312" w:eastAsia="仿宋_GB2312" w:cs="仿宋_GB2312"/>
          <w:color w:val="000000" w:themeColor="text1"/>
          <w:spacing w:val="4"/>
          <w:sz w:val="32"/>
          <w:szCs w:val="32"/>
          <w:highlight w:val="none"/>
          <w:lang w:val="en-US" w:eastAsia="zh-CN"/>
          <w14:textFill>
            <w14:solidFill>
              <w14:schemeClr w14:val="tx1"/>
            </w14:solidFill>
          </w14:textFill>
        </w:rPr>
        <w:t xml:space="preserve">160 </w:t>
      </w:r>
      <w:r>
        <w:rPr>
          <w:rFonts w:ascii="仿宋_GB2312" w:hAnsi="仿宋_GB2312" w:eastAsia="仿宋_GB2312" w:cs="仿宋_GB2312"/>
          <w:color w:val="000000" w:themeColor="text1"/>
          <w:spacing w:val="4"/>
          <w:sz w:val="32"/>
          <w:szCs w:val="32"/>
          <w:highlight w:val="none"/>
          <w:lang w:val="en-US" w:eastAsia="zh-CN"/>
          <w14:textFill>
            <w14:solidFill>
              <w14:schemeClr w14:val="tx1"/>
            </w14:solidFill>
          </w14:textFill>
        </w:rPr>
        <w:t xml:space="preserve">平方米； 平原地区，每户不得超过 </w:t>
      </w:r>
      <w:r>
        <w:rPr>
          <w:rFonts w:hint="default" w:ascii="仿宋_GB2312" w:hAnsi="仿宋_GB2312" w:eastAsia="仿宋_GB2312" w:cs="仿宋_GB2312"/>
          <w:color w:val="000000" w:themeColor="text1"/>
          <w:spacing w:val="4"/>
          <w:sz w:val="32"/>
          <w:szCs w:val="32"/>
          <w:highlight w:val="none"/>
          <w:lang w:val="en-US" w:eastAsia="zh-CN"/>
          <w14:textFill>
            <w14:solidFill>
              <w14:schemeClr w14:val="tx1"/>
            </w14:solidFill>
          </w14:textFill>
        </w:rPr>
        <w:t xml:space="preserve">220 </w:t>
      </w:r>
      <w:r>
        <w:rPr>
          <w:rFonts w:ascii="仿宋_GB2312" w:hAnsi="仿宋_GB2312" w:eastAsia="仿宋_GB2312" w:cs="仿宋_GB2312"/>
          <w:color w:val="000000" w:themeColor="text1"/>
          <w:spacing w:val="4"/>
          <w:sz w:val="32"/>
          <w:szCs w:val="32"/>
          <w:highlight w:val="none"/>
          <w:lang w:val="en-US" w:eastAsia="zh-CN"/>
          <w14:textFill>
            <w14:solidFill>
              <w14:schemeClr w14:val="tx1"/>
            </w14:solidFill>
          </w14:textFill>
        </w:rPr>
        <w:t xml:space="preserve">平方米，且要明确选址要求和宅基用地范围。 </w:t>
      </w:r>
    </w:p>
    <w:p w14:paraId="5BB771AE">
      <w:pPr>
        <w:pStyle w:val="33"/>
        <w:pageBreakBefore w:val="0"/>
        <w:widowControl w:val="0"/>
        <w:kinsoku/>
        <w:wordWrap/>
        <w:overflowPunct/>
        <w:topLinePunct w:val="0"/>
        <w:autoSpaceDE w:val="0"/>
        <w:autoSpaceDN w:val="0"/>
        <w:bidi w:val="0"/>
        <w:adjustRightInd/>
        <w:snapToGrid/>
        <w:spacing w:before="0" w:line="360" w:lineRule="auto"/>
        <w:ind w:left="0" w:leftChars="0" w:right="0" w:rightChars="0" w:firstLine="675" w:firstLineChars="200"/>
        <w:textAlignment w:val="auto"/>
        <w:rPr>
          <w:rFonts w:hint="eastAsia" w:eastAsia="仿宋_GB2312"/>
          <w:color w:val="000000" w:themeColor="text1"/>
          <w:w w:val="105"/>
          <w:sz w:val="32"/>
          <w:szCs w:val="32"/>
          <w:highlight w:val="none"/>
          <w:lang w:val="en-US" w:eastAsia="zh-CN"/>
          <w14:textFill>
            <w14:solidFill>
              <w14:schemeClr w14:val="tx1"/>
            </w14:solidFill>
          </w14:textFill>
        </w:rPr>
      </w:pPr>
      <w:bookmarkStart w:id="125" w:name="bookmark19"/>
      <w:bookmarkEnd w:id="125"/>
      <w:bookmarkStart w:id="126" w:name="bookmark20"/>
      <w:bookmarkEnd w:id="126"/>
      <w:r>
        <w:rPr>
          <w:rFonts w:hint="eastAsia" w:eastAsia="仿宋_GB2312"/>
          <w:color w:val="000000" w:themeColor="text1"/>
          <w:w w:val="105"/>
          <w:sz w:val="32"/>
          <w:szCs w:val="32"/>
          <w:highlight w:val="none"/>
          <w:lang w:val="en-US" w:eastAsia="zh-CN"/>
          <w14:textFill>
            <w14:solidFill>
              <w14:schemeClr w14:val="tx1"/>
            </w14:solidFill>
          </w14:textFill>
        </w:rPr>
        <w:t>建筑间距</w:t>
      </w:r>
    </w:p>
    <w:p w14:paraId="633DD0F4">
      <w:pPr>
        <w:pageBreakBefore w:val="0"/>
        <w:widowControl w:val="0"/>
        <w:kinsoku/>
        <w:wordWrap/>
        <w:overflowPunct/>
        <w:topLinePunct w:val="0"/>
        <w:autoSpaceDE w:val="0"/>
        <w:autoSpaceDN w:val="0"/>
        <w:bidi w:val="0"/>
        <w:adjustRightInd/>
        <w:spacing w:line="360" w:lineRule="auto"/>
        <w:ind w:left="0" w:leftChars="0" w:right="0" w:rightChars="0" w:firstLine="652" w:firstLineChars="200"/>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8"/>
          <w:sz w:val="31"/>
          <w:szCs w:val="31"/>
          <w:highlight w:val="none"/>
          <w14:textFill>
            <w14:solidFill>
              <w14:schemeClr w14:val="tx1"/>
            </w14:solidFill>
          </w14:textFill>
        </w:rPr>
        <w:t>城镇开发边界外乡村建设用地内的建筑间距，应符合消防、</w:t>
      </w:r>
      <w:r>
        <w:rPr>
          <w:rFonts w:ascii="仿宋_GB2312" w:hAnsi="仿宋_GB2312" w:eastAsia="仿宋_GB2312" w:cs="仿宋_GB2312"/>
          <w:color w:val="000000" w:themeColor="text1"/>
          <w:spacing w:val="-3"/>
          <w:sz w:val="31"/>
          <w:szCs w:val="31"/>
          <w:highlight w:val="none"/>
          <w14:textFill>
            <w14:solidFill>
              <w14:schemeClr w14:val="tx1"/>
            </w14:solidFill>
          </w14:textFill>
        </w:rPr>
        <w:t>环保、日照、空间景观、工程管线敷设和文物保护等方面的要求。</w:t>
      </w:r>
    </w:p>
    <w:p w14:paraId="158E699E">
      <w:pPr>
        <w:pageBreakBefore w:val="0"/>
        <w:widowControl w:val="0"/>
        <w:kinsoku/>
        <w:wordWrap/>
        <w:overflowPunct/>
        <w:topLinePunct w:val="0"/>
        <w:autoSpaceDE w:val="0"/>
        <w:autoSpaceDN w:val="0"/>
        <w:bidi w:val="0"/>
        <w:adjustRightInd/>
        <w:spacing w:line="360" w:lineRule="auto"/>
        <w:ind w:left="0" w:leftChars="0" w:right="0" w:rightChars="0" w:firstLine="636" w:firstLineChars="200"/>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4"/>
          <w:sz w:val="31"/>
          <w:szCs w:val="31"/>
          <w:highlight w:val="none"/>
          <w14:textFill>
            <w14:solidFill>
              <w14:schemeClr w14:val="tx1"/>
            </w14:solidFill>
          </w14:textFill>
        </w:rPr>
        <w:t>农村建筑间距应不妨害相邻权、地役权，应保证相邻房屋</w:t>
      </w:r>
      <w:r>
        <w:rPr>
          <w:rFonts w:ascii="仿宋_GB2312" w:hAnsi="仿宋_GB2312" w:eastAsia="仿宋_GB2312" w:cs="仿宋_GB2312"/>
          <w:color w:val="000000" w:themeColor="text1"/>
          <w:spacing w:val="9"/>
          <w:sz w:val="31"/>
          <w:szCs w:val="31"/>
          <w:highlight w:val="none"/>
          <w14:textFill>
            <w14:solidFill>
              <w14:schemeClr w14:val="tx1"/>
            </w14:solidFill>
          </w14:textFill>
        </w:rPr>
        <w:t>的正常采光和通行要求，并符合《农村防火规范（</w:t>
      </w:r>
      <w:r>
        <w:rPr>
          <w:rFonts w:ascii="仿宋_GB2312" w:hAnsi="仿宋_GB2312" w:eastAsia="仿宋_GB2312" w:cs="仿宋_GB2312"/>
          <w:color w:val="000000" w:themeColor="text1"/>
          <w:sz w:val="31"/>
          <w:szCs w:val="31"/>
          <w:highlight w:val="none"/>
          <w14:textFill>
            <w14:solidFill>
              <w14:schemeClr w14:val="tx1"/>
            </w14:solidFill>
          </w14:textFill>
        </w:rPr>
        <w:t>GB</w:t>
      </w:r>
      <w:r>
        <w:rPr>
          <w:rFonts w:ascii="仿宋_GB2312" w:hAnsi="仿宋_GB2312" w:eastAsia="仿宋_GB2312" w:cs="仿宋_GB2312"/>
          <w:color w:val="000000" w:themeColor="text1"/>
          <w:spacing w:val="9"/>
          <w:sz w:val="31"/>
          <w:szCs w:val="31"/>
          <w:highlight w:val="none"/>
          <w14:textFill>
            <w14:solidFill>
              <w14:schemeClr w14:val="tx1"/>
            </w14:solidFill>
          </w14:textFill>
        </w:rPr>
        <w:t>50039）》</w:t>
      </w:r>
      <w:r>
        <w:rPr>
          <w:rFonts w:ascii="仿宋_GB2312" w:hAnsi="仿宋_GB2312" w:eastAsia="仿宋_GB2312" w:cs="仿宋_GB2312"/>
          <w:color w:val="000000" w:themeColor="text1"/>
          <w:spacing w:val="-3"/>
          <w:sz w:val="31"/>
          <w:szCs w:val="31"/>
          <w:highlight w:val="none"/>
          <w14:textFill>
            <w14:solidFill>
              <w14:schemeClr w14:val="tx1"/>
            </w14:solidFill>
          </w14:textFill>
        </w:rPr>
        <w:t>的规定。</w:t>
      </w:r>
    </w:p>
    <w:p w14:paraId="18F2D38C">
      <w:pPr>
        <w:pageBreakBefore w:val="0"/>
        <w:widowControl w:val="0"/>
        <w:kinsoku/>
        <w:wordWrap/>
        <w:overflowPunct/>
        <w:topLinePunct w:val="0"/>
        <w:autoSpaceDE w:val="0"/>
        <w:autoSpaceDN w:val="0"/>
        <w:bidi w:val="0"/>
        <w:adjustRightInd/>
        <w:spacing w:line="360" w:lineRule="auto"/>
        <w:ind w:left="0" w:leftChars="0" w:right="0" w:rightChars="0" w:firstLine="652" w:firstLineChars="200"/>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8"/>
          <w:sz w:val="31"/>
          <w:szCs w:val="31"/>
          <w:highlight w:val="none"/>
          <w14:textFill>
            <w14:solidFill>
              <w14:schemeClr w14:val="tx1"/>
            </w14:solidFill>
          </w14:textFill>
        </w:rPr>
        <w:t>农村的厂房、仓库、公共建筑和建筑高</w:t>
      </w:r>
      <w:r>
        <w:rPr>
          <w:rFonts w:ascii="仿宋_GB2312" w:hAnsi="仿宋_GB2312" w:eastAsia="仿宋_GB2312" w:cs="仿宋_GB2312"/>
          <w:color w:val="000000" w:themeColor="text1"/>
          <w:spacing w:val="7"/>
          <w:sz w:val="31"/>
          <w:szCs w:val="31"/>
          <w:highlight w:val="none"/>
          <w14:textFill>
            <w14:solidFill>
              <w14:schemeClr w14:val="tx1"/>
            </w14:solidFill>
          </w14:textFill>
        </w:rPr>
        <w:t>度超过</w:t>
      </w:r>
      <w:r>
        <w:rPr>
          <w:rFonts w:ascii="仿宋_GB2312" w:hAnsi="仿宋_GB2312" w:eastAsia="仿宋_GB2312" w:cs="仿宋_GB2312"/>
          <w:color w:val="000000" w:themeColor="text1"/>
          <w:spacing w:val="-40"/>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7"/>
          <w:sz w:val="31"/>
          <w:szCs w:val="31"/>
          <w:highlight w:val="none"/>
          <w14:textFill>
            <w14:solidFill>
              <w14:schemeClr w14:val="tx1"/>
            </w14:solidFill>
          </w14:textFill>
        </w:rPr>
        <w:t>15</w:t>
      </w:r>
      <w:r>
        <w:rPr>
          <w:rFonts w:ascii="仿宋_GB2312" w:hAnsi="仿宋_GB2312" w:eastAsia="仿宋_GB2312" w:cs="仿宋_GB2312"/>
          <w:color w:val="000000" w:themeColor="text1"/>
          <w:spacing w:val="-51"/>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7"/>
          <w:sz w:val="31"/>
          <w:szCs w:val="31"/>
          <w:highlight w:val="none"/>
          <w14:textFill>
            <w14:solidFill>
              <w14:schemeClr w14:val="tx1"/>
            </w14:solidFill>
          </w14:textFill>
        </w:rPr>
        <w:t>米的居</w:t>
      </w:r>
      <w:r>
        <w:rPr>
          <w:rFonts w:ascii="仿宋_GB2312" w:hAnsi="仿宋_GB2312" w:eastAsia="仿宋_GB2312" w:cs="仿宋_GB2312"/>
          <w:color w:val="000000" w:themeColor="text1"/>
          <w:spacing w:val="54"/>
          <w:sz w:val="31"/>
          <w:szCs w:val="31"/>
          <w:highlight w:val="none"/>
          <w14:textFill>
            <w14:solidFill>
              <w14:schemeClr w14:val="tx1"/>
            </w14:solidFill>
          </w14:textFill>
        </w:rPr>
        <w:t>住建筑的建筑间距应执行国家标准《</w:t>
      </w:r>
      <w:r>
        <w:rPr>
          <w:rFonts w:ascii="仿宋_GB2312" w:hAnsi="仿宋_GB2312" w:eastAsia="仿宋_GB2312" w:cs="仿宋_GB2312"/>
          <w:color w:val="000000" w:themeColor="text1"/>
          <w:spacing w:val="-53"/>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54"/>
          <w:sz w:val="31"/>
          <w:szCs w:val="31"/>
          <w:highlight w:val="none"/>
          <w14:textFill>
            <w14:solidFill>
              <w14:schemeClr w14:val="tx1"/>
            </w14:solidFill>
          </w14:textFill>
        </w:rPr>
        <w:t>建筑设计防火规范</w:t>
      </w:r>
      <w:r>
        <w:rPr>
          <w:rFonts w:ascii="仿宋_GB2312" w:hAnsi="仿宋_GB2312" w:eastAsia="仿宋_GB2312" w:cs="仿宋_GB2312"/>
          <w:color w:val="000000" w:themeColor="text1"/>
          <w:spacing w:val="7"/>
          <w:sz w:val="31"/>
          <w:szCs w:val="31"/>
          <w:highlight w:val="none"/>
          <w14:textFill>
            <w14:solidFill>
              <w14:schemeClr w14:val="tx1"/>
            </w14:solidFill>
          </w14:textFill>
        </w:rPr>
        <w:t>（</w:t>
      </w:r>
      <w:r>
        <w:rPr>
          <w:rFonts w:ascii="仿宋_GB2312" w:hAnsi="仿宋_GB2312" w:eastAsia="仿宋_GB2312" w:cs="仿宋_GB2312"/>
          <w:color w:val="000000" w:themeColor="text1"/>
          <w:sz w:val="31"/>
          <w:szCs w:val="31"/>
          <w:highlight w:val="none"/>
          <w14:textFill>
            <w14:solidFill>
              <w14:schemeClr w14:val="tx1"/>
            </w14:solidFill>
          </w14:textFill>
        </w:rPr>
        <w:t>GB</w:t>
      </w:r>
      <w:r>
        <w:rPr>
          <w:rFonts w:ascii="仿宋_GB2312" w:hAnsi="仿宋_GB2312" w:eastAsia="仿宋_GB2312" w:cs="仿宋_GB2312"/>
          <w:color w:val="000000" w:themeColor="text1"/>
          <w:spacing w:val="7"/>
          <w:sz w:val="31"/>
          <w:szCs w:val="31"/>
          <w:highlight w:val="none"/>
          <w14:textFill>
            <w14:solidFill>
              <w14:schemeClr w14:val="tx1"/>
            </w14:solidFill>
          </w14:textFill>
        </w:rPr>
        <w:t>50016）》的规定。</w:t>
      </w:r>
    </w:p>
    <w:p w14:paraId="6A4C5FCB">
      <w:pPr>
        <w:pageBreakBefore w:val="0"/>
        <w:widowControl w:val="0"/>
        <w:kinsoku/>
        <w:wordWrap/>
        <w:overflowPunct/>
        <w:topLinePunct w:val="0"/>
        <w:autoSpaceDE w:val="0"/>
        <w:autoSpaceDN w:val="0"/>
        <w:bidi w:val="0"/>
        <w:adjustRightInd/>
        <w:spacing w:line="360" w:lineRule="auto"/>
        <w:ind w:left="0" w:leftChars="0" w:right="0" w:rightChars="0" w:firstLine="636" w:firstLineChars="200"/>
        <w:textAlignment w:val="auto"/>
        <w:rPr>
          <w:rFonts w:ascii="仿宋_GB2312" w:hAnsi="仿宋_GB2312" w:eastAsia="仿宋_GB2312" w:cs="仿宋_GB2312"/>
          <w:color w:val="000000" w:themeColor="text1"/>
          <w:spacing w:val="7"/>
          <w:sz w:val="31"/>
          <w:szCs w:val="31"/>
          <w:highlight w:val="none"/>
          <w14:textFill>
            <w14:solidFill>
              <w14:schemeClr w14:val="tx1"/>
            </w14:solidFill>
          </w14:textFill>
        </w:rPr>
      </w:pPr>
      <w:r>
        <w:rPr>
          <w:rFonts w:ascii="仿宋_GB2312" w:hAnsi="仿宋_GB2312" w:eastAsia="仿宋_GB2312" w:cs="仿宋_GB2312"/>
          <w:color w:val="000000" w:themeColor="text1"/>
          <w:spacing w:val="4"/>
          <w:sz w:val="31"/>
          <w:szCs w:val="31"/>
          <w:highlight w:val="none"/>
          <w14:textFill>
            <w14:solidFill>
              <w14:schemeClr w14:val="tx1"/>
            </w14:solidFill>
          </w14:textFill>
        </w:rPr>
        <w:t>集贸市场、厂房、仓库以及变压器、变电所（站）之间及</w:t>
      </w:r>
      <w:r>
        <w:rPr>
          <w:rFonts w:ascii="仿宋_GB2312" w:hAnsi="仿宋_GB2312" w:eastAsia="仿宋_GB2312" w:cs="仿宋_GB2312"/>
          <w:color w:val="000000" w:themeColor="text1"/>
          <w:spacing w:val="5"/>
          <w:sz w:val="31"/>
          <w:szCs w:val="31"/>
          <w:highlight w:val="none"/>
          <w14:textFill>
            <w14:solidFill>
              <w14:schemeClr w14:val="tx1"/>
            </w14:solidFill>
          </w14:textFill>
        </w:rPr>
        <w:t>与居住建筑的防火间距应符合现行国家标准《建筑设计防火规范</w:t>
      </w:r>
      <w:r>
        <w:rPr>
          <w:rFonts w:ascii="仿宋_GB2312" w:hAnsi="仿宋_GB2312" w:eastAsia="仿宋_GB2312" w:cs="仿宋_GB2312"/>
          <w:color w:val="000000" w:themeColor="text1"/>
          <w:spacing w:val="7"/>
          <w:sz w:val="31"/>
          <w:szCs w:val="31"/>
          <w:highlight w:val="none"/>
          <w14:textFill>
            <w14:solidFill>
              <w14:schemeClr w14:val="tx1"/>
            </w14:solidFill>
          </w14:textFill>
        </w:rPr>
        <w:t>（</w:t>
      </w:r>
      <w:r>
        <w:rPr>
          <w:rFonts w:ascii="仿宋_GB2312" w:hAnsi="仿宋_GB2312" w:eastAsia="仿宋_GB2312" w:cs="仿宋_GB2312"/>
          <w:color w:val="000000" w:themeColor="text1"/>
          <w:sz w:val="31"/>
          <w:szCs w:val="31"/>
          <w:highlight w:val="none"/>
          <w14:textFill>
            <w14:solidFill>
              <w14:schemeClr w14:val="tx1"/>
            </w14:solidFill>
          </w14:textFill>
        </w:rPr>
        <w:t>GB</w:t>
      </w:r>
      <w:r>
        <w:rPr>
          <w:rFonts w:ascii="仿宋_GB2312" w:hAnsi="仿宋_GB2312" w:eastAsia="仿宋_GB2312" w:cs="仿宋_GB2312"/>
          <w:color w:val="000000" w:themeColor="text1"/>
          <w:spacing w:val="7"/>
          <w:sz w:val="31"/>
          <w:szCs w:val="31"/>
          <w:highlight w:val="none"/>
          <w14:textFill>
            <w14:solidFill>
              <w14:schemeClr w14:val="tx1"/>
            </w14:solidFill>
          </w14:textFill>
        </w:rPr>
        <w:t>50016）》的要求。</w:t>
      </w:r>
      <w:bookmarkStart w:id="127" w:name="bookmark21"/>
      <w:bookmarkEnd w:id="127"/>
    </w:p>
    <w:p w14:paraId="0CDC3DDA">
      <w:pPr>
        <w:pStyle w:val="33"/>
        <w:pageBreakBefore w:val="0"/>
        <w:widowControl w:val="0"/>
        <w:kinsoku/>
        <w:wordWrap/>
        <w:overflowPunct/>
        <w:topLinePunct w:val="0"/>
        <w:autoSpaceDE w:val="0"/>
        <w:autoSpaceDN w:val="0"/>
        <w:bidi w:val="0"/>
        <w:adjustRightInd/>
        <w:snapToGrid/>
        <w:spacing w:before="0" w:line="360" w:lineRule="auto"/>
        <w:ind w:left="0" w:leftChars="0" w:right="0" w:rightChars="0" w:firstLine="675" w:firstLineChars="200"/>
        <w:textAlignment w:val="auto"/>
        <w:rPr>
          <w:rFonts w:hint="eastAsia" w:eastAsia="仿宋_GB2312"/>
          <w:color w:val="000000" w:themeColor="text1"/>
          <w:w w:val="105"/>
          <w:sz w:val="32"/>
          <w:szCs w:val="32"/>
          <w:highlight w:val="none"/>
          <w:lang w:val="en-US" w:eastAsia="zh-CN"/>
          <w14:textFill>
            <w14:solidFill>
              <w14:schemeClr w14:val="tx1"/>
            </w14:solidFill>
          </w14:textFill>
        </w:rPr>
      </w:pPr>
      <w:r>
        <w:rPr>
          <w:rFonts w:hint="eastAsia" w:eastAsia="仿宋_GB2312"/>
          <w:color w:val="000000" w:themeColor="text1"/>
          <w:w w:val="105"/>
          <w:sz w:val="32"/>
          <w:szCs w:val="32"/>
          <w:highlight w:val="none"/>
          <w:lang w:val="en-US" w:eastAsia="zh-CN"/>
          <w14:textFill>
            <w14:solidFill>
              <w14:schemeClr w14:val="tx1"/>
            </w14:solidFill>
          </w14:textFill>
        </w:rPr>
        <w:t>建筑退界</w:t>
      </w:r>
    </w:p>
    <w:p w14:paraId="5C8E3A04">
      <w:pPr>
        <w:pageBreakBefore w:val="0"/>
        <w:widowControl w:val="0"/>
        <w:kinsoku/>
        <w:wordWrap/>
        <w:overflowPunct/>
        <w:topLinePunct w:val="0"/>
        <w:autoSpaceDE w:val="0"/>
        <w:autoSpaceDN w:val="0"/>
        <w:bidi w:val="0"/>
        <w:adjustRightInd/>
        <w:spacing w:line="360" w:lineRule="auto"/>
        <w:ind w:left="0" w:leftChars="0" w:right="0" w:rightChars="0" w:firstLine="636" w:firstLineChars="200"/>
        <w:textAlignment w:val="auto"/>
        <w:rPr>
          <w:rFonts w:ascii="仿宋_GB2312" w:hAnsi="仿宋_GB2312" w:eastAsia="仿宋_GB2312" w:cs="仿宋_GB2312"/>
          <w:color w:val="000000" w:themeColor="text1"/>
          <w:spacing w:val="4"/>
          <w:sz w:val="31"/>
          <w:szCs w:val="31"/>
          <w:highlight w:val="none"/>
          <w14:textFill>
            <w14:solidFill>
              <w14:schemeClr w14:val="tx1"/>
            </w14:solidFill>
          </w14:textFill>
        </w:rPr>
      </w:pPr>
      <w:r>
        <w:rPr>
          <w:rFonts w:ascii="仿宋_GB2312" w:hAnsi="仿宋_GB2312" w:eastAsia="仿宋_GB2312" w:cs="仿宋_GB2312"/>
          <w:color w:val="000000" w:themeColor="text1"/>
          <w:spacing w:val="4"/>
          <w:sz w:val="31"/>
          <w:szCs w:val="31"/>
          <w:highlight w:val="none"/>
          <w14:textFill>
            <w14:solidFill>
              <w14:schemeClr w14:val="tx1"/>
            </w14:solidFill>
          </w14:textFill>
        </w:rPr>
        <w:t>沿建筑用地界线和沿乡村道路、公路、河道、铁路、电力线路、工程管线布局的建筑物以及在文物保护单位、易燃易爆设施、城市基础设施周边布局的建筑物，其退让距离应符合消防、日照、环保、卫生、抗震、防洪、安全和文物保护等要求，必要时还应征求相关部门意见。</w:t>
      </w:r>
    </w:p>
    <w:p w14:paraId="77991FFC">
      <w:pPr>
        <w:pageBreakBefore w:val="0"/>
        <w:widowControl w:val="0"/>
        <w:kinsoku/>
        <w:wordWrap/>
        <w:overflowPunct/>
        <w:topLinePunct w:val="0"/>
        <w:autoSpaceDE w:val="0"/>
        <w:autoSpaceDN w:val="0"/>
        <w:bidi w:val="0"/>
        <w:adjustRightInd/>
        <w:spacing w:line="360" w:lineRule="auto"/>
        <w:ind w:left="0" w:leftChars="0" w:right="0" w:rightChars="0" w:firstLine="636" w:firstLineChars="200"/>
        <w:textAlignment w:val="auto"/>
        <w:rPr>
          <w:rFonts w:ascii="仿宋_GB2312" w:hAnsi="仿宋_GB2312" w:eastAsia="仿宋_GB2312" w:cs="仿宋_GB2312"/>
          <w:color w:val="000000" w:themeColor="text1"/>
          <w:spacing w:val="4"/>
          <w:sz w:val="31"/>
          <w:szCs w:val="31"/>
          <w:highlight w:val="none"/>
          <w14:textFill>
            <w14:solidFill>
              <w14:schemeClr w14:val="tx1"/>
            </w14:solidFill>
          </w14:textFill>
        </w:rPr>
      </w:pPr>
      <w:r>
        <w:rPr>
          <w:rFonts w:ascii="仿宋_GB2312" w:hAnsi="仿宋_GB2312" w:eastAsia="仿宋_GB2312" w:cs="仿宋_GB2312"/>
          <w:color w:val="000000" w:themeColor="text1"/>
          <w:spacing w:val="4"/>
          <w:sz w:val="31"/>
          <w:szCs w:val="31"/>
          <w:highlight w:val="none"/>
          <w14:textFill>
            <w14:solidFill>
              <w14:schemeClr w14:val="tx1"/>
            </w14:solidFill>
          </w14:textFill>
        </w:rPr>
        <w:t>同一建筑在建筑间距和建筑退让等多重控制要求的情况下原则上按最大的控制距离执行。</w:t>
      </w:r>
    </w:p>
    <w:p w14:paraId="1246B066">
      <w:pPr>
        <w:pageBreakBefore w:val="0"/>
        <w:widowControl w:val="0"/>
        <w:kinsoku/>
        <w:wordWrap/>
        <w:overflowPunct/>
        <w:topLinePunct w:val="0"/>
        <w:autoSpaceDE w:val="0"/>
        <w:autoSpaceDN w:val="0"/>
        <w:bidi w:val="0"/>
        <w:adjustRightInd/>
        <w:spacing w:line="360" w:lineRule="auto"/>
        <w:ind w:left="0" w:leftChars="0" w:right="0" w:rightChars="0" w:firstLine="640" w:firstLineChars="200"/>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5"/>
          <w:sz w:val="31"/>
          <w:szCs w:val="31"/>
          <w:highlight w:val="none"/>
          <w14:textFill>
            <w14:solidFill>
              <w14:schemeClr w14:val="tx1"/>
            </w14:solidFill>
          </w14:textFill>
        </w:rPr>
        <w:t>建筑后退用地界线距离：</w:t>
      </w:r>
      <w:r>
        <w:rPr>
          <w:rFonts w:ascii="仿宋_GB2312" w:hAnsi="仿宋_GB2312" w:eastAsia="仿宋_GB2312" w:cs="仿宋_GB2312"/>
          <w:color w:val="000000" w:themeColor="text1"/>
          <w:spacing w:val="2"/>
          <w:sz w:val="31"/>
          <w:szCs w:val="31"/>
          <w:highlight w:val="none"/>
          <w14:textFill>
            <w14:solidFill>
              <w14:schemeClr w14:val="tx1"/>
            </w14:solidFill>
          </w14:textFill>
        </w:rPr>
        <w:t>建筑后退用地界线原则不低于</w:t>
      </w:r>
      <w:r>
        <w:rPr>
          <w:rFonts w:ascii="仿宋_GB2312" w:hAnsi="仿宋_GB2312" w:eastAsia="仿宋_GB2312" w:cs="仿宋_GB2312"/>
          <w:color w:val="000000" w:themeColor="text1"/>
          <w:spacing w:val="-22"/>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2"/>
          <w:sz w:val="31"/>
          <w:szCs w:val="31"/>
          <w:highlight w:val="none"/>
          <w14:textFill>
            <w14:solidFill>
              <w14:schemeClr w14:val="tx1"/>
            </w14:solidFill>
          </w14:textFill>
        </w:rPr>
        <w:t>3</w:t>
      </w:r>
      <w:r>
        <w:rPr>
          <w:rFonts w:ascii="仿宋_GB2312" w:hAnsi="仿宋_GB2312" w:eastAsia="仿宋_GB2312" w:cs="仿宋_GB2312"/>
          <w:color w:val="000000" w:themeColor="text1"/>
          <w:spacing w:val="-53"/>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2"/>
          <w:sz w:val="31"/>
          <w:szCs w:val="31"/>
          <w:highlight w:val="none"/>
          <w14:textFill>
            <w14:solidFill>
              <w14:schemeClr w14:val="tx1"/>
            </w14:solidFill>
          </w14:textFill>
        </w:rPr>
        <w:t>米。用地局限时，在满足消</w:t>
      </w:r>
      <w:r>
        <w:rPr>
          <w:rFonts w:ascii="仿宋_GB2312" w:hAnsi="仿宋_GB2312" w:eastAsia="仿宋_GB2312" w:cs="仿宋_GB2312"/>
          <w:color w:val="000000" w:themeColor="text1"/>
          <w:spacing w:val="5"/>
          <w:sz w:val="31"/>
          <w:szCs w:val="31"/>
          <w:highlight w:val="none"/>
          <w14:textFill>
            <w14:solidFill>
              <w14:schemeClr w14:val="tx1"/>
            </w14:solidFill>
          </w14:textFill>
        </w:rPr>
        <w:t>防、日照等要求的前提下，并经征得界外相</w:t>
      </w:r>
      <w:r>
        <w:rPr>
          <w:rFonts w:ascii="仿宋_GB2312" w:hAnsi="仿宋_GB2312" w:eastAsia="仿宋_GB2312" w:cs="仿宋_GB2312"/>
          <w:color w:val="000000" w:themeColor="text1"/>
          <w:spacing w:val="4"/>
          <w:sz w:val="31"/>
          <w:szCs w:val="31"/>
          <w:highlight w:val="none"/>
          <w14:textFill>
            <w14:solidFill>
              <w14:schemeClr w14:val="tx1"/>
            </w14:solidFill>
          </w14:textFill>
        </w:rPr>
        <w:t>邻用地单位同意，建</w:t>
      </w:r>
      <w:r>
        <w:rPr>
          <w:rFonts w:ascii="仿宋_GB2312" w:hAnsi="仿宋_GB2312" w:eastAsia="仿宋_GB2312" w:cs="仿宋_GB2312"/>
          <w:color w:val="000000" w:themeColor="text1"/>
          <w:spacing w:val="7"/>
          <w:sz w:val="31"/>
          <w:szCs w:val="31"/>
          <w:highlight w:val="none"/>
          <w14:textFill>
            <w14:solidFill>
              <w14:schemeClr w14:val="tx1"/>
            </w14:solidFill>
          </w14:textFill>
        </w:rPr>
        <w:t>筑后退用地界线距离可适当缩小或不作要求。</w:t>
      </w:r>
    </w:p>
    <w:p w14:paraId="326F1015">
      <w:pPr>
        <w:pageBreakBefore w:val="0"/>
        <w:widowControl w:val="0"/>
        <w:kinsoku/>
        <w:wordWrap/>
        <w:overflowPunct/>
        <w:topLinePunct w:val="0"/>
        <w:autoSpaceDE w:val="0"/>
        <w:autoSpaceDN w:val="0"/>
        <w:bidi w:val="0"/>
        <w:adjustRightInd/>
        <w:spacing w:line="360" w:lineRule="auto"/>
        <w:ind w:left="0" w:leftChars="0" w:right="0" w:rightChars="0" w:firstLine="640" w:firstLineChars="200"/>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5"/>
          <w:sz w:val="31"/>
          <w:szCs w:val="31"/>
          <w:highlight w:val="none"/>
          <w14:textFill>
            <w14:solidFill>
              <w14:schemeClr w14:val="tx1"/>
            </w14:solidFill>
          </w14:textFill>
        </w:rPr>
        <w:t>建筑后退公路距离：</w:t>
      </w:r>
      <w:r>
        <w:rPr>
          <w:rFonts w:ascii="仿宋_GB2312" w:hAnsi="仿宋_GB2312" w:eastAsia="仿宋_GB2312" w:cs="仿宋_GB2312"/>
          <w:color w:val="000000" w:themeColor="text1"/>
          <w:spacing w:val="4"/>
          <w:sz w:val="31"/>
          <w:szCs w:val="31"/>
          <w:highlight w:val="none"/>
          <w14:textFill>
            <w14:solidFill>
              <w14:schemeClr w14:val="tx1"/>
            </w14:solidFill>
          </w14:textFill>
        </w:rPr>
        <w:t>除高速公路防护、养护需要的建筑以外，其他建筑后退高速</w:t>
      </w:r>
      <w:r>
        <w:rPr>
          <w:rFonts w:ascii="仿宋_GB2312" w:hAnsi="仿宋_GB2312" w:eastAsia="仿宋_GB2312" w:cs="仿宋_GB2312"/>
          <w:color w:val="000000" w:themeColor="text1"/>
          <w:spacing w:val="8"/>
          <w:sz w:val="31"/>
          <w:szCs w:val="31"/>
          <w:highlight w:val="none"/>
          <w14:textFill>
            <w14:solidFill>
              <w14:schemeClr w14:val="tx1"/>
            </w14:solidFill>
          </w14:textFill>
        </w:rPr>
        <w:t>公路边沟外缘的距离不得小于</w:t>
      </w:r>
      <w:r>
        <w:rPr>
          <w:rFonts w:ascii="仿宋_GB2312" w:hAnsi="仿宋_GB2312" w:eastAsia="仿宋_GB2312" w:cs="仿宋_GB2312"/>
          <w:color w:val="000000" w:themeColor="text1"/>
          <w:spacing w:val="-19"/>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8"/>
          <w:sz w:val="31"/>
          <w:szCs w:val="31"/>
          <w:highlight w:val="none"/>
          <w14:textFill>
            <w14:solidFill>
              <w14:schemeClr w14:val="tx1"/>
            </w14:solidFill>
          </w14:textFill>
        </w:rPr>
        <w:t>30</w:t>
      </w:r>
      <w:r>
        <w:rPr>
          <w:rFonts w:ascii="仿宋_GB2312" w:hAnsi="仿宋_GB2312" w:eastAsia="仿宋_GB2312" w:cs="仿宋_GB2312"/>
          <w:color w:val="000000" w:themeColor="text1"/>
          <w:spacing w:val="-52"/>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8"/>
          <w:sz w:val="31"/>
          <w:szCs w:val="31"/>
          <w:highlight w:val="none"/>
          <w14:textFill>
            <w14:solidFill>
              <w14:schemeClr w14:val="tx1"/>
            </w14:solidFill>
          </w14:textFill>
        </w:rPr>
        <w:t>米；后退匝道、高速公路连接</w:t>
      </w:r>
      <w:r>
        <w:rPr>
          <w:rFonts w:ascii="仿宋_GB2312" w:hAnsi="仿宋_GB2312" w:eastAsia="仿宋_GB2312" w:cs="仿宋_GB2312"/>
          <w:color w:val="000000" w:themeColor="text1"/>
          <w:spacing w:val="-2"/>
          <w:sz w:val="31"/>
          <w:szCs w:val="31"/>
          <w:highlight w:val="none"/>
          <w14:textFill>
            <w14:solidFill>
              <w14:schemeClr w14:val="tx1"/>
            </w14:solidFill>
          </w14:textFill>
        </w:rPr>
        <w:t>线外缘的距离不得小于</w:t>
      </w:r>
      <w:r>
        <w:rPr>
          <w:rFonts w:ascii="仿宋_GB2312" w:hAnsi="仿宋_GB2312" w:eastAsia="仿宋_GB2312" w:cs="仿宋_GB2312"/>
          <w:color w:val="000000" w:themeColor="text1"/>
          <w:spacing w:val="-77"/>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2"/>
          <w:sz w:val="31"/>
          <w:szCs w:val="31"/>
          <w:highlight w:val="none"/>
          <w14:textFill>
            <w14:solidFill>
              <w14:schemeClr w14:val="tx1"/>
            </w14:solidFill>
          </w14:textFill>
        </w:rPr>
        <w:t>20</w:t>
      </w:r>
      <w:r>
        <w:rPr>
          <w:rFonts w:ascii="仿宋_GB2312" w:hAnsi="仿宋_GB2312" w:eastAsia="仿宋_GB2312" w:cs="仿宋_GB2312"/>
          <w:color w:val="000000" w:themeColor="text1"/>
          <w:spacing w:val="-82"/>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2"/>
          <w:sz w:val="31"/>
          <w:szCs w:val="31"/>
          <w:highlight w:val="none"/>
          <w14:textFill>
            <w14:solidFill>
              <w14:schemeClr w14:val="tx1"/>
            </w14:solidFill>
          </w14:textFill>
        </w:rPr>
        <w:t>米；后退收费站的距离不得小</w:t>
      </w:r>
      <w:r>
        <w:rPr>
          <w:rFonts w:ascii="仿宋_GB2312" w:hAnsi="仿宋_GB2312" w:eastAsia="仿宋_GB2312" w:cs="仿宋_GB2312"/>
          <w:color w:val="000000" w:themeColor="text1"/>
          <w:spacing w:val="-3"/>
          <w:sz w:val="31"/>
          <w:szCs w:val="31"/>
          <w:highlight w:val="none"/>
          <w14:textFill>
            <w14:solidFill>
              <w14:schemeClr w14:val="tx1"/>
            </w14:solidFill>
          </w14:textFill>
        </w:rPr>
        <w:t>于</w:t>
      </w:r>
      <w:r>
        <w:rPr>
          <w:rFonts w:ascii="仿宋_GB2312" w:hAnsi="仿宋_GB2312" w:eastAsia="仿宋_GB2312" w:cs="仿宋_GB2312"/>
          <w:color w:val="000000" w:themeColor="text1"/>
          <w:spacing w:val="-73"/>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3"/>
          <w:sz w:val="31"/>
          <w:szCs w:val="31"/>
          <w:highlight w:val="none"/>
          <w14:textFill>
            <w14:solidFill>
              <w14:schemeClr w14:val="tx1"/>
            </w14:solidFill>
          </w14:textFill>
        </w:rPr>
        <w:t>50</w:t>
      </w:r>
      <w:r>
        <w:rPr>
          <w:rFonts w:ascii="仿宋_GB2312" w:hAnsi="仿宋_GB2312" w:eastAsia="仿宋_GB2312" w:cs="仿宋_GB2312"/>
          <w:color w:val="000000" w:themeColor="text1"/>
          <w:spacing w:val="-80"/>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3"/>
          <w:sz w:val="31"/>
          <w:szCs w:val="31"/>
          <w:highlight w:val="none"/>
          <w14:textFill>
            <w14:solidFill>
              <w14:schemeClr w14:val="tx1"/>
            </w14:solidFill>
          </w14:textFill>
        </w:rPr>
        <w:t>米。</w:t>
      </w:r>
    </w:p>
    <w:p w14:paraId="57B32097">
      <w:pPr>
        <w:pageBreakBefore w:val="0"/>
        <w:widowControl w:val="0"/>
        <w:kinsoku/>
        <w:wordWrap/>
        <w:overflowPunct/>
        <w:topLinePunct w:val="0"/>
        <w:autoSpaceDE w:val="0"/>
        <w:autoSpaceDN w:val="0"/>
        <w:bidi w:val="0"/>
        <w:adjustRightInd/>
        <w:spacing w:line="360" w:lineRule="auto"/>
        <w:ind w:left="0" w:leftChars="0" w:right="0" w:rightChars="0" w:firstLine="640" w:firstLineChars="200"/>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5"/>
          <w:sz w:val="31"/>
          <w:szCs w:val="31"/>
          <w:highlight w:val="none"/>
          <w14:textFill>
            <w14:solidFill>
              <w14:schemeClr w14:val="tx1"/>
            </w14:solidFill>
          </w14:textFill>
        </w:rPr>
        <w:t>根据《公路安全保护条例》规定，公路两侧建筑控制区范围</w:t>
      </w:r>
      <w:r>
        <w:rPr>
          <w:rFonts w:ascii="仿宋_GB2312" w:hAnsi="仿宋_GB2312" w:eastAsia="仿宋_GB2312" w:cs="仿宋_GB2312"/>
          <w:color w:val="000000" w:themeColor="text1"/>
          <w:spacing w:val="1"/>
          <w:sz w:val="31"/>
          <w:szCs w:val="31"/>
          <w:highlight w:val="none"/>
          <w14:textFill>
            <w14:solidFill>
              <w14:schemeClr w14:val="tx1"/>
            </w14:solidFill>
          </w14:textFill>
        </w:rPr>
        <w:t>从公路边沟外缘起：国道不少于</w:t>
      </w:r>
      <w:r>
        <w:rPr>
          <w:rFonts w:ascii="仿宋_GB2312" w:hAnsi="仿宋_GB2312" w:eastAsia="仿宋_GB2312" w:cs="仿宋_GB2312"/>
          <w:color w:val="000000" w:themeColor="text1"/>
          <w:spacing w:val="-48"/>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1"/>
          <w:sz w:val="31"/>
          <w:szCs w:val="31"/>
          <w:highlight w:val="none"/>
          <w14:textFill>
            <w14:solidFill>
              <w14:schemeClr w14:val="tx1"/>
            </w14:solidFill>
          </w14:textFill>
        </w:rPr>
        <w:t>20</w:t>
      </w:r>
      <w:r>
        <w:rPr>
          <w:rFonts w:ascii="仿宋_GB2312" w:hAnsi="仿宋_GB2312" w:eastAsia="仿宋_GB2312" w:cs="仿宋_GB2312"/>
          <w:color w:val="000000" w:themeColor="text1"/>
          <w:spacing w:val="-53"/>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1"/>
          <w:sz w:val="31"/>
          <w:szCs w:val="31"/>
          <w:highlight w:val="none"/>
          <w14:textFill>
            <w14:solidFill>
              <w14:schemeClr w14:val="tx1"/>
            </w14:solidFill>
          </w14:textFill>
        </w:rPr>
        <w:t>米；省道不少于</w:t>
      </w:r>
      <w:r>
        <w:rPr>
          <w:rFonts w:ascii="仿宋_GB2312" w:hAnsi="仿宋_GB2312" w:eastAsia="仿宋_GB2312" w:cs="仿宋_GB2312"/>
          <w:color w:val="000000" w:themeColor="text1"/>
          <w:spacing w:val="-41"/>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1"/>
          <w:sz w:val="31"/>
          <w:szCs w:val="31"/>
          <w:highlight w:val="none"/>
          <w14:textFill>
            <w14:solidFill>
              <w14:schemeClr w14:val="tx1"/>
            </w14:solidFill>
          </w14:textFill>
        </w:rPr>
        <w:t>15</w:t>
      </w:r>
      <w:r>
        <w:rPr>
          <w:rFonts w:ascii="仿宋_GB2312" w:hAnsi="仿宋_GB2312" w:eastAsia="仿宋_GB2312" w:cs="仿宋_GB2312"/>
          <w:color w:val="000000" w:themeColor="text1"/>
          <w:spacing w:val="-54"/>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1"/>
          <w:sz w:val="31"/>
          <w:szCs w:val="31"/>
          <w:highlight w:val="none"/>
          <w14:textFill>
            <w14:solidFill>
              <w14:schemeClr w14:val="tx1"/>
            </w14:solidFill>
          </w14:textFill>
        </w:rPr>
        <w:t>米；县道</w:t>
      </w:r>
      <w:r>
        <w:rPr>
          <w:rFonts w:ascii="仿宋_GB2312" w:hAnsi="仿宋_GB2312" w:eastAsia="仿宋_GB2312" w:cs="仿宋_GB2312"/>
          <w:color w:val="000000" w:themeColor="text1"/>
          <w:spacing w:val="-5"/>
          <w:sz w:val="31"/>
          <w:szCs w:val="31"/>
          <w:highlight w:val="none"/>
          <w14:textFill>
            <w14:solidFill>
              <w14:schemeClr w14:val="tx1"/>
            </w14:solidFill>
          </w14:textFill>
        </w:rPr>
        <w:t>不少于</w:t>
      </w:r>
      <w:r>
        <w:rPr>
          <w:rFonts w:ascii="仿宋_GB2312" w:hAnsi="仿宋_GB2312" w:eastAsia="仿宋_GB2312" w:cs="仿宋_GB2312"/>
          <w:color w:val="000000" w:themeColor="text1"/>
          <w:spacing w:val="-36"/>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1"/>
          <w:szCs w:val="31"/>
          <w:highlight w:val="none"/>
          <w14:textFill>
            <w14:solidFill>
              <w14:schemeClr w14:val="tx1"/>
            </w14:solidFill>
          </w14:textFill>
        </w:rPr>
        <w:t>10</w:t>
      </w:r>
      <w:r>
        <w:rPr>
          <w:rFonts w:ascii="仿宋_GB2312" w:hAnsi="仿宋_GB2312" w:eastAsia="仿宋_GB2312" w:cs="仿宋_GB2312"/>
          <w:color w:val="000000" w:themeColor="text1"/>
          <w:spacing w:val="-56"/>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1"/>
          <w:szCs w:val="31"/>
          <w:highlight w:val="none"/>
          <w14:textFill>
            <w14:solidFill>
              <w14:schemeClr w14:val="tx1"/>
            </w14:solidFill>
          </w14:textFill>
        </w:rPr>
        <w:t>米；</w:t>
      </w:r>
      <w:r>
        <w:rPr>
          <w:rFonts w:ascii="仿宋_GB2312" w:hAnsi="仿宋_GB2312" w:eastAsia="仿宋_GB2312" w:cs="仿宋_GB2312"/>
          <w:color w:val="000000" w:themeColor="text1"/>
          <w:spacing w:val="-86"/>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1"/>
          <w:szCs w:val="31"/>
          <w:highlight w:val="none"/>
          <w14:textFill>
            <w14:solidFill>
              <w14:schemeClr w14:val="tx1"/>
            </w14:solidFill>
          </w14:textFill>
        </w:rPr>
        <w:t>乡道不少于</w:t>
      </w:r>
      <w:r>
        <w:rPr>
          <w:rFonts w:ascii="仿宋_GB2312" w:hAnsi="仿宋_GB2312" w:eastAsia="仿宋_GB2312" w:cs="仿宋_GB2312"/>
          <w:color w:val="000000" w:themeColor="text1"/>
          <w:spacing w:val="-44"/>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1"/>
          <w:szCs w:val="31"/>
          <w:highlight w:val="none"/>
          <w14:textFill>
            <w14:solidFill>
              <w14:schemeClr w14:val="tx1"/>
            </w14:solidFill>
          </w14:textFill>
        </w:rPr>
        <w:t>5</w:t>
      </w:r>
      <w:r>
        <w:rPr>
          <w:rFonts w:ascii="仿宋_GB2312" w:hAnsi="仿宋_GB2312" w:eastAsia="仿宋_GB2312" w:cs="仿宋_GB2312"/>
          <w:color w:val="000000" w:themeColor="text1"/>
          <w:spacing w:val="-54"/>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1"/>
          <w:szCs w:val="31"/>
          <w:highlight w:val="none"/>
          <w14:textFill>
            <w14:solidFill>
              <w14:schemeClr w14:val="tx1"/>
            </w14:solidFill>
          </w14:textFill>
        </w:rPr>
        <w:t>米。</w:t>
      </w:r>
    </w:p>
    <w:p w14:paraId="1F2E004F">
      <w:pPr>
        <w:pageBreakBefore w:val="0"/>
        <w:widowControl w:val="0"/>
        <w:kinsoku/>
        <w:wordWrap/>
        <w:overflowPunct/>
        <w:topLinePunct w:val="0"/>
        <w:autoSpaceDE w:val="0"/>
        <w:autoSpaceDN w:val="0"/>
        <w:bidi w:val="0"/>
        <w:adjustRightInd/>
        <w:spacing w:line="360" w:lineRule="auto"/>
        <w:ind w:left="0" w:leftChars="0" w:right="0" w:rightChars="0" w:firstLine="644" w:firstLineChars="200"/>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6"/>
          <w:sz w:val="31"/>
          <w:szCs w:val="31"/>
          <w:highlight w:val="none"/>
          <w14:textFill>
            <w14:solidFill>
              <w14:schemeClr w14:val="tx1"/>
            </w14:solidFill>
          </w14:textFill>
        </w:rPr>
        <w:t>建筑后退高压架空电力线路距离：</w:t>
      </w:r>
      <w:r>
        <w:rPr>
          <w:rFonts w:ascii="仿宋_GB2312" w:hAnsi="仿宋_GB2312" w:eastAsia="仿宋_GB2312" w:cs="仿宋_GB2312"/>
          <w:color w:val="000000" w:themeColor="text1"/>
          <w:spacing w:val="12"/>
          <w:sz w:val="31"/>
          <w:szCs w:val="31"/>
          <w:highlight w:val="none"/>
          <w14:textFill>
            <w14:solidFill>
              <w14:schemeClr w14:val="tx1"/>
            </w14:solidFill>
          </w14:textFill>
        </w:rPr>
        <w:t>建筑后退高压架空电力线路边导线的距离为：35</w:t>
      </w:r>
      <w:r>
        <w:rPr>
          <w:rFonts w:ascii="仿宋_GB2312" w:hAnsi="仿宋_GB2312" w:eastAsia="仿宋_GB2312" w:cs="仿宋_GB2312"/>
          <w:color w:val="000000" w:themeColor="text1"/>
          <w:spacing w:val="-36"/>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12"/>
          <w:sz w:val="31"/>
          <w:szCs w:val="31"/>
          <w:highlight w:val="none"/>
          <w14:textFill>
            <w14:solidFill>
              <w14:schemeClr w14:val="tx1"/>
            </w14:solidFill>
          </w14:textFill>
        </w:rPr>
        <w:t>千伏、66</w:t>
      </w:r>
      <w:r>
        <w:rPr>
          <w:rFonts w:ascii="仿宋_GB2312" w:hAnsi="仿宋_GB2312" w:eastAsia="仿宋_GB2312" w:cs="仿宋_GB2312"/>
          <w:color w:val="000000" w:themeColor="text1"/>
          <w:spacing w:val="3"/>
          <w:sz w:val="31"/>
          <w:szCs w:val="31"/>
          <w:highlight w:val="none"/>
          <w14:textFill>
            <w14:solidFill>
              <w14:schemeClr w14:val="tx1"/>
            </w14:solidFill>
          </w14:textFill>
        </w:rPr>
        <w:t>千伏、110</w:t>
      </w:r>
      <w:r>
        <w:rPr>
          <w:rFonts w:ascii="仿宋_GB2312" w:hAnsi="仿宋_GB2312" w:eastAsia="仿宋_GB2312" w:cs="仿宋_GB2312"/>
          <w:color w:val="000000" w:themeColor="text1"/>
          <w:spacing w:val="-48"/>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3"/>
          <w:sz w:val="31"/>
          <w:szCs w:val="31"/>
          <w:highlight w:val="none"/>
          <w14:textFill>
            <w14:solidFill>
              <w14:schemeClr w14:val="tx1"/>
            </w14:solidFill>
          </w14:textFill>
        </w:rPr>
        <w:t>千伏电力线，不小于</w:t>
      </w:r>
      <w:r>
        <w:rPr>
          <w:rFonts w:ascii="仿宋_GB2312" w:hAnsi="仿宋_GB2312" w:eastAsia="仿宋_GB2312" w:cs="仿宋_GB2312"/>
          <w:color w:val="000000" w:themeColor="text1"/>
          <w:spacing w:val="-43"/>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3"/>
          <w:sz w:val="31"/>
          <w:szCs w:val="31"/>
          <w:highlight w:val="none"/>
          <w14:textFill>
            <w14:solidFill>
              <w14:schemeClr w14:val="tx1"/>
            </w14:solidFill>
          </w14:textFill>
        </w:rPr>
        <w:t>10</w:t>
      </w:r>
      <w:r>
        <w:rPr>
          <w:rFonts w:ascii="仿宋_GB2312" w:hAnsi="仿宋_GB2312" w:eastAsia="仿宋_GB2312" w:cs="仿宋_GB2312"/>
          <w:color w:val="000000" w:themeColor="text1"/>
          <w:spacing w:val="-53"/>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3"/>
          <w:sz w:val="31"/>
          <w:szCs w:val="31"/>
          <w:highlight w:val="none"/>
          <w14:textFill>
            <w14:solidFill>
              <w14:schemeClr w14:val="tx1"/>
            </w14:solidFill>
          </w14:textFill>
        </w:rPr>
        <w:t>米；220</w:t>
      </w:r>
      <w:r>
        <w:rPr>
          <w:rFonts w:ascii="仿宋_GB2312" w:hAnsi="仿宋_GB2312" w:eastAsia="仿宋_GB2312" w:cs="仿宋_GB2312"/>
          <w:color w:val="000000" w:themeColor="text1"/>
          <w:spacing w:val="-55"/>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3"/>
          <w:sz w:val="31"/>
          <w:szCs w:val="31"/>
          <w:highlight w:val="none"/>
          <w14:textFill>
            <w14:solidFill>
              <w14:schemeClr w14:val="tx1"/>
            </w14:solidFill>
          </w14:textFill>
        </w:rPr>
        <w:t>千伏、330</w:t>
      </w:r>
      <w:r>
        <w:rPr>
          <w:rFonts w:ascii="仿宋_GB2312" w:hAnsi="仿宋_GB2312" w:eastAsia="仿宋_GB2312" w:cs="仿宋_GB2312"/>
          <w:color w:val="000000" w:themeColor="text1"/>
          <w:spacing w:val="-55"/>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3"/>
          <w:sz w:val="31"/>
          <w:szCs w:val="31"/>
          <w:highlight w:val="none"/>
          <w14:textFill>
            <w14:solidFill>
              <w14:schemeClr w14:val="tx1"/>
            </w14:solidFill>
          </w14:textFill>
        </w:rPr>
        <w:t>千伏电力</w:t>
      </w:r>
      <w:r>
        <w:rPr>
          <w:rFonts w:ascii="仿宋_GB2312" w:hAnsi="仿宋_GB2312" w:eastAsia="仿宋_GB2312" w:cs="仿宋_GB2312"/>
          <w:color w:val="000000" w:themeColor="text1"/>
          <w:spacing w:val="-5"/>
          <w:sz w:val="31"/>
          <w:szCs w:val="31"/>
          <w:highlight w:val="none"/>
          <w14:textFill>
            <w14:solidFill>
              <w14:schemeClr w14:val="tx1"/>
            </w14:solidFill>
          </w14:textFill>
        </w:rPr>
        <w:t>线，不小于</w:t>
      </w:r>
      <w:r>
        <w:rPr>
          <w:rFonts w:ascii="仿宋_GB2312" w:hAnsi="仿宋_GB2312" w:eastAsia="仿宋_GB2312" w:cs="仿宋_GB2312"/>
          <w:color w:val="000000" w:themeColor="text1"/>
          <w:spacing w:val="-27"/>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1"/>
          <w:szCs w:val="31"/>
          <w:highlight w:val="none"/>
          <w14:textFill>
            <w14:solidFill>
              <w14:schemeClr w14:val="tx1"/>
            </w14:solidFill>
          </w14:textFill>
        </w:rPr>
        <w:t>15</w:t>
      </w:r>
      <w:r>
        <w:rPr>
          <w:rFonts w:ascii="仿宋_GB2312" w:hAnsi="仿宋_GB2312" w:eastAsia="仿宋_GB2312" w:cs="仿宋_GB2312"/>
          <w:color w:val="000000" w:themeColor="text1"/>
          <w:spacing w:val="-55"/>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1"/>
          <w:szCs w:val="31"/>
          <w:highlight w:val="none"/>
          <w14:textFill>
            <w14:solidFill>
              <w14:schemeClr w14:val="tx1"/>
            </w14:solidFill>
          </w14:textFill>
        </w:rPr>
        <w:t>米；500</w:t>
      </w:r>
      <w:r>
        <w:rPr>
          <w:rFonts w:ascii="仿宋_GB2312" w:hAnsi="仿宋_GB2312" w:eastAsia="仿宋_GB2312" w:cs="仿宋_GB2312"/>
          <w:color w:val="000000" w:themeColor="text1"/>
          <w:spacing w:val="-55"/>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1"/>
          <w:szCs w:val="31"/>
          <w:highlight w:val="none"/>
          <w14:textFill>
            <w14:solidFill>
              <w14:schemeClr w14:val="tx1"/>
            </w14:solidFill>
          </w14:textFill>
        </w:rPr>
        <w:t>千伏电力线，不小于</w:t>
      </w:r>
      <w:r>
        <w:rPr>
          <w:rFonts w:ascii="仿宋_GB2312" w:hAnsi="仿宋_GB2312" w:eastAsia="仿宋_GB2312" w:cs="仿宋_GB2312"/>
          <w:color w:val="000000" w:themeColor="text1"/>
          <w:spacing w:val="-38"/>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1"/>
          <w:szCs w:val="31"/>
          <w:highlight w:val="none"/>
          <w14:textFill>
            <w14:solidFill>
              <w14:schemeClr w14:val="tx1"/>
            </w14:solidFill>
          </w14:textFill>
        </w:rPr>
        <w:t>30</w:t>
      </w:r>
      <w:r>
        <w:rPr>
          <w:rFonts w:ascii="仿宋_GB2312" w:hAnsi="仿宋_GB2312" w:eastAsia="仿宋_GB2312" w:cs="仿宋_GB2312"/>
          <w:color w:val="000000" w:themeColor="text1"/>
          <w:spacing w:val="-54"/>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5"/>
          <w:sz w:val="31"/>
          <w:szCs w:val="31"/>
          <w:highlight w:val="none"/>
          <w14:textFill>
            <w14:solidFill>
              <w14:schemeClr w14:val="tx1"/>
            </w14:solidFill>
          </w14:textFill>
        </w:rPr>
        <w:t>米，用地局限时，</w:t>
      </w:r>
      <w:r>
        <w:rPr>
          <w:rFonts w:ascii="仿宋_GB2312" w:hAnsi="仿宋_GB2312" w:eastAsia="仿宋_GB2312" w:cs="仿宋_GB2312"/>
          <w:color w:val="000000" w:themeColor="text1"/>
          <w:spacing w:val="5"/>
          <w:sz w:val="31"/>
          <w:szCs w:val="31"/>
          <w:highlight w:val="none"/>
          <w14:textFill>
            <w14:solidFill>
              <w14:schemeClr w14:val="tx1"/>
            </w14:solidFill>
          </w14:textFill>
        </w:rPr>
        <w:t>建筑后退高压架空电力线路边导线的距离可适当缩小，但应符合</w:t>
      </w:r>
      <w:r>
        <w:rPr>
          <w:rFonts w:ascii="仿宋_GB2312" w:hAnsi="仿宋_GB2312" w:eastAsia="仿宋_GB2312" w:cs="仿宋_GB2312"/>
          <w:color w:val="000000" w:themeColor="text1"/>
          <w:spacing w:val="8"/>
          <w:sz w:val="31"/>
          <w:szCs w:val="31"/>
          <w:highlight w:val="none"/>
          <w14:textFill>
            <w14:solidFill>
              <w14:schemeClr w14:val="tx1"/>
            </w14:solidFill>
          </w14:textFill>
        </w:rPr>
        <w:t>在最大计算风偏情况下的安全距离要求。</w:t>
      </w:r>
    </w:p>
    <w:p w14:paraId="2D4E4872">
      <w:pPr>
        <w:pageBreakBefore w:val="0"/>
        <w:widowControl w:val="0"/>
        <w:kinsoku/>
        <w:wordWrap/>
        <w:overflowPunct/>
        <w:topLinePunct w:val="0"/>
        <w:autoSpaceDE w:val="0"/>
        <w:autoSpaceDN w:val="0"/>
        <w:bidi w:val="0"/>
        <w:adjustRightInd/>
        <w:spacing w:line="360" w:lineRule="auto"/>
        <w:ind w:left="0" w:leftChars="0" w:right="0" w:rightChars="0" w:firstLine="648" w:firstLineChars="200"/>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7"/>
          <w:sz w:val="31"/>
          <w:szCs w:val="31"/>
          <w:highlight w:val="none"/>
          <w14:textFill>
            <w14:solidFill>
              <w14:schemeClr w14:val="tx1"/>
            </w14:solidFill>
          </w14:textFill>
        </w:rPr>
        <w:t>建筑退让村庄内部道路距离：</w:t>
      </w:r>
      <w:r>
        <w:rPr>
          <w:rFonts w:ascii="仿宋_GB2312" w:hAnsi="仿宋_GB2312" w:eastAsia="仿宋_GB2312" w:cs="仿宋_GB2312"/>
          <w:color w:val="000000" w:themeColor="text1"/>
          <w:spacing w:val="2"/>
          <w:sz w:val="31"/>
          <w:szCs w:val="31"/>
          <w:highlight w:val="none"/>
          <w14:textFill>
            <w14:solidFill>
              <w14:schemeClr w14:val="tx1"/>
            </w14:solidFill>
          </w14:textFill>
        </w:rPr>
        <w:t>村庄建筑、围墙距村庄内部支路的距离不应小于</w:t>
      </w:r>
      <w:r>
        <w:rPr>
          <w:rFonts w:ascii="仿宋_GB2312" w:hAnsi="仿宋_GB2312" w:eastAsia="仿宋_GB2312" w:cs="仿宋_GB2312"/>
          <w:color w:val="000000" w:themeColor="text1"/>
          <w:spacing w:val="-24"/>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2"/>
          <w:sz w:val="31"/>
          <w:szCs w:val="31"/>
          <w:highlight w:val="none"/>
          <w14:textFill>
            <w14:solidFill>
              <w14:schemeClr w14:val="tx1"/>
            </w14:solidFill>
          </w14:textFill>
        </w:rPr>
        <w:t>1</w:t>
      </w:r>
      <w:r>
        <w:rPr>
          <w:rFonts w:ascii="仿宋_GB2312" w:hAnsi="仿宋_GB2312" w:eastAsia="仿宋_GB2312" w:cs="仿宋_GB2312"/>
          <w:color w:val="000000" w:themeColor="text1"/>
          <w:spacing w:val="-54"/>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2"/>
          <w:sz w:val="31"/>
          <w:szCs w:val="31"/>
          <w:highlight w:val="none"/>
          <w14:textFill>
            <w14:solidFill>
              <w14:schemeClr w14:val="tx1"/>
            </w14:solidFill>
          </w14:textFill>
        </w:rPr>
        <w:t>米，距村</w:t>
      </w:r>
      <w:r>
        <w:rPr>
          <w:rFonts w:ascii="仿宋_GB2312" w:hAnsi="仿宋_GB2312" w:eastAsia="仿宋_GB2312" w:cs="仿宋_GB2312"/>
          <w:color w:val="000000" w:themeColor="text1"/>
          <w:spacing w:val="3"/>
          <w:sz w:val="31"/>
          <w:szCs w:val="31"/>
          <w:highlight w:val="none"/>
          <w14:textFill>
            <w14:solidFill>
              <w14:schemeClr w14:val="tx1"/>
            </w14:solidFill>
          </w14:textFill>
        </w:rPr>
        <w:t>庄内部主要道路的距离不应小于</w:t>
      </w:r>
      <w:r>
        <w:rPr>
          <w:rFonts w:ascii="仿宋_GB2312" w:hAnsi="仿宋_GB2312" w:eastAsia="仿宋_GB2312" w:cs="仿宋_GB2312"/>
          <w:color w:val="000000" w:themeColor="text1"/>
          <w:spacing w:val="-41"/>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3"/>
          <w:sz w:val="31"/>
          <w:szCs w:val="31"/>
          <w:highlight w:val="none"/>
          <w14:textFill>
            <w14:solidFill>
              <w14:schemeClr w14:val="tx1"/>
            </w14:solidFill>
          </w14:textFill>
        </w:rPr>
        <w:t>2</w:t>
      </w:r>
      <w:r>
        <w:rPr>
          <w:rFonts w:ascii="仿宋_GB2312" w:hAnsi="仿宋_GB2312" w:eastAsia="仿宋_GB2312" w:cs="仿宋_GB2312"/>
          <w:color w:val="000000" w:themeColor="text1"/>
          <w:spacing w:val="-53"/>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3"/>
          <w:sz w:val="31"/>
          <w:szCs w:val="31"/>
          <w:highlight w:val="none"/>
          <w14:textFill>
            <w14:solidFill>
              <w14:schemeClr w14:val="tx1"/>
            </w14:solidFill>
          </w14:textFill>
        </w:rPr>
        <w:t>米。临路方向后退距离如村内</w:t>
      </w:r>
      <w:r>
        <w:rPr>
          <w:rFonts w:ascii="仿宋_GB2312" w:hAnsi="仿宋_GB2312" w:eastAsia="仿宋_GB2312" w:cs="仿宋_GB2312"/>
          <w:color w:val="000000" w:themeColor="text1"/>
          <w:spacing w:val="5"/>
          <w:sz w:val="31"/>
          <w:szCs w:val="31"/>
          <w:highlight w:val="none"/>
          <w14:textFill>
            <w14:solidFill>
              <w14:schemeClr w14:val="tx1"/>
            </w14:solidFill>
          </w14:textFill>
        </w:rPr>
        <w:t>有约定的，按照约定退让距离执行。临路方向宜与同侧现状建筑</w:t>
      </w:r>
      <w:r>
        <w:rPr>
          <w:rFonts w:ascii="仿宋_GB2312" w:hAnsi="仿宋_GB2312" w:eastAsia="仿宋_GB2312" w:cs="仿宋_GB2312"/>
          <w:color w:val="000000" w:themeColor="text1"/>
          <w:spacing w:val="8"/>
          <w:sz w:val="31"/>
          <w:szCs w:val="31"/>
          <w:highlight w:val="none"/>
          <w14:textFill>
            <w14:solidFill>
              <w14:schemeClr w14:val="tx1"/>
            </w14:solidFill>
          </w14:textFill>
        </w:rPr>
        <w:t>外墙面边界齐平，保证沿路建筑的整齐美观。</w:t>
      </w:r>
    </w:p>
    <w:p w14:paraId="65BE25BF">
      <w:pPr>
        <w:pStyle w:val="33"/>
        <w:pageBreakBefore w:val="0"/>
        <w:widowControl w:val="0"/>
        <w:kinsoku/>
        <w:wordWrap/>
        <w:overflowPunct/>
        <w:topLinePunct w:val="0"/>
        <w:autoSpaceDE w:val="0"/>
        <w:autoSpaceDN w:val="0"/>
        <w:bidi w:val="0"/>
        <w:adjustRightInd/>
        <w:snapToGrid/>
        <w:spacing w:before="0" w:line="360" w:lineRule="auto"/>
        <w:ind w:left="0" w:leftChars="0" w:right="0" w:rightChars="0" w:firstLine="675" w:firstLineChars="200"/>
        <w:textAlignment w:val="auto"/>
        <w:rPr>
          <w:rFonts w:hint="eastAsia" w:eastAsia="仿宋_GB2312"/>
          <w:color w:val="000000" w:themeColor="text1"/>
          <w:w w:val="105"/>
          <w:sz w:val="32"/>
          <w:szCs w:val="32"/>
          <w:highlight w:val="none"/>
          <w:lang w:val="en-US" w:eastAsia="zh-CN"/>
          <w14:textFill>
            <w14:solidFill>
              <w14:schemeClr w14:val="tx1"/>
            </w14:solidFill>
          </w14:textFill>
        </w:rPr>
      </w:pPr>
      <w:bookmarkStart w:id="128" w:name="bookmark22"/>
      <w:bookmarkEnd w:id="128"/>
      <w:r>
        <w:rPr>
          <w:rFonts w:hint="eastAsia" w:eastAsia="仿宋_GB2312"/>
          <w:color w:val="000000" w:themeColor="text1"/>
          <w:w w:val="105"/>
          <w:sz w:val="32"/>
          <w:szCs w:val="32"/>
          <w:highlight w:val="none"/>
          <w:lang w:val="en-US" w:eastAsia="zh-CN"/>
          <w14:textFill>
            <w14:solidFill>
              <w14:schemeClr w14:val="tx1"/>
            </w14:solidFill>
          </w14:textFill>
        </w:rPr>
        <w:t>建筑高度</w:t>
      </w:r>
    </w:p>
    <w:p w14:paraId="1CF35AED">
      <w:pPr>
        <w:pageBreakBefore w:val="0"/>
        <w:widowControl w:val="0"/>
        <w:kinsoku/>
        <w:wordWrap/>
        <w:overflowPunct/>
        <w:topLinePunct w:val="0"/>
        <w:autoSpaceDE w:val="0"/>
        <w:autoSpaceDN w:val="0"/>
        <w:bidi w:val="0"/>
        <w:adjustRightInd/>
        <w:spacing w:line="360" w:lineRule="auto"/>
        <w:ind w:left="0" w:leftChars="0" w:right="0" w:rightChars="0" w:firstLine="640" w:firstLineChars="200"/>
        <w:jc w:val="both"/>
        <w:textAlignment w:val="auto"/>
        <w:rPr>
          <w:color w:val="000000" w:themeColor="text1"/>
          <w:highlight w:val="none"/>
          <w14:textFill>
            <w14:solidFill>
              <w14:schemeClr w14:val="tx1"/>
            </w14:solidFill>
          </w14:textFill>
        </w:rPr>
      </w:pPr>
      <w:r>
        <w:rPr>
          <w:rFonts w:ascii="仿宋_GB2312" w:hAnsi="仿宋_GB2312" w:eastAsia="仿宋_GB2312" w:cs="仿宋_GB2312"/>
          <w:color w:val="000000" w:themeColor="text1"/>
          <w:spacing w:val="5"/>
          <w:sz w:val="31"/>
          <w:szCs w:val="31"/>
          <w:highlight w:val="none"/>
          <w14:textFill>
            <w14:solidFill>
              <w14:schemeClr w14:val="tx1"/>
            </w14:solidFill>
          </w14:textFill>
        </w:rPr>
        <w:t>建筑物的高度应符合日照、消防、建筑间距、乡村景观、节地等方面的要求</w:t>
      </w:r>
      <w:r>
        <w:rPr>
          <w:rFonts w:ascii="仿宋_GB2312" w:hAnsi="仿宋_GB2312" w:eastAsia="仿宋_GB2312" w:cs="仿宋_GB2312"/>
          <w:color w:val="000000" w:themeColor="text1"/>
          <w:spacing w:val="7"/>
          <w:sz w:val="31"/>
          <w:szCs w:val="31"/>
          <w:highlight w:val="none"/>
          <w14:textFill>
            <w14:solidFill>
              <w14:schemeClr w14:val="tx1"/>
            </w14:solidFill>
          </w14:textFill>
        </w:rPr>
        <w:t>。</w:t>
      </w:r>
      <w:r>
        <w:rPr>
          <w:rFonts w:ascii="仿宋_GB2312" w:hAnsi="仿宋_GB2312" w:eastAsia="仿宋_GB2312" w:cs="仿宋_GB2312"/>
          <w:color w:val="000000" w:themeColor="text1"/>
          <w:spacing w:val="17"/>
          <w:sz w:val="31"/>
          <w:szCs w:val="31"/>
          <w:highlight w:val="none"/>
          <w14:textFill>
            <w14:solidFill>
              <w14:schemeClr w14:val="tx1"/>
            </w14:solidFill>
          </w14:textFill>
        </w:rPr>
        <w:t>在各级文物保护建筑周围的建设控制地带内以及与历史风</w:t>
      </w:r>
      <w:r>
        <w:rPr>
          <w:rFonts w:ascii="仿宋_GB2312" w:hAnsi="仿宋_GB2312" w:eastAsia="仿宋_GB2312" w:cs="仿宋_GB2312"/>
          <w:color w:val="000000" w:themeColor="text1"/>
          <w:spacing w:val="-3"/>
          <w:sz w:val="31"/>
          <w:szCs w:val="31"/>
          <w:highlight w:val="none"/>
          <w14:textFill>
            <w14:solidFill>
              <w14:schemeClr w14:val="tx1"/>
            </w14:solidFill>
          </w14:textFill>
        </w:rPr>
        <w:t>貌建筑、风景名胜区相邻的新建、扩建、改建各类建（构）筑物，</w:t>
      </w:r>
      <w:r>
        <w:rPr>
          <w:rFonts w:ascii="仿宋_GB2312" w:hAnsi="仿宋_GB2312" w:eastAsia="仿宋_GB2312" w:cs="仿宋_GB2312"/>
          <w:color w:val="000000" w:themeColor="text1"/>
          <w:spacing w:val="8"/>
          <w:sz w:val="31"/>
          <w:szCs w:val="31"/>
          <w:highlight w:val="none"/>
          <w14:textFill>
            <w14:solidFill>
              <w14:schemeClr w14:val="tx1"/>
            </w14:solidFill>
          </w14:textFill>
        </w:rPr>
        <w:t>其建筑高度必须符合文物古迹和历史风貌建筑保护的有关规定，</w:t>
      </w:r>
      <w:r>
        <w:rPr>
          <w:rFonts w:ascii="仿宋_GB2312" w:hAnsi="仿宋_GB2312" w:eastAsia="仿宋_GB2312" w:cs="仿宋_GB2312"/>
          <w:color w:val="000000" w:themeColor="text1"/>
          <w:spacing w:val="7"/>
          <w:sz w:val="31"/>
          <w:szCs w:val="31"/>
          <w:highlight w:val="none"/>
          <w14:textFill>
            <w14:solidFill>
              <w14:schemeClr w14:val="tx1"/>
            </w14:solidFill>
          </w14:textFill>
        </w:rPr>
        <w:t>并按相关保护规划执行。</w:t>
      </w:r>
    </w:p>
    <w:p w14:paraId="41C50F43">
      <w:pPr>
        <w:pStyle w:val="13"/>
        <w:keepNext w:val="0"/>
        <w:keepLines w:val="0"/>
        <w:pageBreakBefore w:val="0"/>
        <w:widowControl w:val="0"/>
        <w:kinsoku/>
        <w:wordWrap/>
        <w:overflowPunct/>
        <w:topLinePunct w:val="0"/>
        <w:autoSpaceDE w:val="0"/>
        <w:autoSpaceDN w:val="0"/>
        <w:bidi w:val="0"/>
        <w:adjustRightInd/>
        <w:snapToGrid w:val="0"/>
        <w:spacing w:before="240" w:beforeLines="0" w:after="240" w:line="592" w:lineRule="exact"/>
        <w:ind w:left="0" w:leftChars="0" w:right="0" w:rightChars="0" w:firstLine="0" w:firstLineChars="0"/>
        <w:jc w:val="center"/>
        <w:textAlignment w:val="auto"/>
        <w:outlineLvl w:val="1"/>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pPr>
      <w:bookmarkStart w:id="129" w:name="bookmark24"/>
      <w:bookmarkEnd w:id="129"/>
      <w:bookmarkStart w:id="130" w:name="bookmark23"/>
      <w:bookmarkEnd w:id="130"/>
      <w:bookmarkStart w:id="131" w:name="_Toc32288"/>
      <w:bookmarkStart w:id="132" w:name="_Toc14251"/>
      <w:r>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t>第七节  交通组织</w:t>
      </w:r>
      <w:bookmarkEnd w:id="131"/>
      <w:bookmarkEnd w:id="132"/>
    </w:p>
    <w:p w14:paraId="268CBB3E">
      <w:pPr>
        <w:pStyle w:val="33"/>
        <w:pageBreakBefore w:val="0"/>
        <w:widowControl w:val="0"/>
        <w:kinsoku/>
        <w:wordWrap/>
        <w:overflowPunct/>
        <w:topLinePunct w:val="0"/>
        <w:autoSpaceDE w:val="0"/>
        <w:autoSpaceDN w:val="0"/>
        <w:bidi w:val="0"/>
        <w:adjustRightInd/>
        <w:snapToGrid/>
        <w:spacing w:before="0" w:line="360" w:lineRule="auto"/>
        <w:ind w:left="0" w:leftChars="0" w:right="0" w:rightChars="0" w:firstLine="675" w:firstLineChars="200"/>
        <w:textAlignment w:val="auto"/>
        <w:rPr>
          <w:rFonts w:hint="eastAsia" w:eastAsia="仿宋_GB2312"/>
          <w:color w:val="000000" w:themeColor="text1"/>
          <w:w w:val="105"/>
          <w:sz w:val="32"/>
          <w:szCs w:val="32"/>
          <w:highlight w:val="none"/>
          <w:lang w:val="en-US" w:eastAsia="zh-CN"/>
          <w14:textFill>
            <w14:solidFill>
              <w14:schemeClr w14:val="tx1"/>
            </w14:solidFill>
          </w14:textFill>
        </w:rPr>
      </w:pPr>
      <w:r>
        <w:rPr>
          <w:rFonts w:hint="eastAsia" w:eastAsia="仿宋_GB2312"/>
          <w:color w:val="000000" w:themeColor="text1"/>
          <w:w w:val="105"/>
          <w:sz w:val="32"/>
          <w:szCs w:val="32"/>
          <w:highlight w:val="none"/>
          <w:lang w:val="en-US" w:eastAsia="zh-CN"/>
          <w14:textFill>
            <w14:solidFill>
              <w14:schemeClr w14:val="tx1"/>
            </w14:solidFill>
          </w14:textFill>
        </w:rPr>
        <w:t>村庄道路</w:t>
      </w:r>
    </w:p>
    <w:p w14:paraId="4BA195AD">
      <w:pPr>
        <w:pageBreakBefore w:val="0"/>
        <w:widowControl w:val="0"/>
        <w:kinsoku/>
        <w:wordWrap/>
        <w:overflowPunct/>
        <w:topLinePunct w:val="0"/>
        <w:autoSpaceDE w:val="0"/>
        <w:autoSpaceDN w:val="0"/>
        <w:bidi w:val="0"/>
        <w:adjustRightInd/>
        <w:spacing w:line="360" w:lineRule="auto"/>
        <w:ind w:left="0" w:leftChars="0" w:right="0" w:rightChars="0" w:firstLine="688" w:firstLineChars="200"/>
        <w:jc w:val="both"/>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17"/>
          <w:sz w:val="31"/>
          <w:szCs w:val="31"/>
          <w:highlight w:val="none"/>
          <w14:textFill>
            <w14:solidFill>
              <w14:schemeClr w14:val="tx1"/>
            </w14:solidFill>
          </w14:textFill>
        </w:rPr>
        <w:t>村庄道路根据其在路网中的交通功能及对沿线居民的服务</w:t>
      </w:r>
      <w:r>
        <w:rPr>
          <w:rFonts w:ascii="仿宋_GB2312" w:hAnsi="仿宋_GB2312" w:eastAsia="仿宋_GB2312" w:cs="仿宋_GB2312"/>
          <w:color w:val="000000" w:themeColor="text1"/>
          <w:spacing w:val="5"/>
          <w:sz w:val="31"/>
          <w:szCs w:val="31"/>
          <w:highlight w:val="none"/>
          <w14:textFill>
            <w14:solidFill>
              <w14:schemeClr w14:val="tx1"/>
            </w14:solidFill>
          </w14:textFill>
        </w:rPr>
        <w:t>功能，分为干路、支路和巷道三级。村庄道路红线内可包含机动</w:t>
      </w:r>
      <w:r>
        <w:rPr>
          <w:rFonts w:ascii="仿宋_GB2312" w:hAnsi="仿宋_GB2312" w:eastAsia="仿宋_GB2312" w:cs="仿宋_GB2312"/>
          <w:color w:val="000000" w:themeColor="text1"/>
          <w:spacing w:val="-3"/>
          <w:sz w:val="31"/>
          <w:szCs w:val="31"/>
          <w:highlight w:val="none"/>
          <w14:textFill>
            <w14:solidFill>
              <w14:schemeClr w14:val="tx1"/>
            </w14:solidFill>
          </w14:textFill>
        </w:rPr>
        <w:t>车道、非机动车道、人行道、设施带、绿化、路肩、边沟等设施。</w:t>
      </w:r>
      <w:r>
        <w:rPr>
          <w:rFonts w:ascii="仿宋_GB2312" w:hAnsi="仿宋_GB2312" w:eastAsia="仿宋_GB2312" w:cs="仿宋_GB2312"/>
          <w:color w:val="000000" w:themeColor="text1"/>
          <w:spacing w:val="5"/>
          <w:sz w:val="31"/>
          <w:szCs w:val="31"/>
          <w:highlight w:val="none"/>
          <w14:textFill>
            <w14:solidFill>
              <w14:schemeClr w14:val="tx1"/>
            </w14:solidFill>
          </w14:textFill>
        </w:rPr>
        <w:t>村庄道路红线宽度应根据道路设施和地下管线综合确定，干路及支路两侧应设置路灯和必要的指示牌。村庄应完善通村组道路和入户道路建设，并预留消防通道。村庄道路空间规划应与村庄风貌相协调。</w:t>
      </w:r>
    </w:p>
    <w:p w14:paraId="29F69E13">
      <w:pPr>
        <w:pStyle w:val="33"/>
        <w:pageBreakBefore w:val="0"/>
        <w:widowControl w:val="0"/>
        <w:kinsoku/>
        <w:wordWrap/>
        <w:overflowPunct/>
        <w:topLinePunct w:val="0"/>
        <w:autoSpaceDE w:val="0"/>
        <w:autoSpaceDN w:val="0"/>
        <w:bidi w:val="0"/>
        <w:adjustRightInd/>
        <w:snapToGrid/>
        <w:spacing w:before="0" w:line="360" w:lineRule="auto"/>
        <w:ind w:left="0" w:leftChars="0" w:right="0" w:rightChars="0" w:firstLine="675" w:firstLineChars="200"/>
        <w:textAlignment w:val="auto"/>
        <w:rPr>
          <w:rFonts w:hint="eastAsia" w:eastAsia="仿宋_GB2312"/>
          <w:color w:val="000000" w:themeColor="text1"/>
          <w:w w:val="105"/>
          <w:sz w:val="32"/>
          <w:szCs w:val="32"/>
          <w:highlight w:val="none"/>
          <w:lang w:val="en-US" w:eastAsia="zh-CN"/>
          <w14:textFill>
            <w14:solidFill>
              <w14:schemeClr w14:val="tx1"/>
            </w14:solidFill>
          </w14:textFill>
        </w:rPr>
      </w:pPr>
      <w:bookmarkStart w:id="133" w:name="bookmark25"/>
      <w:bookmarkEnd w:id="133"/>
      <w:r>
        <w:rPr>
          <w:rFonts w:hint="eastAsia" w:eastAsia="仿宋_GB2312"/>
          <w:color w:val="000000" w:themeColor="text1"/>
          <w:w w:val="105"/>
          <w:sz w:val="32"/>
          <w:szCs w:val="32"/>
          <w:highlight w:val="none"/>
          <w:lang w:val="en-US" w:eastAsia="zh-CN"/>
          <w14:textFill>
            <w14:solidFill>
              <w14:schemeClr w14:val="tx1"/>
            </w14:solidFill>
          </w14:textFill>
        </w:rPr>
        <w:t>公共停车场</w:t>
      </w:r>
    </w:p>
    <w:p w14:paraId="1F049FAC">
      <w:pPr>
        <w:pageBreakBefore w:val="0"/>
        <w:widowControl w:val="0"/>
        <w:kinsoku/>
        <w:wordWrap/>
        <w:overflowPunct/>
        <w:topLinePunct w:val="0"/>
        <w:autoSpaceDE w:val="0"/>
        <w:autoSpaceDN w:val="0"/>
        <w:bidi w:val="0"/>
        <w:adjustRightInd/>
        <w:spacing w:line="360" w:lineRule="auto"/>
        <w:ind w:left="0" w:leftChars="0" w:right="0" w:rightChars="0" w:firstLine="688" w:firstLineChars="200"/>
        <w:jc w:val="both"/>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17"/>
          <w:sz w:val="31"/>
          <w:szCs w:val="31"/>
          <w:highlight w:val="none"/>
          <w14:textFill>
            <w14:solidFill>
              <w14:schemeClr w14:val="tx1"/>
            </w14:solidFill>
          </w14:textFill>
        </w:rPr>
        <w:t>村庄停车设施应根据村庄的实际停车需求适度建设公共停</w:t>
      </w:r>
      <w:r>
        <w:rPr>
          <w:rFonts w:ascii="仿宋_GB2312" w:hAnsi="仿宋_GB2312" w:eastAsia="仿宋_GB2312" w:cs="仿宋_GB2312"/>
          <w:color w:val="000000" w:themeColor="text1"/>
          <w:spacing w:val="5"/>
          <w:sz w:val="31"/>
          <w:szCs w:val="31"/>
          <w:highlight w:val="none"/>
          <w14:textFill>
            <w14:solidFill>
              <w14:schemeClr w14:val="tx1"/>
            </w14:solidFill>
          </w14:textFill>
        </w:rPr>
        <w:t>车场。公共停车场宜分散布局，可利用村内闲置地、边角地、未利用地，并宜靠近公共服务设施。</w:t>
      </w:r>
      <w:r>
        <w:rPr>
          <w:rFonts w:hint="eastAsia" w:ascii="仿宋_GB2312" w:hAnsi="仿宋_GB2312" w:eastAsia="仿宋_GB2312" w:cs="仿宋_GB2312"/>
          <w:color w:val="000000" w:themeColor="text1"/>
          <w:spacing w:val="5"/>
          <w:sz w:val="31"/>
          <w:szCs w:val="31"/>
          <w:highlight w:val="none"/>
          <w14:textFill>
            <w14:solidFill>
              <w14:schemeClr w14:val="tx1"/>
            </w14:solidFill>
          </w14:textFill>
        </w:rPr>
        <w:t xml:space="preserve">农村村民住房小汽车停车位可结合农房入户空间停放，停放比例宜1辆／户。 </w:t>
      </w:r>
    </w:p>
    <w:p w14:paraId="21627806">
      <w:pPr>
        <w:pStyle w:val="33"/>
        <w:pageBreakBefore w:val="0"/>
        <w:widowControl w:val="0"/>
        <w:kinsoku/>
        <w:wordWrap/>
        <w:overflowPunct/>
        <w:topLinePunct w:val="0"/>
        <w:autoSpaceDE w:val="0"/>
        <w:autoSpaceDN w:val="0"/>
        <w:bidi w:val="0"/>
        <w:adjustRightInd/>
        <w:snapToGrid/>
        <w:spacing w:before="0" w:line="360" w:lineRule="auto"/>
        <w:ind w:left="0" w:leftChars="0" w:right="0" w:rightChars="0" w:firstLine="675" w:firstLineChars="200"/>
        <w:textAlignment w:val="auto"/>
        <w:rPr>
          <w:rFonts w:hint="eastAsia" w:eastAsia="仿宋_GB2312"/>
          <w:color w:val="000000" w:themeColor="text1"/>
          <w:w w:val="105"/>
          <w:sz w:val="32"/>
          <w:szCs w:val="32"/>
          <w:highlight w:val="none"/>
          <w:lang w:val="en-US" w:eastAsia="zh-CN"/>
          <w14:textFill>
            <w14:solidFill>
              <w14:schemeClr w14:val="tx1"/>
            </w14:solidFill>
          </w14:textFill>
        </w:rPr>
      </w:pPr>
      <w:bookmarkStart w:id="134" w:name="bookmark26"/>
      <w:bookmarkEnd w:id="134"/>
      <w:r>
        <w:rPr>
          <w:rFonts w:hint="eastAsia" w:eastAsia="仿宋_GB2312"/>
          <w:color w:val="000000" w:themeColor="text1"/>
          <w:w w:val="105"/>
          <w:sz w:val="32"/>
          <w:szCs w:val="32"/>
          <w:highlight w:val="none"/>
          <w:lang w:val="en-US" w:eastAsia="zh-CN"/>
          <w14:textFill>
            <w14:solidFill>
              <w14:schemeClr w14:val="tx1"/>
            </w14:solidFill>
          </w14:textFill>
        </w:rPr>
        <w:t>充电设施</w:t>
      </w:r>
    </w:p>
    <w:p w14:paraId="661ED523">
      <w:pPr>
        <w:pageBreakBefore w:val="0"/>
        <w:widowControl w:val="0"/>
        <w:kinsoku/>
        <w:wordWrap/>
        <w:overflowPunct/>
        <w:topLinePunct w:val="0"/>
        <w:autoSpaceDE w:val="0"/>
        <w:autoSpaceDN w:val="0"/>
        <w:bidi w:val="0"/>
        <w:adjustRightInd/>
        <w:spacing w:line="360" w:lineRule="auto"/>
        <w:ind w:left="0" w:leftChars="0" w:right="0" w:rightChars="0" w:firstLine="640" w:firstLineChars="200"/>
        <w:jc w:val="both"/>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5"/>
          <w:sz w:val="31"/>
          <w:szCs w:val="31"/>
          <w:highlight w:val="none"/>
          <w14:textFill>
            <w14:solidFill>
              <w14:schemeClr w14:val="tx1"/>
            </w14:solidFill>
          </w14:textFill>
        </w:rPr>
        <w:t>农村充电设施的布局应符合相关专项规划的要求，</w:t>
      </w:r>
      <w:r>
        <w:rPr>
          <w:rFonts w:ascii="仿宋_GB2312" w:hAnsi="仿宋_GB2312" w:eastAsia="仿宋_GB2312" w:cs="仿宋_GB2312"/>
          <w:color w:val="000000" w:themeColor="text1"/>
          <w:spacing w:val="4"/>
          <w:sz w:val="31"/>
          <w:szCs w:val="31"/>
          <w:highlight w:val="none"/>
          <w14:textFill>
            <w14:solidFill>
              <w14:schemeClr w14:val="tx1"/>
            </w14:solidFill>
          </w14:textFill>
        </w:rPr>
        <w:t>应满足环</w:t>
      </w:r>
      <w:r>
        <w:rPr>
          <w:rFonts w:ascii="仿宋_GB2312" w:hAnsi="仿宋_GB2312" w:eastAsia="仿宋_GB2312" w:cs="仿宋_GB2312"/>
          <w:color w:val="000000" w:themeColor="text1"/>
          <w:spacing w:val="5"/>
          <w:sz w:val="31"/>
          <w:szCs w:val="31"/>
          <w:highlight w:val="none"/>
          <w14:textFill>
            <w14:solidFill>
              <w14:schemeClr w14:val="tx1"/>
            </w14:solidFill>
          </w14:textFill>
        </w:rPr>
        <w:t>境保护和消防安全的要求，选址应考虑配电网、环境、风向等因</w:t>
      </w:r>
      <w:r>
        <w:rPr>
          <w:rFonts w:ascii="仿宋_GB2312" w:hAnsi="仿宋_GB2312" w:eastAsia="仿宋_GB2312" w:cs="仿宋_GB2312"/>
          <w:color w:val="000000" w:themeColor="text1"/>
          <w:spacing w:val="-9"/>
          <w:sz w:val="31"/>
          <w:szCs w:val="31"/>
          <w:highlight w:val="none"/>
          <w14:textFill>
            <w14:solidFill>
              <w14:schemeClr w14:val="tx1"/>
            </w14:solidFill>
          </w14:textFill>
        </w:rPr>
        <w:t>素。按照《电动汽车充电基础设施技术标准》（DBJ04/T398-2019</w:t>
      </w:r>
      <w:r>
        <w:rPr>
          <w:rFonts w:ascii="仿宋_GB2312" w:hAnsi="仿宋_GB2312" w:eastAsia="仿宋_GB2312" w:cs="仿宋_GB2312"/>
          <w:color w:val="000000" w:themeColor="text1"/>
          <w:spacing w:val="-105"/>
          <w:sz w:val="31"/>
          <w:szCs w:val="31"/>
          <w:highlight w:val="none"/>
          <w14:textFill>
            <w14:solidFill>
              <w14:schemeClr w14:val="tx1"/>
            </w14:solidFill>
          </w14:textFill>
        </w:rPr>
        <w:t>），</w:t>
      </w:r>
      <w:r>
        <w:rPr>
          <w:rFonts w:ascii="仿宋_GB2312" w:hAnsi="仿宋_GB2312" w:eastAsia="仿宋_GB2312" w:cs="仿宋_GB2312"/>
          <w:color w:val="000000" w:themeColor="text1"/>
          <w:spacing w:val="7"/>
          <w:sz w:val="31"/>
          <w:szCs w:val="31"/>
          <w:highlight w:val="none"/>
          <w14:textFill>
            <w14:solidFill>
              <w14:schemeClr w14:val="tx1"/>
            </w14:solidFill>
          </w14:textFill>
        </w:rPr>
        <w:t>社会公共停车场充电车位直接建设的配建比例要达到15%。</w:t>
      </w:r>
    </w:p>
    <w:p w14:paraId="0D7E1B8F">
      <w:pPr>
        <w:pStyle w:val="13"/>
        <w:keepNext w:val="0"/>
        <w:keepLines w:val="0"/>
        <w:pageBreakBefore w:val="0"/>
        <w:widowControl w:val="0"/>
        <w:kinsoku/>
        <w:wordWrap/>
        <w:overflowPunct/>
        <w:topLinePunct w:val="0"/>
        <w:autoSpaceDE w:val="0"/>
        <w:autoSpaceDN w:val="0"/>
        <w:bidi w:val="0"/>
        <w:adjustRightInd/>
        <w:snapToGrid w:val="0"/>
        <w:spacing w:before="240" w:beforeLines="0" w:after="240" w:line="592" w:lineRule="exact"/>
        <w:ind w:left="0" w:leftChars="0" w:right="0" w:rightChars="0" w:firstLine="0" w:firstLineChars="0"/>
        <w:jc w:val="center"/>
        <w:textAlignment w:val="auto"/>
        <w:outlineLvl w:val="1"/>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pPr>
      <w:bookmarkStart w:id="135" w:name="bookmark27"/>
      <w:bookmarkEnd w:id="135"/>
      <w:bookmarkStart w:id="136" w:name="bookmark28"/>
      <w:bookmarkEnd w:id="136"/>
      <w:bookmarkStart w:id="137" w:name="_Toc21956"/>
      <w:bookmarkStart w:id="138" w:name="_Toc8110"/>
      <w:r>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t>第八节  人居环境整治与风貌提升</w:t>
      </w:r>
      <w:bookmarkEnd w:id="137"/>
      <w:bookmarkEnd w:id="138"/>
    </w:p>
    <w:p w14:paraId="29FC123D">
      <w:pPr>
        <w:pStyle w:val="33"/>
        <w:pageBreakBefore w:val="0"/>
        <w:widowControl w:val="0"/>
        <w:kinsoku/>
        <w:wordWrap/>
        <w:overflowPunct/>
        <w:topLinePunct w:val="0"/>
        <w:autoSpaceDE w:val="0"/>
        <w:autoSpaceDN w:val="0"/>
        <w:bidi w:val="0"/>
        <w:adjustRightInd/>
        <w:snapToGrid/>
        <w:spacing w:before="0" w:line="360" w:lineRule="auto"/>
        <w:ind w:left="0" w:leftChars="0" w:right="0" w:rightChars="0" w:firstLine="675" w:firstLineChars="200"/>
        <w:textAlignment w:val="auto"/>
        <w:rPr>
          <w:rFonts w:hint="eastAsia" w:eastAsia="仿宋_GB2312"/>
          <w:color w:val="000000" w:themeColor="text1"/>
          <w:w w:val="105"/>
          <w:sz w:val="32"/>
          <w:szCs w:val="32"/>
          <w:highlight w:val="none"/>
          <w:lang w:val="en-US" w:eastAsia="zh-CN"/>
          <w14:textFill>
            <w14:solidFill>
              <w14:schemeClr w14:val="tx1"/>
            </w14:solidFill>
          </w14:textFill>
        </w:rPr>
      </w:pPr>
      <w:bookmarkStart w:id="139" w:name="bookmark36"/>
      <w:bookmarkEnd w:id="139"/>
      <w:r>
        <w:rPr>
          <w:rFonts w:hint="eastAsia" w:eastAsia="仿宋_GB2312"/>
          <w:color w:val="000000" w:themeColor="text1"/>
          <w:w w:val="105"/>
          <w:sz w:val="32"/>
          <w:szCs w:val="32"/>
          <w:highlight w:val="none"/>
          <w:lang w:val="en-US" w:eastAsia="zh-CN"/>
          <w14:textFill>
            <w14:solidFill>
              <w14:schemeClr w14:val="tx1"/>
            </w14:solidFill>
          </w14:textFill>
        </w:rPr>
        <w:t>人居环境整治要求</w:t>
      </w:r>
    </w:p>
    <w:p w14:paraId="0446F2A2">
      <w:pPr>
        <w:pageBreakBefore w:val="0"/>
        <w:widowControl w:val="0"/>
        <w:kinsoku/>
        <w:wordWrap/>
        <w:overflowPunct/>
        <w:topLinePunct w:val="0"/>
        <w:autoSpaceDE w:val="0"/>
        <w:autoSpaceDN w:val="0"/>
        <w:bidi w:val="0"/>
        <w:adjustRightInd/>
        <w:spacing w:line="360" w:lineRule="auto"/>
        <w:ind w:left="0" w:leftChars="0" w:right="0" w:rightChars="0" w:firstLine="636" w:firstLineChars="200"/>
        <w:jc w:val="both"/>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4"/>
          <w:sz w:val="31"/>
          <w:szCs w:val="31"/>
          <w:highlight w:val="none"/>
          <w14:textFill>
            <w14:solidFill>
              <w14:schemeClr w14:val="tx1"/>
            </w14:solidFill>
          </w14:textFill>
        </w:rPr>
        <w:t>统筹生态生产生活融合，根据村庄发展水平及自身条件，综</w:t>
      </w:r>
      <w:r>
        <w:rPr>
          <w:rFonts w:ascii="仿宋_GB2312" w:hAnsi="仿宋_GB2312" w:eastAsia="仿宋_GB2312" w:cs="仿宋_GB2312"/>
          <w:color w:val="000000" w:themeColor="text1"/>
          <w:spacing w:val="5"/>
          <w:sz w:val="31"/>
          <w:szCs w:val="31"/>
          <w:highlight w:val="none"/>
          <w14:textFill>
            <w14:solidFill>
              <w14:schemeClr w14:val="tx1"/>
            </w14:solidFill>
          </w14:textFill>
        </w:rPr>
        <w:t>合考虑乡村发展规律和村民诉求，因地制宜推进乡村人居环境整治工作。主要任务包括厕所革命、污水治理、生产生活垃圾治理三个方面，以农业为主要产业的村庄还应强化农膜以及其他农业</w:t>
      </w:r>
      <w:r>
        <w:rPr>
          <w:rFonts w:ascii="仿宋_GB2312" w:hAnsi="仿宋_GB2312" w:eastAsia="仿宋_GB2312" w:cs="仿宋_GB2312"/>
          <w:color w:val="000000" w:themeColor="text1"/>
          <w:spacing w:val="8"/>
          <w:sz w:val="31"/>
          <w:szCs w:val="31"/>
          <w:highlight w:val="none"/>
          <w14:textFill>
            <w14:solidFill>
              <w14:schemeClr w14:val="tx1"/>
            </w14:solidFill>
          </w14:textFill>
        </w:rPr>
        <w:t>生产废弃物的处置和资源化利用。</w:t>
      </w:r>
    </w:p>
    <w:p w14:paraId="28BB791A">
      <w:pPr>
        <w:pStyle w:val="13"/>
        <w:pageBreakBefore w:val="0"/>
        <w:widowControl w:val="0"/>
        <w:kinsoku/>
        <w:wordWrap/>
        <w:overflowPunct/>
        <w:topLinePunct w:val="0"/>
        <w:autoSpaceDE w:val="0"/>
        <w:autoSpaceDN w:val="0"/>
        <w:bidi w:val="0"/>
        <w:adjustRightInd/>
        <w:spacing w:before="0" w:beforeLines="0" w:line="360" w:lineRule="auto"/>
        <w:ind w:left="0" w:leftChars="0" w:right="0" w:rightChars="0" w:firstLine="636" w:firstLineChars="200"/>
        <w:textAlignment w:val="auto"/>
        <w:rPr>
          <w:color w:val="000000" w:themeColor="text1"/>
          <w:highlight w:val="none"/>
          <w14:textFill>
            <w14:solidFill>
              <w14:schemeClr w14:val="tx1"/>
            </w14:solidFill>
          </w14:textFill>
        </w:rPr>
      </w:pPr>
      <w:r>
        <w:rPr>
          <w:rFonts w:ascii="仿宋_GB2312" w:hAnsi="仿宋_GB2312" w:eastAsia="仿宋_GB2312" w:cs="仿宋_GB2312"/>
          <w:color w:val="000000" w:themeColor="text1"/>
          <w:spacing w:val="4"/>
          <w:sz w:val="31"/>
          <w:szCs w:val="31"/>
          <w:highlight w:val="none"/>
          <w14:textFill>
            <w14:solidFill>
              <w14:schemeClr w14:val="tx1"/>
            </w14:solidFill>
          </w14:textFill>
        </w:rPr>
        <w:t>厕所革命：合理规划布局农村公共厕所，加快建设乡村景</w:t>
      </w:r>
      <w:r>
        <w:rPr>
          <w:rFonts w:ascii="仿宋_GB2312" w:hAnsi="仿宋_GB2312" w:eastAsia="仿宋_GB2312" w:cs="仿宋_GB2312"/>
          <w:color w:val="000000" w:themeColor="text1"/>
          <w:spacing w:val="5"/>
          <w:sz w:val="31"/>
          <w:szCs w:val="31"/>
          <w:highlight w:val="none"/>
          <w14:textFill>
            <w14:solidFill>
              <w14:schemeClr w14:val="tx1"/>
            </w14:solidFill>
          </w14:textFill>
        </w:rPr>
        <w:t>区旅游厕所，落实公共厕所管护责任，强化日常卫生保洁。科学选择改厕技术模式，宜水则水、宜旱则旱。加强厕所粪污无害化</w:t>
      </w:r>
      <w:r>
        <w:rPr>
          <w:rFonts w:ascii="仿宋_GB2312" w:hAnsi="仿宋_GB2312" w:eastAsia="仿宋_GB2312" w:cs="仿宋_GB2312"/>
          <w:color w:val="000000" w:themeColor="text1"/>
          <w:spacing w:val="6"/>
          <w:sz w:val="31"/>
          <w:szCs w:val="31"/>
          <w:highlight w:val="none"/>
          <w14:textFill>
            <w14:solidFill>
              <w14:schemeClr w14:val="tx1"/>
            </w14:solidFill>
          </w14:textFill>
        </w:rPr>
        <w:t>处理与资源化利用。</w:t>
      </w:r>
    </w:p>
    <w:p w14:paraId="7821606C">
      <w:pPr>
        <w:pageBreakBefore w:val="0"/>
        <w:widowControl w:val="0"/>
        <w:kinsoku/>
        <w:wordWrap/>
        <w:overflowPunct/>
        <w:topLinePunct w:val="0"/>
        <w:autoSpaceDE w:val="0"/>
        <w:autoSpaceDN w:val="0"/>
        <w:bidi w:val="0"/>
        <w:adjustRightInd/>
        <w:spacing w:line="360" w:lineRule="auto"/>
        <w:ind w:left="0" w:leftChars="0" w:right="0" w:rightChars="0" w:firstLine="636" w:firstLineChars="200"/>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4"/>
          <w:sz w:val="31"/>
          <w:szCs w:val="31"/>
          <w:highlight w:val="none"/>
          <w14:textFill>
            <w14:solidFill>
              <w14:schemeClr w14:val="tx1"/>
            </w14:solidFill>
          </w14:textFill>
        </w:rPr>
        <w:t>污水治理：以资源化利用、可持续治理为导向，选择符合</w:t>
      </w:r>
      <w:r>
        <w:rPr>
          <w:rFonts w:ascii="仿宋_GB2312" w:hAnsi="仿宋_GB2312" w:eastAsia="仿宋_GB2312" w:cs="仿宋_GB2312"/>
          <w:color w:val="000000" w:themeColor="text1"/>
          <w:spacing w:val="5"/>
          <w:sz w:val="31"/>
          <w:szCs w:val="31"/>
          <w:highlight w:val="none"/>
          <w14:textFill>
            <w14:solidFill>
              <w14:schemeClr w14:val="tx1"/>
            </w14:solidFill>
          </w14:textFill>
        </w:rPr>
        <w:t>农村实际的生活污水治理技术，优先推广运行费用低、管护简便的治理技术。以房前屋后河塘沟渠和群众反映强烈的黑臭水体为重点，采取控源截污、清淤疏浚、生态修复、水体净化等措施综</w:t>
      </w:r>
      <w:r>
        <w:rPr>
          <w:rFonts w:ascii="仿宋_GB2312" w:hAnsi="仿宋_GB2312" w:eastAsia="仿宋_GB2312" w:cs="仿宋_GB2312"/>
          <w:color w:val="000000" w:themeColor="text1"/>
          <w:spacing w:val="3"/>
          <w:sz w:val="31"/>
          <w:szCs w:val="31"/>
          <w:highlight w:val="none"/>
          <w14:textFill>
            <w14:solidFill>
              <w14:schemeClr w14:val="tx1"/>
            </w14:solidFill>
          </w14:textFill>
        </w:rPr>
        <w:t>合治理。</w:t>
      </w:r>
    </w:p>
    <w:p w14:paraId="75312E94">
      <w:pPr>
        <w:pageBreakBefore w:val="0"/>
        <w:widowControl w:val="0"/>
        <w:kinsoku/>
        <w:wordWrap/>
        <w:overflowPunct/>
        <w:topLinePunct w:val="0"/>
        <w:autoSpaceDE w:val="0"/>
        <w:autoSpaceDN w:val="0"/>
        <w:bidi w:val="0"/>
        <w:adjustRightInd/>
        <w:spacing w:line="360" w:lineRule="auto"/>
        <w:ind w:left="0" w:leftChars="0" w:right="0" w:rightChars="0" w:firstLine="636" w:firstLineChars="200"/>
        <w:textAlignment w:val="auto"/>
        <w:rPr>
          <w:color w:val="000000" w:themeColor="text1"/>
          <w:highlight w:val="none"/>
          <w14:textFill>
            <w14:solidFill>
              <w14:schemeClr w14:val="tx1"/>
            </w14:solidFill>
          </w14:textFill>
        </w:rPr>
      </w:pPr>
      <w:r>
        <w:rPr>
          <w:rFonts w:ascii="仿宋_GB2312" w:hAnsi="仿宋_GB2312" w:eastAsia="仿宋_GB2312" w:cs="仿宋_GB2312"/>
          <w:color w:val="000000" w:themeColor="text1"/>
          <w:spacing w:val="4"/>
          <w:sz w:val="31"/>
          <w:szCs w:val="31"/>
          <w:highlight w:val="none"/>
          <w14:textFill>
            <w14:solidFill>
              <w14:schemeClr w14:val="tx1"/>
            </w14:solidFill>
          </w14:textFill>
        </w:rPr>
        <w:t>生产生活垃圾治理：完善农村生活垃圾收集、转</w:t>
      </w:r>
      <w:r>
        <w:rPr>
          <w:rFonts w:ascii="仿宋_GB2312" w:hAnsi="仿宋_GB2312" w:eastAsia="仿宋_GB2312" w:cs="仿宋_GB2312"/>
          <w:color w:val="000000" w:themeColor="text1"/>
          <w:spacing w:val="3"/>
          <w:sz w:val="31"/>
          <w:szCs w:val="31"/>
          <w:highlight w:val="none"/>
          <w14:textFill>
            <w14:solidFill>
              <w14:schemeClr w14:val="tx1"/>
            </w14:solidFill>
          </w14:textFill>
        </w:rPr>
        <w:t>运、处置</w:t>
      </w:r>
      <w:r>
        <w:rPr>
          <w:rFonts w:ascii="仿宋_GB2312" w:hAnsi="仿宋_GB2312" w:eastAsia="仿宋_GB2312" w:cs="仿宋_GB2312"/>
          <w:color w:val="000000" w:themeColor="text1"/>
          <w:spacing w:val="7"/>
          <w:sz w:val="31"/>
          <w:szCs w:val="31"/>
          <w:highlight w:val="none"/>
          <w14:textFill>
            <w14:solidFill>
              <w14:schemeClr w14:val="tx1"/>
            </w14:solidFill>
          </w14:textFill>
        </w:rPr>
        <w:t>设施和模式，因地制宜采用小型化、分散化的</w:t>
      </w:r>
      <w:r>
        <w:rPr>
          <w:rFonts w:ascii="仿宋_GB2312" w:hAnsi="仿宋_GB2312" w:eastAsia="仿宋_GB2312" w:cs="仿宋_GB2312"/>
          <w:color w:val="000000" w:themeColor="text1"/>
          <w:spacing w:val="6"/>
          <w:sz w:val="31"/>
          <w:szCs w:val="31"/>
          <w:highlight w:val="none"/>
          <w14:textFill>
            <w14:solidFill>
              <w14:schemeClr w14:val="tx1"/>
            </w14:solidFill>
          </w14:textFill>
        </w:rPr>
        <w:t>无害化处理方式，</w:t>
      </w:r>
      <w:r>
        <w:rPr>
          <w:rFonts w:ascii="仿宋_GB2312" w:hAnsi="仿宋_GB2312" w:eastAsia="仿宋_GB2312" w:cs="仿宋_GB2312"/>
          <w:color w:val="000000" w:themeColor="text1"/>
          <w:spacing w:val="8"/>
          <w:sz w:val="31"/>
          <w:szCs w:val="31"/>
          <w:highlight w:val="none"/>
          <w14:textFill>
            <w14:solidFill>
              <w14:schemeClr w14:val="tx1"/>
            </w14:solidFill>
          </w14:textFill>
        </w:rPr>
        <w:t>推进农村生活垃圾分类减量与利用。</w:t>
      </w:r>
    </w:p>
    <w:p w14:paraId="3AA28DBE">
      <w:pPr>
        <w:pStyle w:val="33"/>
        <w:pageBreakBefore w:val="0"/>
        <w:widowControl w:val="0"/>
        <w:kinsoku/>
        <w:wordWrap/>
        <w:overflowPunct/>
        <w:topLinePunct w:val="0"/>
        <w:autoSpaceDE w:val="0"/>
        <w:autoSpaceDN w:val="0"/>
        <w:bidi w:val="0"/>
        <w:adjustRightInd/>
        <w:snapToGrid/>
        <w:spacing w:before="0" w:line="360" w:lineRule="auto"/>
        <w:ind w:left="0" w:leftChars="0" w:right="0" w:rightChars="0" w:firstLine="675" w:firstLineChars="200"/>
        <w:textAlignment w:val="auto"/>
        <w:rPr>
          <w:rFonts w:hint="eastAsia" w:eastAsia="仿宋_GB2312"/>
          <w:color w:val="000000" w:themeColor="text1"/>
          <w:w w:val="105"/>
          <w:sz w:val="32"/>
          <w:szCs w:val="32"/>
          <w:highlight w:val="none"/>
          <w:lang w:val="en-US" w:eastAsia="zh-CN"/>
          <w14:textFill>
            <w14:solidFill>
              <w14:schemeClr w14:val="tx1"/>
            </w14:solidFill>
          </w14:textFill>
        </w:rPr>
      </w:pPr>
      <w:bookmarkStart w:id="140" w:name="bookmark29"/>
      <w:bookmarkEnd w:id="140"/>
      <w:r>
        <w:rPr>
          <w:rFonts w:hint="eastAsia" w:eastAsia="仿宋_GB2312"/>
          <w:color w:val="000000" w:themeColor="text1"/>
          <w:w w:val="105"/>
          <w:sz w:val="32"/>
          <w:szCs w:val="32"/>
          <w:highlight w:val="none"/>
          <w:lang w:val="en-US" w:eastAsia="zh-CN"/>
          <w14:textFill>
            <w14:solidFill>
              <w14:schemeClr w14:val="tx1"/>
            </w14:solidFill>
          </w14:textFill>
        </w:rPr>
        <w:t>景观风貌指引要求</w:t>
      </w:r>
    </w:p>
    <w:p w14:paraId="583FE7FC">
      <w:pPr>
        <w:pageBreakBefore w:val="0"/>
        <w:widowControl w:val="0"/>
        <w:kinsoku/>
        <w:wordWrap/>
        <w:overflowPunct/>
        <w:topLinePunct w:val="0"/>
        <w:autoSpaceDE w:val="0"/>
        <w:autoSpaceDN w:val="0"/>
        <w:bidi w:val="0"/>
        <w:adjustRightInd/>
        <w:spacing w:line="360" w:lineRule="auto"/>
        <w:ind w:left="0" w:leftChars="0" w:right="0" w:rightChars="0" w:firstLine="640" w:firstLineChars="200"/>
        <w:jc w:val="both"/>
        <w:textAlignment w:val="auto"/>
        <w:rPr>
          <w:rFonts w:ascii="仿宋_GB2312" w:hAnsi="仿宋_GB2312" w:eastAsia="仿宋_GB2312" w:cs="仿宋_GB2312"/>
          <w:color w:val="000000" w:themeColor="text1"/>
          <w:sz w:val="31"/>
          <w:szCs w:val="31"/>
          <w:highlight w:val="none"/>
          <w14:textFill>
            <w14:solidFill>
              <w14:schemeClr w14:val="tx1"/>
            </w14:solidFill>
          </w14:textFill>
        </w:rPr>
      </w:pPr>
      <w:r>
        <w:rPr>
          <w:rFonts w:ascii="仿宋_GB2312" w:hAnsi="仿宋_GB2312" w:eastAsia="仿宋_GB2312" w:cs="仿宋_GB2312"/>
          <w:color w:val="000000" w:themeColor="text1"/>
          <w:spacing w:val="5"/>
          <w:sz w:val="31"/>
          <w:szCs w:val="31"/>
          <w:highlight w:val="none"/>
          <w14:textFill>
            <w14:solidFill>
              <w14:schemeClr w14:val="tx1"/>
            </w14:solidFill>
          </w14:textFill>
        </w:rPr>
        <w:t>深入实施乡村绿化美化行动，突出保护乡村</w:t>
      </w:r>
      <w:r>
        <w:rPr>
          <w:rFonts w:ascii="仿宋_GB2312" w:hAnsi="仿宋_GB2312" w:eastAsia="仿宋_GB2312" w:cs="仿宋_GB2312"/>
          <w:color w:val="000000" w:themeColor="text1"/>
          <w:spacing w:val="4"/>
          <w:sz w:val="31"/>
          <w:szCs w:val="31"/>
          <w:highlight w:val="none"/>
          <w14:textFill>
            <w14:solidFill>
              <w14:schemeClr w14:val="tx1"/>
            </w14:solidFill>
          </w14:textFill>
        </w:rPr>
        <w:t>山体田园、河湖</w:t>
      </w:r>
      <w:r>
        <w:rPr>
          <w:rFonts w:ascii="仿宋_GB2312" w:hAnsi="仿宋_GB2312" w:eastAsia="仿宋_GB2312" w:cs="仿宋_GB2312"/>
          <w:color w:val="000000" w:themeColor="text1"/>
          <w:spacing w:val="5"/>
          <w:sz w:val="31"/>
          <w:szCs w:val="31"/>
          <w:highlight w:val="none"/>
          <w14:textFill>
            <w14:solidFill>
              <w14:schemeClr w14:val="tx1"/>
            </w14:solidFill>
          </w14:textFill>
        </w:rPr>
        <w:t>湿地、原生植被、古树名木等，引导鼓励村民通过栽植果蔬、花</w:t>
      </w:r>
      <w:r>
        <w:rPr>
          <w:rFonts w:ascii="仿宋_GB2312" w:hAnsi="仿宋_GB2312" w:eastAsia="仿宋_GB2312" w:cs="仿宋_GB2312"/>
          <w:color w:val="000000" w:themeColor="text1"/>
          <w:spacing w:val="3"/>
          <w:sz w:val="31"/>
          <w:szCs w:val="31"/>
          <w:highlight w:val="none"/>
          <w14:textFill>
            <w14:solidFill>
              <w14:schemeClr w14:val="tx1"/>
            </w14:solidFill>
          </w14:textFill>
        </w:rPr>
        <w:t>木等开展庭院绿化，通过农村“</w:t>
      </w:r>
      <w:r>
        <w:rPr>
          <w:rFonts w:ascii="仿宋_GB2312" w:hAnsi="仿宋_GB2312" w:eastAsia="仿宋_GB2312" w:cs="仿宋_GB2312"/>
          <w:color w:val="000000" w:themeColor="text1"/>
          <w:spacing w:val="-89"/>
          <w:sz w:val="31"/>
          <w:szCs w:val="31"/>
          <w:highlight w:val="none"/>
          <w14:textFill>
            <w14:solidFill>
              <w14:schemeClr w14:val="tx1"/>
            </w14:solidFill>
          </w14:textFill>
        </w:rPr>
        <w:t xml:space="preserve"> </w:t>
      </w:r>
      <w:r>
        <w:rPr>
          <w:rFonts w:ascii="仿宋_GB2312" w:hAnsi="仿宋_GB2312" w:eastAsia="仿宋_GB2312" w:cs="仿宋_GB2312"/>
          <w:color w:val="000000" w:themeColor="text1"/>
          <w:spacing w:val="3"/>
          <w:sz w:val="31"/>
          <w:szCs w:val="31"/>
          <w:highlight w:val="none"/>
          <w14:textFill>
            <w14:solidFill>
              <w14:schemeClr w14:val="tx1"/>
            </w14:solidFill>
          </w14:textFill>
        </w:rPr>
        <w:t>四旁”（水旁、路旁、村旁、宅</w:t>
      </w:r>
      <w:r>
        <w:rPr>
          <w:rFonts w:ascii="仿宋_GB2312" w:hAnsi="仿宋_GB2312" w:eastAsia="仿宋_GB2312" w:cs="仿宋_GB2312"/>
          <w:color w:val="000000" w:themeColor="text1"/>
          <w:spacing w:val="5"/>
          <w:sz w:val="31"/>
          <w:szCs w:val="31"/>
          <w:highlight w:val="none"/>
          <w14:textFill>
            <w14:solidFill>
              <w14:schemeClr w14:val="tx1"/>
            </w14:solidFill>
          </w14:textFill>
        </w:rPr>
        <w:t>旁）植树推进村庄绿化，充分利用荒地、废弃地、边角地等开展</w:t>
      </w:r>
      <w:r>
        <w:rPr>
          <w:rFonts w:ascii="仿宋_GB2312" w:hAnsi="仿宋_GB2312" w:eastAsia="仿宋_GB2312" w:cs="仿宋_GB2312"/>
          <w:color w:val="000000" w:themeColor="text1"/>
          <w:spacing w:val="8"/>
          <w:sz w:val="31"/>
          <w:szCs w:val="31"/>
          <w:highlight w:val="none"/>
          <w14:textFill>
            <w14:solidFill>
              <w14:schemeClr w14:val="tx1"/>
            </w14:solidFill>
          </w14:textFill>
        </w:rPr>
        <w:t>村庄小微公园和公共绿地建设。</w:t>
      </w:r>
    </w:p>
    <w:p w14:paraId="713B3910">
      <w:pPr>
        <w:pageBreakBefore w:val="0"/>
        <w:widowControl w:val="0"/>
        <w:kinsoku/>
        <w:wordWrap/>
        <w:overflowPunct/>
        <w:topLinePunct w:val="0"/>
        <w:autoSpaceDE w:val="0"/>
        <w:autoSpaceDN w:val="0"/>
        <w:bidi w:val="0"/>
        <w:adjustRightInd/>
        <w:spacing w:line="360" w:lineRule="auto"/>
        <w:ind w:left="0" w:leftChars="0" w:right="0" w:rightChars="0" w:firstLine="628" w:firstLineChars="200"/>
        <w:jc w:val="both"/>
        <w:textAlignment w:val="auto"/>
        <w:rPr>
          <w:rFonts w:ascii="仿宋_GB2312" w:hAnsi="仿宋_GB2312" w:eastAsia="仿宋_GB2312" w:cs="仿宋_GB2312"/>
          <w:color w:val="000000" w:themeColor="text1"/>
          <w:spacing w:val="9"/>
          <w:sz w:val="31"/>
          <w:szCs w:val="31"/>
          <w:highlight w:val="none"/>
          <w14:textFill>
            <w14:solidFill>
              <w14:schemeClr w14:val="tx1"/>
            </w14:solidFill>
          </w14:textFill>
        </w:rPr>
      </w:pPr>
      <w:r>
        <w:rPr>
          <w:rFonts w:ascii="仿宋_GB2312" w:hAnsi="仿宋_GB2312" w:eastAsia="仿宋_GB2312" w:cs="仿宋_GB2312"/>
          <w:color w:val="000000" w:themeColor="text1"/>
          <w:spacing w:val="2"/>
          <w:sz w:val="31"/>
          <w:szCs w:val="31"/>
          <w:highlight w:val="none"/>
          <w14:textFill>
            <w14:solidFill>
              <w14:schemeClr w14:val="tx1"/>
            </w14:solidFill>
          </w14:textFill>
        </w:rPr>
        <w:t>统筹引导建筑风格，充分注重村民生活习惯和特色</w:t>
      </w:r>
      <w:r>
        <w:rPr>
          <w:rFonts w:ascii="仿宋_GB2312" w:hAnsi="仿宋_GB2312" w:eastAsia="仿宋_GB2312" w:cs="仿宋_GB2312"/>
          <w:color w:val="000000" w:themeColor="text1"/>
          <w:spacing w:val="1"/>
          <w:sz w:val="31"/>
          <w:szCs w:val="31"/>
          <w:highlight w:val="none"/>
          <w14:textFill>
            <w14:solidFill>
              <w14:schemeClr w14:val="tx1"/>
            </w14:solidFill>
          </w14:textFill>
        </w:rPr>
        <w:t>文化传承，</w:t>
      </w:r>
      <w:r>
        <w:rPr>
          <w:rFonts w:ascii="仿宋_GB2312" w:hAnsi="仿宋_GB2312" w:eastAsia="仿宋_GB2312" w:cs="仿宋_GB2312"/>
          <w:color w:val="000000" w:themeColor="text1"/>
          <w:spacing w:val="5"/>
          <w:sz w:val="31"/>
          <w:szCs w:val="31"/>
          <w:highlight w:val="none"/>
          <w14:textFill>
            <w14:solidFill>
              <w14:schemeClr w14:val="tx1"/>
            </w14:solidFill>
          </w14:textFill>
        </w:rPr>
        <w:t>按照以人为本的总体导向，营造乡土建筑与场景。新建和进行外立面改造的乡村建设项目及村民住房立面可以参照</w:t>
      </w:r>
      <w:r>
        <w:rPr>
          <w:rFonts w:hint="eastAsia" w:ascii="仿宋_GB2312" w:hAnsi="仿宋_GB2312" w:eastAsia="仿宋_GB2312" w:cs="仿宋_GB2312"/>
          <w:color w:val="000000" w:themeColor="text1"/>
          <w:spacing w:val="5"/>
          <w:sz w:val="31"/>
          <w:szCs w:val="31"/>
          <w:highlight w:val="none"/>
          <w14:textFill>
            <w14:solidFill>
              <w14:schemeClr w14:val="tx1"/>
            </w14:solidFill>
          </w14:textFill>
        </w:rPr>
        <w:t>《安徽省（皖北片区）农房设计图集》和《安徽省和美乡村农房设计图集》</w:t>
      </w:r>
      <w:r>
        <w:rPr>
          <w:rFonts w:ascii="仿宋_GB2312" w:hAnsi="仿宋_GB2312" w:eastAsia="仿宋_GB2312" w:cs="仿宋_GB2312"/>
          <w:color w:val="000000" w:themeColor="text1"/>
          <w:spacing w:val="5"/>
          <w:sz w:val="31"/>
          <w:szCs w:val="31"/>
          <w:highlight w:val="none"/>
          <w14:textFill>
            <w14:solidFill>
              <w14:schemeClr w14:val="tx1"/>
            </w14:solidFill>
          </w14:textFill>
        </w:rPr>
        <w:t>，对建筑高度、体量、造型、风格和色调等进行指导。各乡镇可结合自身特征对风貌进行统一管控，既要注重村居整体风貌，又要注重农房单体设计，实现具有传统特色的建筑形式。在文物保</w:t>
      </w:r>
      <w:r>
        <w:rPr>
          <w:rFonts w:ascii="仿宋_GB2312" w:hAnsi="仿宋_GB2312" w:eastAsia="仿宋_GB2312" w:cs="仿宋_GB2312"/>
          <w:color w:val="000000" w:themeColor="text1"/>
          <w:spacing w:val="4"/>
          <w:sz w:val="31"/>
          <w:szCs w:val="31"/>
          <w:highlight w:val="none"/>
          <w14:textFill>
            <w14:solidFill>
              <w14:schemeClr w14:val="tx1"/>
            </w14:solidFill>
          </w14:textFill>
        </w:rPr>
        <w:t>护单</w:t>
      </w:r>
      <w:r>
        <w:rPr>
          <w:rFonts w:ascii="仿宋_GB2312" w:hAnsi="仿宋_GB2312" w:eastAsia="仿宋_GB2312" w:cs="仿宋_GB2312"/>
          <w:color w:val="000000" w:themeColor="text1"/>
          <w:spacing w:val="5"/>
          <w:sz w:val="31"/>
          <w:szCs w:val="31"/>
          <w:highlight w:val="none"/>
          <w14:textFill>
            <w14:solidFill>
              <w14:schemeClr w14:val="tx1"/>
            </w14:solidFill>
          </w14:textFill>
        </w:rPr>
        <w:t>位建设控制区内修建新建筑和构筑物，应按文物保护法律法规及</w:t>
      </w:r>
      <w:r>
        <w:rPr>
          <w:rFonts w:ascii="仿宋_GB2312" w:hAnsi="仿宋_GB2312" w:eastAsia="仿宋_GB2312" w:cs="仿宋_GB2312"/>
          <w:color w:val="000000" w:themeColor="text1"/>
          <w:spacing w:val="9"/>
          <w:sz w:val="31"/>
          <w:szCs w:val="31"/>
          <w:highlight w:val="none"/>
          <w14:textFill>
            <w14:solidFill>
              <w14:schemeClr w14:val="tx1"/>
            </w14:solidFill>
          </w14:textFill>
        </w:rPr>
        <w:t>有关规范执行，不得破坏文物保护单位的环境风貌。</w:t>
      </w:r>
    </w:p>
    <w:p w14:paraId="0C64748C">
      <w:pPr>
        <w:pStyle w:val="13"/>
        <w:keepNext w:val="0"/>
        <w:keepLines w:val="0"/>
        <w:pageBreakBefore w:val="0"/>
        <w:widowControl w:val="0"/>
        <w:kinsoku/>
        <w:wordWrap/>
        <w:overflowPunct/>
        <w:topLinePunct w:val="0"/>
        <w:autoSpaceDE w:val="0"/>
        <w:autoSpaceDN w:val="0"/>
        <w:bidi w:val="0"/>
        <w:adjustRightInd/>
        <w:snapToGrid w:val="0"/>
        <w:spacing w:before="240" w:beforeLines="0" w:after="240" w:line="592" w:lineRule="exact"/>
        <w:ind w:left="0" w:leftChars="0" w:right="0" w:rightChars="0" w:firstLine="0" w:firstLineChars="0"/>
        <w:jc w:val="center"/>
        <w:textAlignment w:val="auto"/>
        <w:outlineLvl w:val="1"/>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pPr>
      <w:bookmarkStart w:id="141" w:name="_Toc17970"/>
      <w:bookmarkStart w:id="142" w:name="_Toc24141"/>
      <w:r>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t>第九节 通用图则</w:t>
      </w:r>
      <w:bookmarkEnd w:id="141"/>
      <w:bookmarkEnd w:id="142"/>
    </w:p>
    <w:p w14:paraId="1AF7D419">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default" w:eastAsia="仿宋_GB2312"/>
          <w:color w:val="000000" w:themeColor="text1"/>
          <w:highlight w:val="none"/>
          <w:lang w:val="en-US" w:eastAsia="zh-CN"/>
          <w14:textFill>
            <w14:solidFill>
              <w14:schemeClr w14:val="tx1"/>
            </w14:solidFill>
          </w14:textFill>
        </w:rPr>
        <w:t>通用图则包括重要控制线分布图则和地块控制图则。</w:t>
      </w:r>
    </w:p>
    <w:p w14:paraId="1C56D99D">
      <w:pPr>
        <w:pStyle w:val="33"/>
        <w:pageBreakBefore w:val="0"/>
        <w:widowControl w:val="0"/>
        <w:kinsoku/>
        <w:wordWrap/>
        <w:overflowPunct/>
        <w:topLinePunct w:val="0"/>
        <w:autoSpaceDE w:val="0"/>
        <w:autoSpaceDN w:val="0"/>
        <w:bidi w:val="0"/>
        <w:adjustRightIn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图则管控</w:t>
      </w:r>
    </w:p>
    <w:p w14:paraId="44725469">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default" w:eastAsia="仿宋_GB2312"/>
          <w:color w:val="000000" w:themeColor="text1"/>
          <w:highlight w:val="none"/>
          <w:lang w:val="en-US" w:eastAsia="zh-CN"/>
          <w14:textFill>
            <w14:solidFill>
              <w14:schemeClr w14:val="tx1"/>
            </w14:solidFill>
          </w14:textFill>
        </w:rPr>
        <w:t>重要控制线分布图则应落实上位规划划定的相关重要控制线空间分布和面积。</w:t>
      </w:r>
    </w:p>
    <w:p w14:paraId="739CB6D8">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default" w:eastAsia="仿宋_GB2312"/>
          <w:color w:val="000000" w:themeColor="text1"/>
          <w:highlight w:val="none"/>
          <w:lang w:val="en-US" w:eastAsia="zh-CN"/>
          <w14:textFill>
            <w14:solidFill>
              <w14:schemeClr w14:val="tx1"/>
            </w14:solidFill>
          </w14:textFill>
        </w:rPr>
        <w:t>地块控制图则设置规划条件要遵守相关技术规范和标准，应因地制宜，与村庄风貌、周边环境相协调。经审定的规划图则，是规划管理和行政许可的依据，应按要求的数据标准形成矢量数据。</w:t>
      </w:r>
    </w:p>
    <w:p w14:paraId="73F8289E">
      <w:pPr>
        <w:pStyle w:val="33"/>
        <w:pageBreakBefore w:val="0"/>
        <w:widowControl w:val="0"/>
        <w:kinsoku/>
        <w:wordWrap/>
        <w:overflowPunct/>
        <w:topLinePunct w:val="0"/>
        <w:autoSpaceDE w:val="0"/>
        <w:autoSpaceDN w:val="0"/>
        <w:bidi w:val="0"/>
        <w:adjustRightIn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制图要求</w:t>
      </w:r>
    </w:p>
    <w:p w14:paraId="641B6123">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default" w:eastAsia="仿宋_GB2312"/>
          <w:color w:val="000000" w:themeColor="text1"/>
          <w:highlight w:val="none"/>
          <w:lang w:val="en-US" w:eastAsia="zh-CN"/>
          <w14:textFill>
            <w14:solidFill>
              <w14:schemeClr w14:val="tx1"/>
            </w14:solidFill>
          </w14:textFill>
        </w:rPr>
        <w:t>重要控制线分布图则应表达包括耕地和永久基本农田保护红线、生态保护红线、村庄建设边界、历史文化保护线、灾害风险控制线等重要控制线空间分布。可在图中插入表格，明确重要控制线划定面积。</w:t>
      </w:r>
    </w:p>
    <w:p w14:paraId="28E7194F">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default" w:eastAsia="仿宋_GB2312"/>
          <w:color w:val="000000" w:themeColor="text1"/>
          <w:highlight w:val="none"/>
          <w:lang w:val="en-US" w:eastAsia="zh-CN"/>
          <w14:textFill>
            <w14:solidFill>
              <w14:schemeClr w14:val="tx1"/>
            </w14:solidFill>
          </w14:textFill>
        </w:rPr>
        <w:t>地块控制图则应表达地块位置、用地面积、用地性质、容积率、建筑高度、建筑密度、建筑退让等控制内容，包括建筑风貌、设施配套等控制内容。</w:t>
      </w:r>
    </w:p>
    <w:p w14:paraId="62112F71">
      <w:pPr>
        <w:pStyle w:val="33"/>
        <w:pageBreakBefore w:val="0"/>
        <w:widowControl w:val="0"/>
        <w:kinsoku/>
        <w:wordWrap/>
        <w:overflowPunct/>
        <w:topLinePunct w:val="0"/>
        <w:autoSpaceDE w:val="0"/>
        <w:autoSpaceDN w:val="0"/>
        <w:bidi w:val="0"/>
        <w:adjustRightIn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程序要求</w:t>
      </w:r>
    </w:p>
    <w:p w14:paraId="61D29588">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default" w:eastAsia="仿宋_GB2312"/>
          <w:color w:val="000000" w:themeColor="text1"/>
          <w:highlight w:val="none"/>
          <w:lang w:val="en-US" w:eastAsia="zh-CN"/>
          <w14:textFill>
            <w14:solidFill>
              <w14:schemeClr w14:val="tx1"/>
            </w14:solidFill>
          </w14:textFill>
        </w:rPr>
        <w:t>通用图则由镇人民政府（街道办事处）组织编制，由县自然资源和规划局组织技术审查和论证</w:t>
      </w:r>
      <w:r>
        <w:rPr>
          <w:rFonts w:hint="eastAsia" w:eastAsia="仿宋_GB2312"/>
          <w:color w:val="000000" w:themeColor="text1"/>
          <w:highlight w:val="none"/>
          <w:lang w:val="en-US" w:eastAsia="zh-CN"/>
          <w14:textFill>
            <w14:solidFill>
              <w14:schemeClr w14:val="tx1"/>
            </w14:solidFill>
          </w14:textFill>
        </w:rPr>
        <w:t>，由</w:t>
      </w:r>
      <w:r>
        <w:rPr>
          <w:rFonts w:hint="default" w:eastAsia="仿宋_GB2312"/>
          <w:color w:val="000000" w:themeColor="text1"/>
          <w:highlight w:val="none"/>
          <w:lang w:val="en-US" w:eastAsia="zh-CN"/>
          <w14:textFill>
            <w14:solidFill>
              <w14:schemeClr w14:val="tx1"/>
            </w14:solidFill>
          </w14:textFill>
        </w:rPr>
        <w:t>镇人民政府（街道办事处）组织村（居）民委员会审议和村（居）民会议或村（居）民代表会议讨论通过，并在村（居）内公示栏或镇人民政府（街道办事处）官方网站公示，公示时间不得少于30日。公示期满无异议后，报县人民政府批准，经县自然资源和规划主管部门备案后施行。</w:t>
      </w:r>
    </w:p>
    <w:p w14:paraId="137FA541">
      <w:pPr>
        <w:pStyle w:val="13"/>
        <w:keepNext w:val="0"/>
        <w:keepLines w:val="0"/>
        <w:pageBreakBefore w:val="0"/>
        <w:widowControl w:val="0"/>
        <w:kinsoku/>
        <w:wordWrap/>
        <w:overflowPunct/>
        <w:topLinePunct w:val="0"/>
        <w:autoSpaceDE w:val="0"/>
        <w:autoSpaceDN w:val="0"/>
        <w:bidi w:val="0"/>
        <w:adjustRightInd/>
        <w:snapToGrid w:val="0"/>
        <w:spacing w:before="240" w:beforeLines="0" w:after="240" w:line="592" w:lineRule="exact"/>
        <w:ind w:left="0" w:leftChars="0" w:right="0" w:rightChars="0" w:firstLine="0" w:firstLineChars="0"/>
        <w:jc w:val="center"/>
        <w:textAlignment w:val="auto"/>
        <w:outlineLvl w:val="1"/>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pPr>
      <w:bookmarkStart w:id="143" w:name="_Toc18892"/>
      <w:bookmarkStart w:id="144" w:name="_Toc10982"/>
      <w:r>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t>第十节  实施管理规定</w:t>
      </w:r>
      <w:bookmarkEnd w:id="143"/>
      <w:bookmarkEnd w:id="144"/>
    </w:p>
    <w:p w14:paraId="68604256">
      <w:pPr>
        <w:pStyle w:val="33"/>
        <w:pageBreakBefore w:val="0"/>
        <w:widowControl w:val="0"/>
        <w:kinsoku/>
        <w:wordWrap/>
        <w:overflowPunct/>
        <w:topLinePunct w:val="0"/>
        <w:autoSpaceDE w:val="0"/>
        <w:autoSpaceDN w:val="0"/>
        <w:bidi w:val="0"/>
        <w:adjustRightIn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加强实施监督</w:t>
      </w:r>
    </w:p>
    <w:p w14:paraId="16FED481">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强化日常监督管理，工作过程中要注重实现全流程、多方式</w:t>
      </w:r>
      <w:r>
        <w:rPr>
          <w:rFonts w:hint="default" w:eastAsia="仿宋_GB2312"/>
          <w:color w:val="000000" w:themeColor="text1"/>
          <w:highlight w:val="none"/>
          <w:lang w:val="en-US" w:eastAsia="zh-CN"/>
          <w14:textFill>
            <w14:solidFill>
              <w14:schemeClr w14:val="tx1"/>
            </w14:solidFill>
          </w14:textFill>
        </w:rPr>
        <w:t>的公众参与，广泛征求当地村民、村委和相关部门等意见，积极向公众宣传。</w:t>
      </w:r>
    </w:p>
    <w:p w14:paraId="76E83965">
      <w:pPr>
        <w:pStyle w:val="33"/>
        <w:pageBreakBefore w:val="0"/>
        <w:widowControl w:val="0"/>
        <w:kinsoku/>
        <w:wordWrap/>
        <w:overflowPunct/>
        <w:topLinePunct w:val="0"/>
        <w:autoSpaceDE w:val="0"/>
        <w:autoSpaceDN w:val="0"/>
        <w:bidi w:val="0"/>
        <w:adjustRightIn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其他事项</w:t>
      </w:r>
    </w:p>
    <w:p w14:paraId="4EDB6E3E">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default" w:eastAsia="仿宋_GB2312"/>
          <w:color w:val="000000" w:themeColor="text1"/>
          <w:highlight w:val="none"/>
          <w:lang w:val="en-US" w:eastAsia="zh-CN"/>
          <w14:textFill>
            <w14:solidFill>
              <w14:schemeClr w14:val="tx1"/>
            </w14:solidFill>
          </w14:textFill>
        </w:rPr>
        <w:t>“通则式”成果不得与法律法规和有关政策冲突。</w:t>
      </w:r>
    </w:p>
    <w:p w14:paraId="32E5E848">
      <w:pPr>
        <w:pStyle w:val="33"/>
        <w:pageBreakBefore w:val="0"/>
        <w:widowControl w:val="0"/>
        <w:kinsoku/>
        <w:wordWrap/>
        <w:overflowPunct/>
        <w:topLinePunct w:val="0"/>
        <w:autoSpaceDE w:val="0"/>
        <w:autoSpaceDN w:val="0"/>
        <w:bidi w:val="0"/>
        <w:adjustRightIn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成果要求</w:t>
      </w:r>
    </w:p>
    <w:p w14:paraId="53B2D372">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val="en-US" w:eastAsia="zh-CN"/>
          <w14:textFill>
            <w14:solidFill>
              <w14:schemeClr w14:val="tx1"/>
            </w14:solidFill>
          </w14:textFill>
        </w:rPr>
        <w:t>乡村地区“通则式”规划技术管理规定成果包含“文本”“</w:t>
      </w:r>
      <w:r>
        <w:rPr>
          <w:rFonts w:hint="default" w:eastAsia="仿宋_GB2312"/>
          <w:color w:val="000000" w:themeColor="text1"/>
          <w:highlight w:val="none"/>
          <w:lang w:val="en-US" w:eastAsia="zh-CN"/>
          <w14:textFill>
            <w14:solidFill>
              <w14:schemeClr w14:val="tx1"/>
            </w14:solidFill>
          </w14:textFill>
        </w:rPr>
        <w:t>图则”。</w:t>
      </w:r>
    </w:p>
    <w:p w14:paraId="5D39CC89">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default" w:eastAsia="仿宋_GB2312"/>
          <w:color w:val="000000" w:themeColor="text1"/>
          <w:highlight w:val="none"/>
          <w:lang w:val="en-US" w:eastAsia="zh-CN"/>
          <w14:textFill>
            <w14:solidFill>
              <w14:schemeClr w14:val="tx1"/>
            </w14:solidFill>
          </w14:textFill>
        </w:rPr>
        <w:t>“文本”主要以条文形式对底线管控、规划管理规定等内容进行阐述，</w:t>
      </w:r>
      <w:r>
        <w:rPr>
          <w:rFonts w:hint="eastAsia" w:eastAsia="仿宋_GB2312"/>
          <w:color w:val="000000" w:themeColor="text1"/>
          <w:highlight w:val="none"/>
          <w:lang w:val="en-US" w:eastAsia="zh-CN"/>
          <w14:textFill>
            <w14:solidFill>
              <w14:schemeClr w14:val="tx1"/>
            </w14:solidFill>
          </w14:textFill>
        </w:rPr>
        <w:t>言简意赅</w:t>
      </w:r>
      <w:r>
        <w:rPr>
          <w:rFonts w:hint="default" w:eastAsia="仿宋_GB2312"/>
          <w:color w:val="000000" w:themeColor="text1"/>
          <w:highlight w:val="none"/>
          <w:lang w:val="en-US" w:eastAsia="zh-CN"/>
          <w14:textFill>
            <w14:solidFill>
              <w14:schemeClr w14:val="tx1"/>
            </w14:solidFill>
          </w14:textFill>
        </w:rPr>
        <w:t>、通俗易懂，可纳入“村规民约”。</w:t>
      </w:r>
    </w:p>
    <w:p w14:paraId="0B2C336B">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default" w:eastAsia="仿宋_GB2312"/>
          <w:color w:val="000000" w:themeColor="text1"/>
          <w:highlight w:val="none"/>
          <w:lang w:val="en-US" w:eastAsia="zh-CN"/>
          <w14:textFill>
            <w14:solidFill>
              <w14:schemeClr w14:val="tx1"/>
            </w14:solidFill>
          </w14:textFill>
        </w:rPr>
        <w:t>“图则”主要为重要控制线分布和地块控制图则，清晰易识别。</w:t>
      </w:r>
    </w:p>
    <w:p w14:paraId="669A3FA6">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default" w:eastAsia="仿宋_GB2312"/>
          <w:color w:val="000000" w:themeColor="text1"/>
          <w:highlight w:val="none"/>
          <w:lang w:val="en-US" w:eastAsia="zh-CN"/>
          <w14:textFill>
            <w14:solidFill>
              <w14:schemeClr w14:val="tx1"/>
            </w14:solidFill>
          </w14:textFill>
        </w:rPr>
        <w:t>规划数据库建设应符合国土空间规划“一张图”统一标准和要求，纳入县级国土空间规划数据库，可不单独建设规划数据库。</w:t>
      </w:r>
    </w:p>
    <w:p w14:paraId="1FD45688">
      <w:pPr>
        <w:pStyle w:val="33"/>
        <w:pageBreakBefore w:val="0"/>
        <w:widowControl w:val="0"/>
        <w:kinsoku/>
        <w:wordWrap/>
        <w:overflowPunct/>
        <w:topLinePunct w:val="0"/>
        <w:autoSpaceDE w:val="0"/>
        <w:autoSpaceDN w:val="0"/>
        <w:bidi w:val="0"/>
        <w:adjustRightInd/>
        <w:spacing w:before="0" w:line="360" w:lineRule="auto"/>
        <w:ind w:left="0" w:right="108" w:firstLine="675" w:firstLineChars="200"/>
        <w:textAlignment w:val="auto"/>
        <w:rPr>
          <w:rFonts w:hint="eastAsia" w:eastAsia="仿宋_GB2312"/>
          <w:color w:val="000000" w:themeColor="text1"/>
          <w:w w:val="105"/>
          <w:sz w:val="32"/>
          <w:highlight w:val="none"/>
          <w:lang w:val="en-US" w:eastAsia="zh-CN"/>
          <w14:textFill>
            <w14:solidFill>
              <w14:schemeClr w14:val="tx1"/>
            </w14:solidFill>
          </w14:textFill>
        </w:rPr>
      </w:pPr>
      <w:r>
        <w:rPr>
          <w:rFonts w:hint="eastAsia" w:eastAsia="仿宋_GB2312"/>
          <w:color w:val="000000" w:themeColor="text1"/>
          <w:w w:val="105"/>
          <w:sz w:val="32"/>
          <w:highlight w:val="none"/>
          <w:lang w:val="en-US" w:eastAsia="zh-CN"/>
          <w14:textFill>
            <w14:solidFill>
              <w14:schemeClr w14:val="tx1"/>
            </w14:solidFill>
          </w14:textFill>
        </w:rPr>
        <w:t>规划许可</w:t>
      </w:r>
    </w:p>
    <w:p w14:paraId="1CBE437E">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依据《村庄规划许可依据一览表》规定的情形，核发规划许可存在以下三类情形：</w:t>
      </w:r>
    </w:p>
    <w:p w14:paraId="2580BD9C">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（1）√：可直接依据“通则”核发许可的项目，按照用地指引及相关要求，直接核发乡村建设规划许可。</w:t>
      </w:r>
    </w:p>
    <w:p w14:paraId="149F946F">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（2）+：在“通则”的基础上补充编制重点地块图则的项目，审查</w:t>
      </w:r>
      <w:r>
        <w:rPr>
          <w:rFonts w:hint="eastAsia" w:eastAsia="仿宋_GB2312"/>
          <w:color w:val="000000" w:themeColor="text1"/>
          <w:highlight w:val="none"/>
          <w:lang w:val="en-US" w:eastAsia="zh-CN"/>
          <w14:textFill>
            <w14:solidFill>
              <w14:schemeClr w14:val="tx1"/>
            </w14:solidFill>
          </w14:textFill>
        </w:rPr>
        <w:t>通过后</w:t>
      </w:r>
      <w:r>
        <w:rPr>
          <w:rFonts w:hint="eastAsia" w:eastAsia="仿宋_GB2312"/>
          <w:color w:val="000000" w:themeColor="text1"/>
          <w:highlight w:val="none"/>
          <w:lang w:eastAsia="zh-CN"/>
          <w14:textFill>
            <w14:solidFill>
              <w14:schemeClr w14:val="tx1"/>
            </w14:solidFill>
          </w14:textFill>
        </w:rPr>
        <w:t>图则公示30天无异议后，办理乡村建设规划许可。</w:t>
      </w:r>
    </w:p>
    <w:p w14:paraId="7661B1CB">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（3）×：不适用“通则”的项目，编制规划落实方案或详细规划（村庄规划），经县级人民政府批准后作为核发规划许可的依据。</w:t>
      </w:r>
    </w:p>
    <w:tbl>
      <w:tblPr>
        <w:tblStyle w:val="27"/>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368"/>
        <w:gridCol w:w="1373"/>
        <w:gridCol w:w="2813"/>
        <w:gridCol w:w="596"/>
        <w:gridCol w:w="492"/>
        <w:gridCol w:w="418"/>
        <w:gridCol w:w="1916"/>
      </w:tblGrid>
      <w:tr w14:paraId="6F11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5000" w:type="pct"/>
            <w:gridSpan w:val="7"/>
            <w:shd w:val="clear" w:color="auto" w:fill="auto"/>
            <w:vAlign w:val="center"/>
          </w:tcPr>
          <w:p w14:paraId="6A7963C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lang w:val="en-US" w:eastAsia="zh-CN"/>
                <w14:textFill>
                  <w14:solidFill>
                    <w14:schemeClr w14:val="tx1"/>
                  </w14:solidFill>
                </w14:textFill>
              </w:rPr>
              <w:t>专栏：村庄规划许可依据一览表</w:t>
            </w:r>
          </w:p>
        </w:tc>
      </w:tr>
      <w:tr w14:paraId="4216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527" w:type="pct"/>
            <w:gridSpan w:val="2"/>
            <w:vMerge w:val="restart"/>
            <w:shd w:val="clear" w:color="auto" w:fill="auto"/>
            <w:vAlign w:val="center"/>
          </w:tcPr>
          <w:p w14:paraId="5AA93C49">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用地类型</w:t>
            </w:r>
          </w:p>
        </w:tc>
        <w:tc>
          <w:tcPr>
            <w:tcW w:w="1567" w:type="pct"/>
            <w:vMerge w:val="restart"/>
            <w:shd w:val="clear" w:color="auto" w:fill="auto"/>
            <w:vAlign w:val="center"/>
          </w:tcPr>
          <w:p w14:paraId="739AFD9F">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具体建设内容</w:t>
            </w:r>
          </w:p>
        </w:tc>
        <w:tc>
          <w:tcPr>
            <w:tcW w:w="1904" w:type="pct"/>
            <w:gridSpan w:val="4"/>
            <w:shd w:val="clear" w:color="auto" w:fill="auto"/>
            <w:vAlign w:val="center"/>
          </w:tcPr>
          <w:p w14:paraId="1800C7FF">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土地利用情况</w:t>
            </w:r>
          </w:p>
        </w:tc>
      </w:tr>
      <w:tr w14:paraId="76EC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1527" w:type="pct"/>
            <w:gridSpan w:val="2"/>
            <w:vMerge w:val="continue"/>
            <w:shd w:val="clear" w:color="auto" w:fill="auto"/>
            <w:vAlign w:val="center"/>
          </w:tcPr>
          <w:p w14:paraId="28AB1C92">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7" w:type="pct"/>
            <w:vMerge w:val="continue"/>
            <w:shd w:val="clear" w:color="auto" w:fill="auto"/>
            <w:vAlign w:val="center"/>
          </w:tcPr>
          <w:p w14:paraId="2E283D62">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332" w:type="pct"/>
            <w:vMerge w:val="restart"/>
            <w:shd w:val="clear" w:color="auto" w:fill="auto"/>
            <w:vAlign w:val="center"/>
          </w:tcPr>
          <w:p w14:paraId="43BDC47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新增</w:t>
            </w:r>
          </w:p>
          <w:p w14:paraId="45A24DE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建设用地</w:t>
            </w:r>
          </w:p>
        </w:tc>
        <w:tc>
          <w:tcPr>
            <w:tcW w:w="1571" w:type="pct"/>
            <w:gridSpan w:val="3"/>
            <w:shd w:val="clear" w:color="auto" w:fill="auto"/>
            <w:vAlign w:val="center"/>
          </w:tcPr>
          <w:p w14:paraId="7FBD805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存量建设用地</w:t>
            </w:r>
          </w:p>
        </w:tc>
      </w:tr>
      <w:tr w14:paraId="576B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1527" w:type="pct"/>
            <w:gridSpan w:val="2"/>
            <w:vMerge w:val="continue"/>
            <w:shd w:val="clear" w:color="auto" w:fill="auto"/>
            <w:vAlign w:val="center"/>
          </w:tcPr>
          <w:p w14:paraId="6D1ABAB7">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7" w:type="pct"/>
            <w:vMerge w:val="continue"/>
            <w:shd w:val="clear" w:color="auto" w:fill="auto"/>
            <w:vAlign w:val="center"/>
          </w:tcPr>
          <w:p w14:paraId="3CFE8EAB">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332" w:type="pct"/>
            <w:vMerge w:val="continue"/>
            <w:shd w:val="clear" w:color="auto" w:fill="auto"/>
            <w:vAlign w:val="center"/>
          </w:tcPr>
          <w:p w14:paraId="4531E209">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274" w:type="pct"/>
            <w:vMerge w:val="restart"/>
            <w:shd w:val="clear" w:color="auto" w:fill="auto"/>
            <w:vAlign w:val="center"/>
          </w:tcPr>
          <w:p w14:paraId="48FF301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改变</w:t>
            </w:r>
          </w:p>
          <w:p w14:paraId="46D6A566">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用途</w:t>
            </w:r>
          </w:p>
        </w:tc>
        <w:tc>
          <w:tcPr>
            <w:tcW w:w="1296" w:type="pct"/>
            <w:gridSpan w:val="2"/>
            <w:shd w:val="clear" w:color="auto" w:fill="auto"/>
            <w:vAlign w:val="center"/>
          </w:tcPr>
          <w:p w14:paraId="7F6DE60C">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使用原用途</w:t>
            </w:r>
          </w:p>
        </w:tc>
      </w:tr>
      <w:tr w14:paraId="48DB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25" w:hRule="atLeast"/>
          <w:jc w:val="center"/>
        </w:trPr>
        <w:tc>
          <w:tcPr>
            <w:tcW w:w="1527" w:type="pct"/>
            <w:gridSpan w:val="2"/>
            <w:vMerge w:val="continue"/>
            <w:shd w:val="clear" w:color="auto" w:fill="auto"/>
            <w:vAlign w:val="center"/>
          </w:tcPr>
          <w:p w14:paraId="540C66E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7" w:type="pct"/>
            <w:vMerge w:val="continue"/>
            <w:shd w:val="clear" w:color="auto" w:fill="auto"/>
            <w:vAlign w:val="center"/>
          </w:tcPr>
          <w:p w14:paraId="137E8BEE">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332" w:type="pct"/>
            <w:vMerge w:val="continue"/>
            <w:shd w:val="clear" w:color="auto" w:fill="auto"/>
            <w:vAlign w:val="center"/>
          </w:tcPr>
          <w:p w14:paraId="4E8EF2E4">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274" w:type="pct"/>
            <w:vMerge w:val="continue"/>
            <w:shd w:val="clear" w:color="auto" w:fill="auto"/>
            <w:vAlign w:val="center"/>
          </w:tcPr>
          <w:p w14:paraId="65B111B0">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233" w:type="pct"/>
            <w:shd w:val="clear" w:color="auto" w:fill="auto"/>
            <w:vAlign w:val="center"/>
          </w:tcPr>
          <w:p w14:paraId="3E49DD09">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扩建</w:t>
            </w:r>
          </w:p>
        </w:tc>
        <w:tc>
          <w:tcPr>
            <w:tcW w:w="1063" w:type="pct"/>
            <w:shd w:val="clear" w:color="auto" w:fill="auto"/>
            <w:vAlign w:val="center"/>
          </w:tcPr>
          <w:p w14:paraId="61FD542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重建、翻建</w:t>
            </w:r>
          </w:p>
          <w:p w14:paraId="7472EFA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（包括不扩大面积、高度的改建）</w:t>
            </w:r>
          </w:p>
        </w:tc>
      </w:tr>
      <w:tr w14:paraId="77FA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1527" w:type="pct"/>
            <w:gridSpan w:val="2"/>
            <w:vMerge w:val="restart"/>
            <w:shd w:val="clear" w:color="auto" w:fill="auto"/>
            <w:vAlign w:val="center"/>
          </w:tcPr>
          <w:p w14:paraId="47C6882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农村宅基地（0703地类）</w:t>
            </w:r>
          </w:p>
        </w:tc>
        <w:tc>
          <w:tcPr>
            <w:tcW w:w="1567" w:type="pct"/>
            <w:shd w:val="clear" w:color="auto" w:fill="auto"/>
            <w:vAlign w:val="center"/>
          </w:tcPr>
          <w:p w14:paraId="2356BD5F">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单宗独户或单宗联排</w:t>
            </w:r>
          </w:p>
        </w:tc>
        <w:tc>
          <w:tcPr>
            <w:tcW w:w="332" w:type="pct"/>
            <w:shd w:val="clear" w:color="auto" w:fill="auto"/>
            <w:vAlign w:val="center"/>
          </w:tcPr>
          <w:p w14:paraId="7D813AB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4" w:type="pct"/>
            <w:shd w:val="clear" w:color="auto" w:fill="auto"/>
            <w:vAlign w:val="center"/>
          </w:tcPr>
          <w:p w14:paraId="3C985D8E">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1B3A03C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3" w:type="pct"/>
            <w:shd w:val="clear" w:color="auto" w:fill="auto"/>
            <w:vAlign w:val="center"/>
          </w:tcPr>
          <w:p w14:paraId="0A5A3219">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6C32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1527" w:type="pct"/>
            <w:gridSpan w:val="2"/>
            <w:vMerge w:val="continue"/>
            <w:shd w:val="clear" w:color="auto" w:fill="auto"/>
            <w:vAlign w:val="center"/>
          </w:tcPr>
          <w:p w14:paraId="18118D1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7" w:type="pct"/>
            <w:shd w:val="clear" w:color="auto" w:fill="auto"/>
            <w:vAlign w:val="center"/>
          </w:tcPr>
          <w:p w14:paraId="250E431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用地规模3亩以上的集中安置</w:t>
            </w:r>
          </w:p>
        </w:tc>
        <w:tc>
          <w:tcPr>
            <w:tcW w:w="332" w:type="pct"/>
            <w:shd w:val="clear" w:color="auto" w:fill="auto"/>
            <w:vAlign w:val="center"/>
          </w:tcPr>
          <w:p w14:paraId="5BEFF58D">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74" w:type="pct"/>
            <w:shd w:val="clear" w:color="auto" w:fill="auto"/>
            <w:vAlign w:val="center"/>
          </w:tcPr>
          <w:p w14:paraId="788A27D9">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33" w:type="pct"/>
            <w:shd w:val="clear" w:color="auto" w:fill="auto"/>
            <w:vAlign w:val="center"/>
          </w:tcPr>
          <w:p w14:paraId="339B19C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1063" w:type="pct"/>
            <w:shd w:val="clear" w:color="auto" w:fill="auto"/>
            <w:vAlign w:val="center"/>
          </w:tcPr>
          <w:p w14:paraId="6E9C3A7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56B9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1527" w:type="pct"/>
            <w:gridSpan w:val="2"/>
            <w:shd w:val="clear" w:color="auto" w:fill="auto"/>
            <w:vAlign w:val="center"/>
          </w:tcPr>
          <w:p w14:paraId="4BB80B87">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农村社区服务设施用地</w:t>
            </w:r>
          </w:p>
          <w:p w14:paraId="4FA2924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（0704地类）</w:t>
            </w:r>
          </w:p>
        </w:tc>
        <w:tc>
          <w:tcPr>
            <w:tcW w:w="1567" w:type="pct"/>
            <w:shd w:val="clear" w:color="auto" w:fill="auto"/>
            <w:vAlign w:val="center"/>
          </w:tcPr>
          <w:p w14:paraId="374BC59B">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村委会、农村卫生服务站、休息亭、文化礼堂、宗祠、体育健身点等</w:t>
            </w:r>
          </w:p>
        </w:tc>
        <w:tc>
          <w:tcPr>
            <w:tcW w:w="332" w:type="pct"/>
            <w:shd w:val="clear" w:color="auto" w:fill="auto"/>
            <w:vAlign w:val="center"/>
          </w:tcPr>
          <w:p w14:paraId="0FD013B6">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74" w:type="pct"/>
            <w:shd w:val="clear" w:color="auto" w:fill="auto"/>
            <w:vAlign w:val="center"/>
          </w:tcPr>
          <w:p w14:paraId="5D31415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33" w:type="pct"/>
            <w:shd w:val="clear" w:color="auto" w:fill="auto"/>
            <w:vAlign w:val="center"/>
          </w:tcPr>
          <w:p w14:paraId="5D38A1C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1063" w:type="pct"/>
            <w:shd w:val="clear" w:color="auto" w:fill="auto"/>
            <w:vAlign w:val="center"/>
          </w:tcPr>
          <w:p w14:paraId="4F6D012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30BB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2" w:type="pct"/>
            <w:vMerge w:val="restart"/>
            <w:shd w:val="clear" w:color="auto" w:fill="auto"/>
            <w:vAlign w:val="center"/>
          </w:tcPr>
          <w:p w14:paraId="35C25DD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公共管理与公</w:t>
            </w:r>
          </w:p>
          <w:p w14:paraId="0E61FCFB">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共服务用地</w:t>
            </w:r>
          </w:p>
          <w:p w14:paraId="49CA46E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（08地类）</w:t>
            </w:r>
          </w:p>
        </w:tc>
        <w:tc>
          <w:tcPr>
            <w:tcW w:w="765" w:type="pct"/>
            <w:shd w:val="clear" w:color="auto" w:fill="auto"/>
            <w:vAlign w:val="center"/>
          </w:tcPr>
          <w:p w14:paraId="70A17D2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幼儿园用地</w:t>
            </w:r>
          </w:p>
        </w:tc>
        <w:tc>
          <w:tcPr>
            <w:tcW w:w="1567" w:type="pct"/>
            <w:shd w:val="clear" w:color="auto" w:fill="auto"/>
            <w:vAlign w:val="center"/>
          </w:tcPr>
          <w:p w14:paraId="30FA448B">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幼儿园</w:t>
            </w:r>
          </w:p>
        </w:tc>
        <w:tc>
          <w:tcPr>
            <w:tcW w:w="332" w:type="pct"/>
            <w:shd w:val="clear" w:color="auto" w:fill="auto"/>
            <w:vAlign w:val="center"/>
          </w:tcPr>
          <w:p w14:paraId="74AB89ED">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74" w:type="pct"/>
            <w:shd w:val="clear" w:color="auto" w:fill="auto"/>
            <w:vAlign w:val="center"/>
          </w:tcPr>
          <w:p w14:paraId="2512C2CC">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33" w:type="pct"/>
            <w:shd w:val="clear" w:color="auto" w:fill="auto"/>
            <w:vAlign w:val="center"/>
          </w:tcPr>
          <w:p w14:paraId="294BEBC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1063" w:type="pct"/>
            <w:shd w:val="clear" w:color="auto" w:fill="auto"/>
            <w:vAlign w:val="center"/>
          </w:tcPr>
          <w:p w14:paraId="460C0FD2">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63E2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2" w:type="pct"/>
            <w:vMerge w:val="continue"/>
            <w:shd w:val="clear" w:color="auto" w:fill="auto"/>
            <w:vAlign w:val="center"/>
          </w:tcPr>
          <w:p w14:paraId="0541E0CB">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shd w:val="clear" w:color="auto" w:fill="auto"/>
            <w:vAlign w:val="center"/>
          </w:tcPr>
          <w:p w14:paraId="034320D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基层医疗卫生设施用地</w:t>
            </w:r>
          </w:p>
        </w:tc>
        <w:tc>
          <w:tcPr>
            <w:tcW w:w="1567" w:type="pct"/>
            <w:shd w:val="clear" w:color="auto" w:fill="auto"/>
            <w:vAlign w:val="center"/>
          </w:tcPr>
          <w:p w14:paraId="7EAD223E">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卫生院</w:t>
            </w:r>
          </w:p>
        </w:tc>
        <w:tc>
          <w:tcPr>
            <w:tcW w:w="332" w:type="pct"/>
            <w:shd w:val="clear" w:color="auto" w:fill="auto"/>
            <w:vAlign w:val="center"/>
          </w:tcPr>
          <w:p w14:paraId="1D2922CD">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74" w:type="pct"/>
            <w:shd w:val="clear" w:color="auto" w:fill="auto"/>
            <w:vAlign w:val="center"/>
          </w:tcPr>
          <w:p w14:paraId="6CBB9A6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33" w:type="pct"/>
            <w:shd w:val="clear" w:color="auto" w:fill="auto"/>
            <w:vAlign w:val="center"/>
          </w:tcPr>
          <w:p w14:paraId="542080E6">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1063" w:type="pct"/>
            <w:shd w:val="clear" w:color="auto" w:fill="auto"/>
            <w:vAlign w:val="center"/>
          </w:tcPr>
          <w:p w14:paraId="61ECB6F0">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6443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2" w:type="pct"/>
            <w:vMerge w:val="continue"/>
            <w:shd w:val="clear" w:color="auto" w:fill="auto"/>
            <w:vAlign w:val="center"/>
          </w:tcPr>
          <w:p w14:paraId="50D1F327">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restart"/>
            <w:shd w:val="clear" w:color="auto" w:fill="auto"/>
            <w:vAlign w:val="center"/>
          </w:tcPr>
          <w:p w14:paraId="700670C2">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老年人社会福利用地</w:t>
            </w:r>
          </w:p>
        </w:tc>
        <w:tc>
          <w:tcPr>
            <w:tcW w:w="1567" w:type="pct"/>
            <w:shd w:val="clear" w:color="auto" w:fill="auto"/>
            <w:vAlign w:val="center"/>
          </w:tcPr>
          <w:p w14:paraId="75528FE9">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养老院</w:t>
            </w:r>
          </w:p>
        </w:tc>
        <w:tc>
          <w:tcPr>
            <w:tcW w:w="332" w:type="pct"/>
            <w:shd w:val="clear" w:color="auto" w:fill="auto"/>
            <w:vAlign w:val="center"/>
          </w:tcPr>
          <w:p w14:paraId="423081CB">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74" w:type="pct"/>
            <w:shd w:val="clear" w:color="auto" w:fill="auto"/>
            <w:vAlign w:val="center"/>
          </w:tcPr>
          <w:p w14:paraId="138585B7">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33" w:type="pct"/>
            <w:shd w:val="clear" w:color="auto" w:fill="auto"/>
            <w:vAlign w:val="center"/>
          </w:tcPr>
          <w:p w14:paraId="70AE938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1063" w:type="pct"/>
            <w:shd w:val="clear" w:color="auto" w:fill="auto"/>
            <w:vAlign w:val="center"/>
          </w:tcPr>
          <w:p w14:paraId="29622029">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5CF8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2" w:type="pct"/>
            <w:vMerge w:val="continue"/>
            <w:shd w:val="clear" w:color="auto" w:fill="auto"/>
            <w:vAlign w:val="center"/>
          </w:tcPr>
          <w:p w14:paraId="604B322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continue"/>
            <w:shd w:val="clear" w:color="auto" w:fill="auto"/>
            <w:vAlign w:val="center"/>
          </w:tcPr>
          <w:p w14:paraId="5121709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7" w:type="pct"/>
            <w:shd w:val="clear" w:color="auto" w:fill="auto"/>
            <w:vAlign w:val="center"/>
          </w:tcPr>
          <w:p w14:paraId="5176169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居家养老服务中心</w:t>
            </w:r>
          </w:p>
        </w:tc>
        <w:tc>
          <w:tcPr>
            <w:tcW w:w="332" w:type="pct"/>
            <w:shd w:val="clear" w:color="auto" w:fill="auto"/>
            <w:vAlign w:val="center"/>
          </w:tcPr>
          <w:p w14:paraId="5E8B078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74" w:type="pct"/>
            <w:shd w:val="clear" w:color="auto" w:fill="auto"/>
            <w:vAlign w:val="center"/>
          </w:tcPr>
          <w:p w14:paraId="582AFBEF">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33" w:type="pct"/>
            <w:shd w:val="clear" w:color="auto" w:fill="auto"/>
            <w:vAlign w:val="center"/>
          </w:tcPr>
          <w:p w14:paraId="31D0750D">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1063" w:type="pct"/>
            <w:shd w:val="clear" w:color="auto" w:fill="auto"/>
            <w:vAlign w:val="center"/>
          </w:tcPr>
          <w:p w14:paraId="00A2736D">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0B2A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2" w:type="pct"/>
            <w:vMerge w:val="continue"/>
            <w:shd w:val="clear" w:color="auto" w:fill="auto"/>
            <w:vAlign w:val="center"/>
          </w:tcPr>
          <w:p w14:paraId="5000790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shd w:val="clear" w:color="auto" w:fill="auto"/>
            <w:vAlign w:val="center"/>
          </w:tcPr>
          <w:p w14:paraId="5D529A1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儿童社会福利用地</w:t>
            </w:r>
          </w:p>
        </w:tc>
        <w:tc>
          <w:tcPr>
            <w:tcW w:w="1567" w:type="pct"/>
            <w:shd w:val="clear" w:color="auto" w:fill="auto"/>
            <w:vAlign w:val="center"/>
          </w:tcPr>
          <w:p w14:paraId="1BE45F7B">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留守儿童福利院</w:t>
            </w:r>
          </w:p>
        </w:tc>
        <w:tc>
          <w:tcPr>
            <w:tcW w:w="332" w:type="pct"/>
            <w:shd w:val="clear" w:color="auto" w:fill="auto"/>
            <w:vAlign w:val="center"/>
          </w:tcPr>
          <w:p w14:paraId="4CDB7F1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74" w:type="pct"/>
            <w:shd w:val="clear" w:color="auto" w:fill="auto"/>
            <w:vAlign w:val="center"/>
          </w:tcPr>
          <w:p w14:paraId="08EE98E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33" w:type="pct"/>
            <w:shd w:val="clear" w:color="auto" w:fill="auto"/>
            <w:vAlign w:val="center"/>
          </w:tcPr>
          <w:p w14:paraId="51890CA5">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1063" w:type="pct"/>
            <w:shd w:val="clear" w:color="auto" w:fill="auto"/>
            <w:vAlign w:val="center"/>
          </w:tcPr>
          <w:p w14:paraId="355BA66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5B7B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2" w:type="pct"/>
            <w:shd w:val="clear" w:color="auto" w:fill="auto"/>
            <w:vAlign w:val="center"/>
          </w:tcPr>
          <w:p w14:paraId="5E82BC4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工业用地（1001地类）</w:t>
            </w:r>
          </w:p>
        </w:tc>
        <w:tc>
          <w:tcPr>
            <w:tcW w:w="765" w:type="pct"/>
            <w:shd w:val="clear" w:color="auto" w:fill="auto"/>
            <w:vAlign w:val="center"/>
          </w:tcPr>
          <w:p w14:paraId="15B039CF">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一、二类工业用地</w:t>
            </w:r>
          </w:p>
        </w:tc>
        <w:tc>
          <w:tcPr>
            <w:tcW w:w="1567" w:type="pct"/>
            <w:shd w:val="clear" w:color="auto" w:fill="auto"/>
            <w:vAlign w:val="center"/>
          </w:tcPr>
          <w:p w14:paraId="2EEB687B">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用于农产品初加工的产业用地</w:t>
            </w:r>
          </w:p>
        </w:tc>
        <w:tc>
          <w:tcPr>
            <w:tcW w:w="332" w:type="pct"/>
            <w:shd w:val="clear" w:color="auto" w:fill="auto"/>
            <w:vAlign w:val="center"/>
          </w:tcPr>
          <w:p w14:paraId="230B92F4">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74" w:type="pct"/>
            <w:shd w:val="clear" w:color="auto" w:fill="auto"/>
            <w:vAlign w:val="center"/>
          </w:tcPr>
          <w:p w14:paraId="4A8BD4D6">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33" w:type="pct"/>
            <w:shd w:val="clear" w:color="auto" w:fill="auto"/>
            <w:vAlign w:val="center"/>
          </w:tcPr>
          <w:p w14:paraId="3519501E">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1063" w:type="pct"/>
            <w:shd w:val="clear" w:color="auto" w:fill="auto"/>
            <w:vAlign w:val="center"/>
          </w:tcPr>
          <w:p w14:paraId="4E493B17">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r>
      <w:tr w14:paraId="1054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1527" w:type="pct"/>
            <w:gridSpan w:val="2"/>
            <w:shd w:val="clear" w:color="auto" w:fill="auto"/>
            <w:vAlign w:val="center"/>
          </w:tcPr>
          <w:p w14:paraId="28CFC295">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物流仓储用地（1101地类）</w:t>
            </w:r>
          </w:p>
        </w:tc>
        <w:tc>
          <w:tcPr>
            <w:tcW w:w="1567" w:type="pct"/>
            <w:shd w:val="clear" w:color="auto" w:fill="auto"/>
            <w:vAlign w:val="center"/>
          </w:tcPr>
          <w:p w14:paraId="41FA856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物流快递中转点</w:t>
            </w:r>
          </w:p>
        </w:tc>
        <w:tc>
          <w:tcPr>
            <w:tcW w:w="332" w:type="pct"/>
            <w:shd w:val="clear" w:color="auto" w:fill="auto"/>
            <w:vAlign w:val="center"/>
          </w:tcPr>
          <w:p w14:paraId="21CDB114">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4" w:type="pct"/>
            <w:shd w:val="clear" w:color="auto" w:fill="auto"/>
            <w:vAlign w:val="center"/>
          </w:tcPr>
          <w:p w14:paraId="266E007C">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564A9484">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3" w:type="pct"/>
            <w:shd w:val="clear" w:color="auto" w:fill="auto"/>
            <w:vAlign w:val="center"/>
          </w:tcPr>
          <w:p w14:paraId="1DB504FF">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r>
      <w:tr w14:paraId="4698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2" w:type="pct"/>
            <w:vMerge w:val="restart"/>
            <w:shd w:val="clear" w:color="auto" w:fill="auto"/>
            <w:vAlign w:val="center"/>
          </w:tcPr>
          <w:p w14:paraId="3F2FB497">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交通运输用地</w:t>
            </w:r>
          </w:p>
          <w:p w14:paraId="71A34E16">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（12地类）</w:t>
            </w:r>
          </w:p>
        </w:tc>
        <w:tc>
          <w:tcPr>
            <w:tcW w:w="765" w:type="pct"/>
            <w:shd w:val="clear" w:color="auto" w:fill="auto"/>
            <w:vAlign w:val="center"/>
          </w:tcPr>
          <w:p w14:paraId="3153BF39">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城镇村道路用地</w:t>
            </w:r>
          </w:p>
        </w:tc>
        <w:tc>
          <w:tcPr>
            <w:tcW w:w="1567" w:type="pct"/>
            <w:shd w:val="clear" w:color="auto" w:fill="auto"/>
            <w:vAlign w:val="center"/>
          </w:tcPr>
          <w:p w14:paraId="0A80727C">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村道</w:t>
            </w:r>
          </w:p>
        </w:tc>
        <w:tc>
          <w:tcPr>
            <w:tcW w:w="332" w:type="pct"/>
            <w:shd w:val="clear" w:color="auto" w:fill="auto"/>
            <w:vAlign w:val="center"/>
          </w:tcPr>
          <w:p w14:paraId="411B7AE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4" w:type="pct"/>
            <w:shd w:val="clear" w:color="auto" w:fill="auto"/>
            <w:vAlign w:val="center"/>
          </w:tcPr>
          <w:p w14:paraId="6D26042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21BD21E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3" w:type="pct"/>
            <w:shd w:val="clear" w:color="auto" w:fill="auto"/>
            <w:vAlign w:val="center"/>
          </w:tcPr>
          <w:p w14:paraId="21B44E42">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5EB1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2" w:type="pct"/>
            <w:vMerge w:val="continue"/>
            <w:shd w:val="clear" w:color="auto" w:fill="auto"/>
            <w:vAlign w:val="center"/>
          </w:tcPr>
          <w:p w14:paraId="7976B92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shd w:val="clear" w:color="auto" w:fill="auto"/>
            <w:vAlign w:val="center"/>
          </w:tcPr>
          <w:p w14:paraId="18C54A3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社会停车场用地</w:t>
            </w:r>
          </w:p>
        </w:tc>
        <w:tc>
          <w:tcPr>
            <w:tcW w:w="1567" w:type="pct"/>
            <w:shd w:val="clear" w:color="auto" w:fill="auto"/>
            <w:vAlign w:val="center"/>
          </w:tcPr>
          <w:p w14:paraId="0C358274">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景区停车场</w:t>
            </w:r>
          </w:p>
        </w:tc>
        <w:tc>
          <w:tcPr>
            <w:tcW w:w="332" w:type="pct"/>
            <w:shd w:val="clear" w:color="auto" w:fill="auto"/>
            <w:vAlign w:val="center"/>
          </w:tcPr>
          <w:p w14:paraId="53272A6D">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74" w:type="pct"/>
            <w:shd w:val="clear" w:color="auto" w:fill="auto"/>
            <w:vAlign w:val="center"/>
          </w:tcPr>
          <w:p w14:paraId="199C5A10">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33" w:type="pct"/>
            <w:shd w:val="clear" w:color="auto" w:fill="auto"/>
            <w:vAlign w:val="center"/>
          </w:tcPr>
          <w:p w14:paraId="3C19DADD">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1063" w:type="pct"/>
            <w:shd w:val="clear" w:color="auto" w:fill="auto"/>
            <w:vAlign w:val="center"/>
          </w:tcPr>
          <w:p w14:paraId="4215FE9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131E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2" w:type="pct"/>
            <w:vMerge w:val="restart"/>
            <w:shd w:val="clear" w:color="auto" w:fill="auto"/>
            <w:vAlign w:val="center"/>
          </w:tcPr>
          <w:p w14:paraId="62538D7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公用设施用地</w:t>
            </w:r>
          </w:p>
          <w:p w14:paraId="07E8701C">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（13地类）</w:t>
            </w:r>
          </w:p>
        </w:tc>
        <w:tc>
          <w:tcPr>
            <w:tcW w:w="765" w:type="pct"/>
            <w:shd w:val="clear" w:color="auto" w:fill="auto"/>
            <w:vAlign w:val="center"/>
          </w:tcPr>
          <w:p w14:paraId="0A9073B6">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供水用地</w:t>
            </w:r>
          </w:p>
        </w:tc>
        <w:tc>
          <w:tcPr>
            <w:tcW w:w="1567" w:type="pct"/>
            <w:shd w:val="clear" w:color="auto" w:fill="auto"/>
            <w:vAlign w:val="center"/>
          </w:tcPr>
          <w:p w14:paraId="0EFF8E7C">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小型农村取水设施</w:t>
            </w:r>
          </w:p>
        </w:tc>
        <w:tc>
          <w:tcPr>
            <w:tcW w:w="332" w:type="pct"/>
            <w:shd w:val="clear" w:color="auto" w:fill="auto"/>
            <w:vAlign w:val="center"/>
          </w:tcPr>
          <w:p w14:paraId="6D20F619">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4" w:type="pct"/>
            <w:shd w:val="clear" w:color="auto" w:fill="auto"/>
            <w:vAlign w:val="center"/>
          </w:tcPr>
          <w:p w14:paraId="05BA3B46">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507DCDE2">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3" w:type="pct"/>
            <w:shd w:val="clear" w:color="auto" w:fill="auto"/>
            <w:vAlign w:val="center"/>
          </w:tcPr>
          <w:p w14:paraId="7A76790C">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455A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2" w:type="pct"/>
            <w:vMerge w:val="continue"/>
            <w:shd w:val="clear" w:color="auto" w:fill="auto"/>
            <w:vAlign w:val="center"/>
          </w:tcPr>
          <w:p w14:paraId="7FFAC7C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shd w:val="clear" w:color="auto" w:fill="auto"/>
            <w:vAlign w:val="center"/>
          </w:tcPr>
          <w:p w14:paraId="68E353F4">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排水用地</w:t>
            </w:r>
          </w:p>
        </w:tc>
        <w:tc>
          <w:tcPr>
            <w:tcW w:w="1567" w:type="pct"/>
            <w:shd w:val="clear" w:color="auto" w:fill="auto"/>
            <w:vAlign w:val="center"/>
          </w:tcPr>
          <w:p w14:paraId="518538C2">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小型农村污水处理池</w:t>
            </w:r>
          </w:p>
        </w:tc>
        <w:tc>
          <w:tcPr>
            <w:tcW w:w="332" w:type="pct"/>
            <w:shd w:val="clear" w:color="auto" w:fill="auto"/>
            <w:vAlign w:val="center"/>
          </w:tcPr>
          <w:p w14:paraId="632FD300">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4" w:type="pct"/>
            <w:shd w:val="clear" w:color="auto" w:fill="auto"/>
            <w:vAlign w:val="center"/>
          </w:tcPr>
          <w:p w14:paraId="66680FC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5022E81C">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3" w:type="pct"/>
            <w:shd w:val="clear" w:color="auto" w:fill="auto"/>
            <w:vAlign w:val="center"/>
          </w:tcPr>
          <w:p w14:paraId="2A7C324B">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5AB5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2" w:type="pct"/>
            <w:vMerge w:val="continue"/>
            <w:shd w:val="clear" w:color="auto" w:fill="auto"/>
            <w:vAlign w:val="center"/>
          </w:tcPr>
          <w:p w14:paraId="0A05128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shd w:val="clear" w:color="auto" w:fill="auto"/>
            <w:vAlign w:val="center"/>
          </w:tcPr>
          <w:p w14:paraId="4DA715C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供电用地</w:t>
            </w:r>
          </w:p>
        </w:tc>
        <w:tc>
          <w:tcPr>
            <w:tcW w:w="1567" w:type="pct"/>
            <w:shd w:val="clear" w:color="auto" w:fill="auto"/>
            <w:vAlign w:val="center"/>
          </w:tcPr>
          <w:p w14:paraId="28EBF806">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村配电房</w:t>
            </w:r>
          </w:p>
        </w:tc>
        <w:tc>
          <w:tcPr>
            <w:tcW w:w="332" w:type="pct"/>
            <w:shd w:val="clear" w:color="auto" w:fill="auto"/>
            <w:vAlign w:val="center"/>
          </w:tcPr>
          <w:p w14:paraId="097E9AC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4" w:type="pct"/>
            <w:shd w:val="clear" w:color="auto" w:fill="auto"/>
            <w:vAlign w:val="center"/>
          </w:tcPr>
          <w:p w14:paraId="2E1296E4">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18E68DB9">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3" w:type="pct"/>
            <w:shd w:val="clear" w:color="auto" w:fill="auto"/>
            <w:vAlign w:val="center"/>
          </w:tcPr>
          <w:p w14:paraId="72ED44E9">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56B5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2" w:type="pct"/>
            <w:vMerge w:val="continue"/>
            <w:shd w:val="clear" w:color="auto" w:fill="auto"/>
            <w:vAlign w:val="center"/>
          </w:tcPr>
          <w:p w14:paraId="308E3710">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shd w:val="clear" w:color="auto" w:fill="auto"/>
            <w:vAlign w:val="center"/>
          </w:tcPr>
          <w:p w14:paraId="1152B886">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通信用地</w:t>
            </w:r>
          </w:p>
        </w:tc>
        <w:tc>
          <w:tcPr>
            <w:tcW w:w="1567" w:type="pct"/>
            <w:shd w:val="clear" w:color="auto" w:fill="auto"/>
            <w:vAlign w:val="center"/>
          </w:tcPr>
          <w:p w14:paraId="5DD44BA2">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通信基站</w:t>
            </w:r>
          </w:p>
        </w:tc>
        <w:tc>
          <w:tcPr>
            <w:tcW w:w="332" w:type="pct"/>
            <w:shd w:val="clear" w:color="auto" w:fill="auto"/>
            <w:vAlign w:val="center"/>
          </w:tcPr>
          <w:p w14:paraId="16258A3D">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4" w:type="pct"/>
            <w:shd w:val="clear" w:color="auto" w:fill="auto"/>
            <w:vAlign w:val="center"/>
          </w:tcPr>
          <w:p w14:paraId="2C7ABC5E">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609B103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3" w:type="pct"/>
            <w:shd w:val="clear" w:color="auto" w:fill="auto"/>
            <w:vAlign w:val="center"/>
          </w:tcPr>
          <w:p w14:paraId="28BE043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538B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2" w:type="pct"/>
            <w:vMerge w:val="continue"/>
            <w:shd w:val="clear" w:color="auto" w:fill="auto"/>
            <w:vAlign w:val="center"/>
          </w:tcPr>
          <w:p w14:paraId="5A23A27C">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restart"/>
            <w:shd w:val="clear" w:color="auto" w:fill="auto"/>
            <w:vAlign w:val="center"/>
          </w:tcPr>
          <w:p w14:paraId="782288F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环卫用地</w:t>
            </w:r>
          </w:p>
        </w:tc>
        <w:tc>
          <w:tcPr>
            <w:tcW w:w="1567" w:type="pct"/>
            <w:shd w:val="clear" w:color="auto" w:fill="auto"/>
            <w:vAlign w:val="center"/>
          </w:tcPr>
          <w:p w14:paraId="463DBB86">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垃圾中转站</w:t>
            </w:r>
          </w:p>
        </w:tc>
        <w:tc>
          <w:tcPr>
            <w:tcW w:w="332" w:type="pct"/>
            <w:shd w:val="clear" w:color="auto" w:fill="auto"/>
            <w:vAlign w:val="center"/>
          </w:tcPr>
          <w:p w14:paraId="0FF3CA7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74" w:type="pct"/>
            <w:shd w:val="clear" w:color="auto" w:fill="auto"/>
            <w:vAlign w:val="center"/>
          </w:tcPr>
          <w:p w14:paraId="663F0126">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33" w:type="pct"/>
            <w:shd w:val="clear" w:color="auto" w:fill="auto"/>
            <w:vAlign w:val="center"/>
          </w:tcPr>
          <w:p w14:paraId="23460F12">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1063" w:type="pct"/>
            <w:shd w:val="clear" w:color="auto" w:fill="auto"/>
            <w:vAlign w:val="center"/>
          </w:tcPr>
          <w:p w14:paraId="551ACB77">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6369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2" w:type="pct"/>
            <w:vMerge w:val="continue"/>
            <w:shd w:val="clear" w:color="auto" w:fill="auto"/>
            <w:vAlign w:val="center"/>
          </w:tcPr>
          <w:p w14:paraId="26AE92B7">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continue"/>
            <w:shd w:val="clear" w:color="auto" w:fill="auto"/>
            <w:vAlign w:val="center"/>
          </w:tcPr>
          <w:p w14:paraId="2E49AF97">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7" w:type="pct"/>
            <w:shd w:val="clear" w:color="auto" w:fill="auto"/>
            <w:vAlign w:val="center"/>
          </w:tcPr>
          <w:p w14:paraId="29CFC14D">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垃圾收集点</w:t>
            </w:r>
          </w:p>
        </w:tc>
        <w:tc>
          <w:tcPr>
            <w:tcW w:w="332" w:type="pct"/>
            <w:shd w:val="clear" w:color="auto" w:fill="auto"/>
            <w:vAlign w:val="center"/>
          </w:tcPr>
          <w:p w14:paraId="7E2D8DDE">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4" w:type="pct"/>
            <w:shd w:val="clear" w:color="auto" w:fill="auto"/>
            <w:vAlign w:val="center"/>
          </w:tcPr>
          <w:p w14:paraId="0C8C290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393D42AA">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3" w:type="pct"/>
            <w:shd w:val="clear" w:color="auto" w:fill="auto"/>
            <w:vAlign w:val="center"/>
          </w:tcPr>
          <w:p w14:paraId="479017C5">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7EF7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2" w:type="pct"/>
            <w:vMerge w:val="continue"/>
            <w:shd w:val="clear" w:color="auto" w:fill="auto"/>
            <w:vAlign w:val="center"/>
          </w:tcPr>
          <w:p w14:paraId="7073F184">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continue"/>
            <w:shd w:val="clear" w:color="auto" w:fill="auto"/>
            <w:vAlign w:val="center"/>
          </w:tcPr>
          <w:p w14:paraId="1518B50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7" w:type="pct"/>
            <w:shd w:val="clear" w:color="auto" w:fill="auto"/>
            <w:vAlign w:val="center"/>
          </w:tcPr>
          <w:p w14:paraId="058244E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公厕</w:t>
            </w:r>
          </w:p>
        </w:tc>
        <w:tc>
          <w:tcPr>
            <w:tcW w:w="332" w:type="pct"/>
            <w:shd w:val="clear" w:color="auto" w:fill="auto"/>
            <w:vAlign w:val="center"/>
          </w:tcPr>
          <w:p w14:paraId="3FAE40A7">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4" w:type="pct"/>
            <w:shd w:val="clear" w:color="auto" w:fill="auto"/>
            <w:vAlign w:val="center"/>
          </w:tcPr>
          <w:p w14:paraId="51B380F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1BE283A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3" w:type="pct"/>
            <w:shd w:val="clear" w:color="auto" w:fill="auto"/>
            <w:vAlign w:val="center"/>
          </w:tcPr>
          <w:p w14:paraId="61C7B1D4">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6F8E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2" w:type="pct"/>
            <w:vMerge w:val="continue"/>
            <w:shd w:val="clear" w:color="auto" w:fill="auto"/>
            <w:vAlign w:val="center"/>
          </w:tcPr>
          <w:p w14:paraId="5EC0D21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restart"/>
            <w:shd w:val="clear" w:color="auto" w:fill="auto"/>
            <w:vAlign w:val="center"/>
          </w:tcPr>
          <w:p w14:paraId="5DD3393C">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水工设施用地</w:t>
            </w:r>
          </w:p>
        </w:tc>
        <w:tc>
          <w:tcPr>
            <w:tcW w:w="1567" w:type="pct"/>
            <w:shd w:val="clear" w:color="auto" w:fill="auto"/>
            <w:vAlign w:val="center"/>
          </w:tcPr>
          <w:p w14:paraId="5CF42E9B">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村级水闸</w:t>
            </w:r>
          </w:p>
        </w:tc>
        <w:tc>
          <w:tcPr>
            <w:tcW w:w="332" w:type="pct"/>
            <w:shd w:val="clear" w:color="auto" w:fill="auto"/>
            <w:vAlign w:val="center"/>
          </w:tcPr>
          <w:p w14:paraId="07D3EF1B">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4" w:type="pct"/>
            <w:shd w:val="clear" w:color="auto" w:fill="auto"/>
            <w:vAlign w:val="center"/>
          </w:tcPr>
          <w:p w14:paraId="73362BE4">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0500F79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3" w:type="pct"/>
            <w:shd w:val="clear" w:color="auto" w:fill="auto"/>
            <w:vAlign w:val="center"/>
          </w:tcPr>
          <w:p w14:paraId="185C3A2D">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056E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2" w:type="pct"/>
            <w:vMerge w:val="continue"/>
            <w:shd w:val="clear" w:color="auto" w:fill="auto"/>
            <w:vAlign w:val="center"/>
          </w:tcPr>
          <w:p w14:paraId="1D0B5B7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continue"/>
            <w:shd w:val="clear" w:color="auto" w:fill="auto"/>
            <w:vAlign w:val="center"/>
          </w:tcPr>
          <w:p w14:paraId="2348B206">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7" w:type="pct"/>
            <w:shd w:val="clear" w:color="auto" w:fill="auto"/>
            <w:vAlign w:val="center"/>
          </w:tcPr>
          <w:p w14:paraId="4B15943D">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水电机房</w:t>
            </w:r>
          </w:p>
        </w:tc>
        <w:tc>
          <w:tcPr>
            <w:tcW w:w="332" w:type="pct"/>
            <w:shd w:val="clear" w:color="auto" w:fill="auto"/>
            <w:vAlign w:val="center"/>
          </w:tcPr>
          <w:p w14:paraId="11501A8E">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4" w:type="pct"/>
            <w:shd w:val="clear" w:color="auto" w:fill="auto"/>
            <w:vAlign w:val="center"/>
          </w:tcPr>
          <w:p w14:paraId="1A313D77">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73120025">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3" w:type="pct"/>
            <w:shd w:val="clear" w:color="auto" w:fill="auto"/>
            <w:vAlign w:val="center"/>
          </w:tcPr>
          <w:p w14:paraId="128D4CB5">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39E9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2" w:type="pct"/>
            <w:shd w:val="clear" w:color="auto" w:fill="auto"/>
            <w:vAlign w:val="center"/>
          </w:tcPr>
          <w:p w14:paraId="6D7B37C8">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绿地与开敞空间用地</w:t>
            </w:r>
          </w:p>
          <w:p w14:paraId="0E6C1B0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（14地类）</w:t>
            </w:r>
          </w:p>
        </w:tc>
        <w:tc>
          <w:tcPr>
            <w:tcW w:w="765" w:type="pct"/>
            <w:shd w:val="clear" w:color="auto" w:fill="auto"/>
            <w:vAlign w:val="center"/>
          </w:tcPr>
          <w:p w14:paraId="7D299CF5">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公园绿地</w:t>
            </w:r>
          </w:p>
        </w:tc>
        <w:tc>
          <w:tcPr>
            <w:tcW w:w="1567" w:type="pct"/>
            <w:shd w:val="clear" w:color="auto" w:fill="auto"/>
            <w:vAlign w:val="center"/>
          </w:tcPr>
          <w:p w14:paraId="4842F0E7">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小型农村公园</w:t>
            </w:r>
          </w:p>
        </w:tc>
        <w:tc>
          <w:tcPr>
            <w:tcW w:w="332" w:type="pct"/>
            <w:shd w:val="clear" w:color="auto" w:fill="auto"/>
            <w:vAlign w:val="center"/>
          </w:tcPr>
          <w:p w14:paraId="12674559">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4" w:type="pct"/>
            <w:shd w:val="clear" w:color="auto" w:fill="auto"/>
            <w:vAlign w:val="center"/>
          </w:tcPr>
          <w:p w14:paraId="3BD3CDF9">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0DAAC655">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3" w:type="pct"/>
            <w:shd w:val="clear" w:color="auto" w:fill="auto"/>
            <w:vAlign w:val="center"/>
          </w:tcPr>
          <w:p w14:paraId="0AF39162">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049E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527" w:type="pct"/>
            <w:gridSpan w:val="2"/>
            <w:shd w:val="clear" w:color="auto" w:fill="auto"/>
            <w:vAlign w:val="center"/>
          </w:tcPr>
          <w:p w14:paraId="20C5894C">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殡葬用地（1506地类）</w:t>
            </w:r>
          </w:p>
        </w:tc>
        <w:tc>
          <w:tcPr>
            <w:tcW w:w="1567" w:type="pct"/>
            <w:shd w:val="clear" w:color="auto" w:fill="auto"/>
            <w:vAlign w:val="center"/>
          </w:tcPr>
          <w:p w14:paraId="2BAC93A0">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乡村公益性公墓、树葬点、骨灰存放堂</w:t>
            </w:r>
          </w:p>
        </w:tc>
        <w:tc>
          <w:tcPr>
            <w:tcW w:w="332" w:type="pct"/>
            <w:shd w:val="clear" w:color="auto" w:fill="auto"/>
            <w:vAlign w:val="center"/>
          </w:tcPr>
          <w:p w14:paraId="517558E1">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74" w:type="pct"/>
            <w:shd w:val="clear" w:color="auto" w:fill="auto"/>
            <w:vAlign w:val="center"/>
          </w:tcPr>
          <w:p w14:paraId="705C3444">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33" w:type="pct"/>
            <w:shd w:val="clear" w:color="auto" w:fill="auto"/>
            <w:vAlign w:val="center"/>
          </w:tcPr>
          <w:p w14:paraId="1D5F681E">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1063" w:type="pct"/>
            <w:shd w:val="clear" w:color="auto" w:fill="auto"/>
            <w:vAlign w:val="center"/>
          </w:tcPr>
          <w:p w14:paraId="13B61BE3">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r>
    </w:tbl>
    <w:p w14:paraId="15AEF532">
      <w:pPr>
        <w:pStyle w:val="13"/>
        <w:keepNext w:val="0"/>
        <w:keepLines w:val="0"/>
        <w:pageBreakBefore w:val="0"/>
        <w:widowControl w:val="0"/>
        <w:shd w:val="clear" w:fill="auto"/>
        <w:kinsoku/>
        <w:wordWrap/>
        <w:overflowPunct/>
        <w:topLinePunct w:val="0"/>
        <w:autoSpaceDE w:val="0"/>
        <w:autoSpaceDN w:val="0"/>
        <w:bidi w:val="0"/>
        <w:adjustRightInd/>
        <w:snapToGrid/>
        <w:spacing w:before="0" w:beforeLines="0" w:line="592" w:lineRule="exact"/>
        <w:ind w:left="0" w:leftChars="0" w:right="110" w:firstLine="596" w:firstLineChars="213"/>
        <w:textAlignment w:val="auto"/>
        <w:rPr>
          <w:rFonts w:hint="eastAsia" w:eastAsia="仿宋_GB2312"/>
          <w:color w:val="000000" w:themeColor="text1"/>
          <w:sz w:val="28"/>
          <w:szCs w:val="28"/>
          <w:highlight w:val="none"/>
          <w:lang w:eastAsia="zh-CN"/>
          <w14:textFill>
            <w14:solidFill>
              <w14:schemeClr w14:val="tx1"/>
            </w14:solidFill>
          </w14:textFill>
        </w:rPr>
      </w:pPr>
      <w:r>
        <w:rPr>
          <w:rFonts w:hint="eastAsia" w:eastAsia="仿宋_GB2312"/>
          <w:color w:val="000000" w:themeColor="text1"/>
          <w:sz w:val="28"/>
          <w:szCs w:val="28"/>
          <w:highlight w:val="none"/>
          <w:lang w:eastAsia="zh-CN"/>
          <w14:textFill>
            <w14:solidFill>
              <w14:schemeClr w14:val="tx1"/>
            </w14:solidFill>
          </w14:textFill>
        </w:rPr>
        <w:t>注：√：直接以“通则”为规划依据；+：在“通则”基础上需补充编制重点地块图则为规划依据；×：“通则”不适用仅允许规划落实方案或详细规划作为规划依据。</w:t>
      </w:r>
    </w:p>
    <w:p w14:paraId="38A14A78">
      <w:pPr>
        <w:rPr>
          <w:color w:val="000000" w:themeColor="text1"/>
          <w:highlight w:val="none"/>
          <w14:textFill>
            <w14:solidFill>
              <w14:schemeClr w14:val="tx1"/>
            </w14:solidFill>
          </w14:textFill>
        </w:rPr>
      </w:pPr>
    </w:p>
    <w:p w14:paraId="1E800261">
      <w:pPr>
        <w:pStyle w:val="13"/>
        <w:keepNext w:val="0"/>
        <w:keepLines w:val="0"/>
        <w:pageBreakBefore w:val="0"/>
        <w:widowControl w:val="0"/>
        <w:kinsoku/>
        <w:wordWrap/>
        <w:overflowPunct/>
        <w:topLinePunct w:val="0"/>
        <w:autoSpaceDE w:val="0"/>
        <w:autoSpaceDN w:val="0"/>
        <w:bidi w:val="0"/>
        <w:adjustRightInd/>
        <w:snapToGrid w:val="0"/>
        <w:spacing w:before="0" w:beforeLines="0" w:line="360" w:lineRule="auto"/>
        <w:ind w:left="0" w:leftChars="0" w:right="0" w:rightChars="0" w:firstLine="0" w:firstLineChars="0"/>
        <w:jc w:val="center"/>
        <w:textAlignment w:val="auto"/>
        <w:outlineLvl w:val="1"/>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pPr>
      <w:bookmarkStart w:id="145" w:name="_Toc9839"/>
      <w:bookmarkStart w:id="146" w:name="_Toc20352"/>
      <w:r>
        <w:rPr>
          <w:rFonts w:hint="eastAsia" w:ascii="黑体" w:hAnsi="黑体" w:eastAsia="黑体" w:cstheme="majorBidi"/>
          <w:bCs/>
          <w:color w:val="000000" w:themeColor="text1"/>
          <w:sz w:val="32"/>
          <w:szCs w:val="32"/>
          <w:highlight w:val="none"/>
          <w:lang w:val="en-US" w:eastAsia="zh-CN" w:bidi="zh-TW"/>
          <w14:textFill>
            <w14:solidFill>
              <w14:schemeClr w14:val="tx1"/>
            </w14:solidFill>
          </w14:textFill>
        </w:rPr>
        <w:t>第十一节  附则</w:t>
      </w:r>
      <w:bookmarkEnd w:id="145"/>
      <w:bookmarkEnd w:id="146"/>
    </w:p>
    <w:p w14:paraId="16350AFE">
      <w:pPr>
        <w:pStyle w:val="13"/>
        <w:keepNext w:val="0"/>
        <w:keepLines w:val="0"/>
        <w:pageBreakBefore w:val="0"/>
        <w:widowControl w:val="0"/>
        <w:kinsoku/>
        <w:wordWrap/>
        <w:overflowPunct/>
        <w:topLinePunct w:val="0"/>
        <w:autoSpaceDE w:val="0"/>
        <w:autoSpaceDN w:val="0"/>
        <w:bidi w:val="0"/>
        <w:adjustRightInd/>
        <w:snapToGrid/>
        <w:spacing w:before="0" w:beforeLines="0" w:line="592" w:lineRule="exact"/>
        <w:ind w:left="0" w:leftChars="0" w:right="110" w:firstLine="681" w:firstLineChars="213"/>
        <w:textAlignment w:val="auto"/>
        <w:rPr>
          <w:rFonts w:hint="eastAsia" w:eastAsia="仿宋_GB2312"/>
          <w:color w:val="000000" w:themeColor="text1"/>
          <w:highlight w:val="none"/>
          <w:lang w:eastAsia="zh-CN"/>
          <w14:textFill>
            <w14:solidFill>
              <w14:schemeClr w14:val="tx1"/>
            </w14:solidFill>
          </w14:textFill>
        </w:rPr>
      </w:pPr>
      <w:r>
        <w:rPr>
          <w:rFonts w:hint="eastAsia" w:eastAsia="仿宋_GB2312"/>
          <w:color w:val="000000" w:themeColor="text1"/>
          <w:highlight w:val="none"/>
          <w:lang w:eastAsia="zh-CN"/>
          <w14:textFill>
            <w14:solidFill>
              <w14:schemeClr w14:val="tx1"/>
            </w14:solidFill>
          </w14:textFill>
        </w:rPr>
        <w:t>“通则”批准后，根据实施情况适时开展评估调整，因乡村地区开发保护利用需要，以及县人民政府确定的其他情形确需修改“通则”的，应当由组织编制机关征求利害关系人意见，并按原审批程序组织修改、报批。“通则”修改原则上不能突破县级、乡镇级国土空间总体规划确定的强制性内容、约束性指标，确需调整的，必须按照法定程序先修改相应层级的国土空间总体规划。 </w:t>
      </w:r>
    </w:p>
    <w:p w14:paraId="0748AE90">
      <w:pPr>
        <w:pStyle w:val="13"/>
        <w:keepNext w:val="0"/>
        <w:keepLines w:val="0"/>
        <w:pageBreakBefore w:val="0"/>
        <w:widowControl w:val="0"/>
        <w:kinsoku/>
        <w:wordWrap/>
        <w:overflowPunct/>
        <w:topLinePunct w:val="0"/>
        <w:autoSpaceDE w:val="0"/>
        <w:autoSpaceDN w:val="0"/>
        <w:bidi w:val="0"/>
        <w:adjustRightInd/>
        <w:snapToGrid/>
        <w:spacing w:before="0" w:beforeLines="0" w:line="592" w:lineRule="exact"/>
        <w:ind w:left="0" w:leftChars="0" w:right="110" w:firstLine="681" w:firstLineChars="213"/>
        <w:textAlignment w:val="auto"/>
        <w:rPr>
          <w:rFonts w:hint="eastAsia" w:ascii="Times New Roman" w:hAnsi="Times New Roman" w:eastAsia="仿宋_GB2312" w:cs="Times New Roman"/>
          <w:color w:val="000000" w:themeColor="text1"/>
          <w:highlight w:val="none"/>
          <w:lang w:val="en-US" w:eastAsia="zh-CN"/>
          <w14:textFill>
            <w14:solidFill>
              <w14:schemeClr w14:val="tx1"/>
            </w14:solidFill>
          </w14:textFill>
        </w:rPr>
        <w:sectPr>
          <w:pgSz w:w="11910" w:h="16850"/>
          <w:pgMar w:top="1360" w:right="1380" w:bottom="1640" w:left="1580" w:header="645" w:footer="1443" w:gutter="0"/>
          <w:cols w:space="720" w:num="1"/>
        </w:sectPr>
      </w:pPr>
      <w:r>
        <w:rPr>
          <w:rFonts w:hint="eastAsia" w:eastAsia="仿宋_GB2312"/>
          <w:color w:val="000000" w:themeColor="text1"/>
          <w:highlight w:val="none"/>
          <w:lang w:eastAsia="zh-CN"/>
          <w14:textFill>
            <w14:solidFill>
              <w14:schemeClr w14:val="tx1"/>
            </w14:solidFill>
          </w14:textFill>
        </w:rPr>
        <w:t>“通则”实施后新编制详细规划（村庄规划）的区域，应做好与“通则”实施情况的衔接工作。“通则”中涉及的重要管控线、用途分区、村庄建设用地总规模、村庄建设用地边界等数据以经批准后的乡镇级国土空间总体规划为准。“通则”应符合法律法规、相关政策、技术标准和上位规划的要求，国家、省、市另有规定的，从其规定</w:t>
      </w:r>
    </w:p>
    <w:p w14:paraId="61365CD5">
      <w:pPr>
        <w:rPr>
          <w:rFonts w:hint="eastAsia" w:eastAsia="仿宋_GB2312"/>
          <w:color w:val="000000" w:themeColor="text1"/>
          <w:highlight w:val="none"/>
          <w14:textFill>
            <w14:solidFill>
              <w14:schemeClr w14:val="tx1"/>
            </w14:solidFill>
          </w14:textFill>
        </w:rPr>
      </w:pPr>
    </w:p>
    <w:sectPr>
      <w:footerReference r:id="rId7" w:type="default"/>
      <w:pgSz w:w="11910" w:h="16850"/>
      <w:pgMar w:top="1360" w:right="1380" w:bottom="1640" w:left="1560" w:header="645" w:footer="144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303CE3F-DD96-49DC-AAE7-1A566ED6680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3102B531-8B02-42E2-A5F6-A397ACE11001}"/>
  </w:font>
  <w:font w:name="仿宋">
    <w:panose1 w:val="02010609060101010101"/>
    <w:charset w:val="86"/>
    <w:family w:val="modern"/>
    <w:pitch w:val="default"/>
    <w:sig w:usb0="800002BF" w:usb1="38CF7CFA" w:usb2="00000016" w:usb3="00000000" w:csb0="00040001" w:csb1="00000000"/>
    <w:embedRegular r:id="rId3" w:fontKey="{8B2B2BDE-9887-4D17-9189-176019872D03}"/>
  </w:font>
  <w:font w:name="华光小标宋_CNKI">
    <w:panose1 w:val="02000500000000000000"/>
    <w:charset w:val="86"/>
    <w:family w:val="auto"/>
    <w:pitch w:val="default"/>
    <w:sig w:usb0="A00002BF" w:usb1="38CF7CFA" w:usb2="00000016" w:usb3="00000000" w:csb0="0004000F" w:csb1="00000000"/>
    <w:embedRegular r:id="rId4" w:fontKey="{22643827-7224-4EF3-88ED-26399DD8D0DD}"/>
  </w:font>
  <w:font w:name="Cambria">
    <w:panose1 w:val="02040503050406030204"/>
    <w:charset w:val="00"/>
    <w:family w:val="roman"/>
    <w:pitch w:val="default"/>
    <w:sig w:usb0="E00002FF" w:usb1="400004FF" w:usb2="00000000" w:usb3="00000000" w:csb0="2000019F" w:csb1="00000000"/>
  </w:font>
  <w:font w:name="华光大标宋_CNKI">
    <w:altName w:val="宋体"/>
    <w:panose1 w:val="02000500000000000000"/>
    <w:charset w:val="86"/>
    <w:family w:val="auto"/>
    <w:pitch w:val="default"/>
    <w:sig w:usb0="00000000" w:usb1="00000000" w:usb2="00000016" w:usb3="00000000" w:csb0="0004000F" w:csb1="00000000"/>
  </w:font>
  <w:font w:name="方正小标宋_GBK">
    <w:panose1 w:val="03000509000000000000"/>
    <w:charset w:val="86"/>
    <w:family w:val="auto"/>
    <w:pitch w:val="default"/>
    <w:sig w:usb0="00000001" w:usb1="080E0000" w:usb2="00000000" w:usb3="00000000" w:csb0="00040000" w:csb1="00000000"/>
    <w:embedRegular r:id="rId5" w:fontKey="{B628C95D-E916-43DC-8B3E-E84D631E1BB0}"/>
  </w:font>
  <w:font w:name="仿宋_GB2312">
    <w:panose1 w:val="02010609030101010101"/>
    <w:charset w:val="86"/>
    <w:family w:val="modern"/>
    <w:pitch w:val="default"/>
    <w:sig w:usb0="00000001" w:usb1="080E0000" w:usb2="00000000" w:usb3="00000000" w:csb0="00040000" w:csb1="00000000"/>
    <w:embedRegular r:id="rId6" w:fontKey="{23BE09DC-47E6-4C4C-B466-250C4C4CE9DC}"/>
  </w:font>
  <w:font w:name="方正仿宋_GB2312">
    <w:altName w:val="仿宋"/>
    <w:panose1 w:val="02000000000000000000"/>
    <w:charset w:val="86"/>
    <w:family w:val="auto"/>
    <w:pitch w:val="default"/>
    <w:sig w:usb0="00000000" w:usb1="00000000" w:usb2="00000012"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embedRegular r:id="rId7" w:fontKey="{028532A9-5284-402C-B6C5-1EEDA8C808B9}"/>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embedRegular r:id="rId8" w:fontKey="{920328A8-5D2E-452F-AD0C-0231E67E8A50}"/>
  </w:font>
  <w:font w:name="Microsoft JhengHei UI">
    <w:panose1 w:val="020B0604030504040204"/>
    <w:charset w:val="88"/>
    <w:family w:val="auto"/>
    <w:pitch w:val="default"/>
    <w:sig w:usb0="000002A7" w:usb1="28CF4400" w:usb2="00000016" w:usb3="00000000" w:csb0="00100009" w:csb1="00000000"/>
  </w:font>
  <w:font w:name="WPSEMBED1">
    <w:panose1 w:val="02000500000000000000"/>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3612232"/>
      <w:docPartObj>
        <w:docPartGallery w:val="autotext"/>
      </w:docPartObj>
    </w:sdtPr>
    <w:sdtContent>
      <w:p w14:paraId="13D4B9A5">
        <w:pPr>
          <w:pStyle w:val="17"/>
          <w:jc w:val="right"/>
          <w:rPr>
            <w:rFonts w:hint="eastAsia"/>
          </w:rPr>
        </w:pPr>
      </w:p>
    </w:sdtContent>
  </w:sdt>
  <w:p w14:paraId="62E2B8D2">
    <w:pPr>
      <w:pStyle w:val="13"/>
      <w:spacing w:before="120" w:line="14" w:lineRule="auto"/>
      <w:ind w:left="110" w:right="110" w:firstLine="400"/>
      <w:rPr>
        <w:rFonts w:hint="eastAsia"/>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7281749"/>
      <w:docPartObj>
        <w:docPartGallery w:val="autotext"/>
      </w:docPartObj>
    </w:sdtPr>
    <w:sdtContent>
      <w:p w14:paraId="779D0B16">
        <w:pPr>
          <w:pStyle w:val="17"/>
          <w:jc w:val="right"/>
          <w:rPr>
            <w:rFonts w:hint="eastAsia"/>
          </w:rPr>
        </w:pPr>
        <w:r>
          <w:fldChar w:fldCharType="begin"/>
        </w:r>
        <w:r>
          <w:instrText xml:space="preserve">PAGE   \* MERGEFORMAT</w:instrText>
        </w:r>
        <w:r>
          <w:fldChar w:fldCharType="separate"/>
        </w:r>
        <w:r>
          <w:rPr>
            <w:lang w:val="zh-CN" w:eastAsia="zh-CN"/>
          </w:rPr>
          <w:t>18</w:t>
        </w:r>
        <w:r>
          <w:fldChar w:fldCharType="end"/>
        </w:r>
      </w:p>
    </w:sdtContent>
  </w:sdt>
  <w:p w14:paraId="5EBF42E0">
    <w:pPr>
      <w:pStyle w:val="13"/>
      <w:spacing w:before="120" w:line="14" w:lineRule="auto"/>
      <w:ind w:left="110" w:right="110" w:firstLine="400"/>
      <w:rPr>
        <w:rFonts w:hint="eastAsia"/>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3830295"/>
      <w:docPartObj>
        <w:docPartGallery w:val="autotext"/>
      </w:docPartObj>
    </w:sdtPr>
    <w:sdtContent>
      <w:p w14:paraId="38509745">
        <w:pPr>
          <w:pStyle w:val="17"/>
          <w:jc w:val="right"/>
          <w:rPr>
            <w:rFonts w:hint="eastAsia"/>
          </w:rPr>
        </w:pPr>
        <w:r>
          <w:fldChar w:fldCharType="begin"/>
        </w:r>
        <w:r>
          <w:instrText xml:space="preserve">PAGE   \* MERGEFORMAT</w:instrText>
        </w:r>
        <w:r>
          <w:fldChar w:fldCharType="separate"/>
        </w:r>
        <w:r>
          <w:rPr>
            <w:lang w:val="zh-CN" w:eastAsia="zh-CN"/>
          </w:rPr>
          <w:t>72</w:t>
        </w:r>
        <w:r>
          <w:fldChar w:fldCharType="end"/>
        </w:r>
      </w:p>
    </w:sdtContent>
  </w:sdt>
  <w:p w14:paraId="06C7FD13">
    <w:pPr>
      <w:pStyle w:val="13"/>
      <w:spacing w:before="120" w:line="14" w:lineRule="auto"/>
      <w:ind w:left="110" w:right="110" w:firstLine="400"/>
      <w:rPr>
        <w:rFonts w:hint="eastAsia"/>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247AD">
    <w:pPr>
      <w:pStyle w:val="13"/>
      <w:spacing w:before="120" w:line="14" w:lineRule="auto"/>
      <w:ind w:left="110" w:right="110" w:firstLine="640"/>
      <w:rPr>
        <w:rFonts w:hint="eastAsia" w:eastAsia="仿宋_GB2312"/>
        <w:sz w:val="20"/>
      </w:rPr>
    </w:pPr>
    <w:r>
      <w:rPr>
        <w:lang w:val="en-US" w:eastAsia="zh-CN" w:bidi="ar-SA"/>
      </w:rPr>
      <mc:AlternateContent>
        <mc:Choice Requires="wps">
          <w:drawing>
            <wp:anchor distT="0" distB="0" distL="114300" distR="114300" simplePos="0" relativeHeight="251660288" behindDoc="1" locked="0" layoutInCell="1" allowOverlap="1">
              <wp:simplePos x="0" y="0"/>
              <wp:positionH relativeFrom="page">
                <wp:posOffset>3782695</wp:posOffset>
              </wp:positionH>
              <wp:positionV relativeFrom="page">
                <wp:posOffset>9638030</wp:posOffset>
              </wp:positionV>
              <wp:extent cx="213360" cy="139700"/>
              <wp:effectExtent l="1270" t="0" r="4445" b="4445"/>
              <wp:wrapNone/>
              <wp:docPr id="7" name="Text Box 1"/>
              <wp:cNvGraphicFramePr/>
              <a:graphic xmlns:a="http://schemas.openxmlformats.org/drawingml/2006/main">
                <a:graphicData uri="http://schemas.microsoft.com/office/word/2010/wordprocessingShape">
                  <wps:wsp>
                    <wps:cNvSpPr txBox="1">
                      <a:spLocks noChangeArrowheads="1"/>
                    </wps:cNvSpPr>
                    <wps:spPr bwMode="auto">
                      <a:xfrm>
                        <a:off x="0" y="0"/>
                        <a:ext cx="213360" cy="139700"/>
                      </a:xfrm>
                      <a:prstGeom prst="rect">
                        <a:avLst/>
                      </a:prstGeom>
                      <a:noFill/>
                      <a:ln>
                        <a:noFill/>
                      </a:ln>
                    </wps:spPr>
                    <wps:txbx>
                      <w:txbxContent>
                        <w:p w14:paraId="387EA112">
                          <w:pPr>
                            <w:spacing w:line="220" w:lineRule="exact"/>
                            <w:ind w:left="40"/>
                            <w:rPr>
                              <w:rFonts w:hint="eastAsia" w:eastAsia="仿宋_GB2312"/>
                              <w:sz w:val="18"/>
                            </w:rPr>
                          </w:pPr>
                          <w:r>
                            <w:rPr>
                              <w:rFonts w:eastAsia="仿宋_GB2312"/>
                            </w:rPr>
                            <w:fldChar w:fldCharType="begin"/>
                          </w:r>
                          <w:r>
                            <w:rPr>
                              <w:rFonts w:eastAsia="仿宋_GB2312"/>
                              <w:sz w:val="18"/>
                            </w:rPr>
                            <w:instrText xml:space="preserve"> PAGE </w:instrText>
                          </w:r>
                          <w:r>
                            <w:rPr>
                              <w:rFonts w:eastAsia="仿宋_GB2312"/>
                            </w:rPr>
                            <w:fldChar w:fldCharType="separate"/>
                          </w:r>
                          <w:r>
                            <w:rPr>
                              <w:rFonts w:eastAsia="仿宋_GB2312"/>
                              <w:sz w:val="18"/>
                            </w:rPr>
                            <w:t>81</w:t>
                          </w:r>
                          <w:r>
                            <w:rPr>
                              <w:rFonts w:eastAsia="仿宋_GB2312"/>
                            </w:rP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97.85pt;margin-top:758.9pt;height:11pt;width:16.8pt;mso-position-horizontal-relative:page;mso-position-vertical-relative:page;z-index:-251656192;mso-width-relative:page;mso-height-relative:page;" filled="f" stroked="f" coordsize="21600,21600" o:gfxdata="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Hp7rbAAAADQEAAA8AAAAAAAAAAQAgAAAAIgAAAGRycy9kb3du&#10;cmV2LnhtbFBLAQIUABQAAAAIAIdO4kBybNet/AEAAAMEAAAOAAAAAAAAAAEAIAAAACoBAABkcnMv&#10;ZTJvRG9jLnhtbFBLBQYAAAAABgAGAFkBAACYBQAAAAA=&#10;">
              <v:fill on="f" focussize="0,0"/>
              <v:stroke on="f"/>
              <v:imagedata o:title=""/>
              <o:lock v:ext="edit" aspectratio="f"/>
              <v:textbox inset="0mm,0mm,0mm,0mm">
                <w:txbxContent>
                  <w:p w14:paraId="387EA112">
                    <w:pPr>
                      <w:spacing w:line="220" w:lineRule="exact"/>
                      <w:ind w:left="40"/>
                      <w:rPr>
                        <w:rFonts w:hint="eastAsia" w:eastAsia="仿宋_GB2312"/>
                        <w:sz w:val="18"/>
                      </w:rPr>
                    </w:pPr>
                    <w:r>
                      <w:rPr>
                        <w:rFonts w:eastAsia="仿宋_GB2312"/>
                      </w:rPr>
                      <w:fldChar w:fldCharType="begin"/>
                    </w:r>
                    <w:r>
                      <w:rPr>
                        <w:rFonts w:eastAsia="仿宋_GB2312"/>
                        <w:sz w:val="18"/>
                      </w:rPr>
                      <w:instrText xml:space="preserve"> PAGE </w:instrText>
                    </w:r>
                    <w:r>
                      <w:rPr>
                        <w:rFonts w:eastAsia="仿宋_GB2312"/>
                      </w:rPr>
                      <w:fldChar w:fldCharType="separate"/>
                    </w:r>
                    <w:r>
                      <w:rPr>
                        <w:rFonts w:eastAsia="仿宋_GB2312"/>
                        <w:sz w:val="18"/>
                      </w:rPr>
                      <w:t>81</w:t>
                    </w:r>
                    <w:r>
                      <w:rPr>
                        <w:rFonts w:eastAsia="仿宋_GB231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EB854">
    <w:pPr>
      <w:rPr>
        <w:rFonts w:hint="eastAsia" w:eastAsia="PMingLi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AE1258"/>
    <w:multiLevelType w:val="multilevel"/>
    <w:tmpl w:val="1BAE1258"/>
    <w:lvl w:ilvl="0" w:tentative="0">
      <w:start w:val="1"/>
      <w:numFmt w:val="chineseCountingThousand"/>
      <w:lvlText w:val="第%1节"/>
      <w:lvlJc w:val="left"/>
      <w:pPr>
        <w:ind w:left="3256" w:hanging="420"/>
      </w:pPr>
      <w:rPr>
        <w:rFonts w:hint="eastAsia" w:ascii="黑体" w:eastAsia="黑体" w:hAnsiTheme="minorEastAsia"/>
      </w:rPr>
    </w:lvl>
    <w:lvl w:ilvl="1" w:tentative="0">
      <w:start w:val="1"/>
      <w:numFmt w:val="lowerLetter"/>
      <w:lvlText w:val="%2)"/>
      <w:lvlJc w:val="left"/>
      <w:pPr>
        <w:ind w:left="3818" w:hanging="420"/>
      </w:pPr>
    </w:lvl>
    <w:lvl w:ilvl="2" w:tentative="0">
      <w:start w:val="1"/>
      <w:numFmt w:val="lowerRoman"/>
      <w:lvlText w:val="%3."/>
      <w:lvlJc w:val="right"/>
      <w:pPr>
        <w:ind w:left="4238" w:hanging="420"/>
      </w:pPr>
    </w:lvl>
    <w:lvl w:ilvl="3" w:tentative="0">
      <w:start w:val="1"/>
      <w:numFmt w:val="decimal"/>
      <w:lvlText w:val="%4."/>
      <w:lvlJc w:val="left"/>
      <w:pPr>
        <w:ind w:left="4658" w:hanging="420"/>
      </w:pPr>
    </w:lvl>
    <w:lvl w:ilvl="4" w:tentative="0">
      <w:start w:val="1"/>
      <w:numFmt w:val="lowerLetter"/>
      <w:lvlText w:val="%5)"/>
      <w:lvlJc w:val="left"/>
      <w:pPr>
        <w:ind w:left="5078" w:hanging="420"/>
      </w:pPr>
    </w:lvl>
    <w:lvl w:ilvl="5" w:tentative="0">
      <w:start w:val="1"/>
      <w:numFmt w:val="lowerRoman"/>
      <w:lvlText w:val="%6."/>
      <w:lvlJc w:val="right"/>
      <w:pPr>
        <w:ind w:left="5498" w:hanging="420"/>
      </w:pPr>
    </w:lvl>
    <w:lvl w:ilvl="6" w:tentative="0">
      <w:start w:val="1"/>
      <w:numFmt w:val="decimal"/>
      <w:lvlText w:val="%7."/>
      <w:lvlJc w:val="left"/>
      <w:pPr>
        <w:ind w:left="5918" w:hanging="420"/>
      </w:pPr>
    </w:lvl>
    <w:lvl w:ilvl="7" w:tentative="0">
      <w:start w:val="1"/>
      <w:numFmt w:val="lowerLetter"/>
      <w:lvlText w:val="%8)"/>
      <w:lvlJc w:val="left"/>
      <w:pPr>
        <w:ind w:left="6338" w:hanging="420"/>
      </w:pPr>
    </w:lvl>
    <w:lvl w:ilvl="8" w:tentative="0">
      <w:start w:val="1"/>
      <w:numFmt w:val="lowerRoman"/>
      <w:lvlText w:val="%9."/>
      <w:lvlJc w:val="right"/>
      <w:pPr>
        <w:ind w:left="6758" w:hanging="420"/>
      </w:pPr>
    </w:lvl>
  </w:abstractNum>
  <w:abstractNum w:abstractNumId="1">
    <w:nsid w:val="3A626F2B"/>
    <w:multiLevelType w:val="multilevel"/>
    <w:tmpl w:val="3A626F2B"/>
    <w:lvl w:ilvl="0" w:tentative="0">
      <w:start w:val="1"/>
      <w:numFmt w:val="chineseCountingThousand"/>
      <w:lvlText w:val="第%1节"/>
      <w:lvlJc w:val="left"/>
      <w:pPr>
        <w:ind w:left="3256" w:hanging="420"/>
      </w:pPr>
      <w:rPr>
        <w:rFonts w:hint="eastAsia" w:ascii="黑体" w:eastAsia="黑体" w:hAnsiTheme="minorEastAsia"/>
      </w:rPr>
    </w:lvl>
    <w:lvl w:ilvl="1" w:tentative="0">
      <w:start w:val="1"/>
      <w:numFmt w:val="lowerLetter"/>
      <w:lvlText w:val="%2)"/>
      <w:lvlJc w:val="left"/>
      <w:pPr>
        <w:ind w:left="3818" w:hanging="420"/>
      </w:pPr>
    </w:lvl>
    <w:lvl w:ilvl="2" w:tentative="0">
      <w:start w:val="1"/>
      <w:numFmt w:val="lowerRoman"/>
      <w:lvlText w:val="%3."/>
      <w:lvlJc w:val="right"/>
      <w:pPr>
        <w:ind w:left="4238" w:hanging="420"/>
      </w:pPr>
    </w:lvl>
    <w:lvl w:ilvl="3" w:tentative="0">
      <w:start w:val="1"/>
      <w:numFmt w:val="decimal"/>
      <w:lvlText w:val="%4."/>
      <w:lvlJc w:val="left"/>
      <w:pPr>
        <w:ind w:left="4658" w:hanging="420"/>
      </w:pPr>
    </w:lvl>
    <w:lvl w:ilvl="4" w:tentative="0">
      <w:start w:val="1"/>
      <w:numFmt w:val="lowerLetter"/>
      <w:lvlText w:val="%5)"/>
      <w:lvlJc w:val="left"/>
      <w:pPr>
        <w:ind w:left="5078" w:hanging="420"/>
      </w:pPr>
    </w:lvl>
    <w:lvl w:ilvl="5" w:tentative="0">
      <w:start w:val="1"/>
      <w:numFmt w:val="lowerRoman"/>
      <w:lvlText w:val="%6."/>
      <w:lvlJc w:val="right"/>
      <w:pPr>
        <w:ind w:left="5498" w:hanging="420"/>
      </w:pPr>
    </w:lvl>
    <w:lvl w:ilvl="6" w:tentative="0">
      <w:start w:val="1"/>
      <w:numFmt w:val="decimal"/>
      <w:lvlText w:val="%7."/>
      <w:lvlJc w:val="left"/>
      <w:pPr>
        <w:ind w:left="5918" w:hanging="420"/>
      </w:pPr>
    </w:lvl>
    <w:lvl w:ilvl="7" w:tentative="0">
      <w:start w:val="1"/>
      <w:numFmt w:val="lowerLetter"/>
      <w:lvlText w:val="%8)"/>
      <w:lvlJc w:val="left"/>
      <w:pPr>
        <w:ind w:left="6338" w:hanging="420"/>
      </w:pPr>
    </w:lvl>
    <w:lvl w:ilvl="8" w:tentative="0">
      <w:start w:val="1"/>
      <w:numFmt w:val="lowerRoman"/>
      <w:lvlText w:val="%9."/>
      <w:lvlJc w:val="right"/>
      <w:pPr>
        <w:ind w:left="6758" w:hanging="420"/>
      </w:pPr>
    </w:lvl>
  </w:abstractNum>
  <w:abstractNum w:abstractNumId="2">
    <w:nsid w:val="41473DAF"/>
    <w:multiLevelType w:val="multilevel"/>
    <w:tmpl w:val="41473DAF"/>
    <w:lvl w:ilvl="0" w:tentative="0">
      <w:start w:val="1"/>
      <w:numFmt w:val="chineseCountingThousand"/>
      <w:lvlText w:val="第%1节"/>
      <w:lvlJc w:val="left"/>
      <w:pPr>
        <w:ind w:left="3256" w:hanging="420"/>
      </w:pPr>
      <w:rPr>
        <w:rFonts w:hint="eastAsia" w:ascii="黑体" w:eastAsia="黑体" w:hAnsiTheme="minorEastAsia"/>
      </w:rPr>
    </w:lvl>
    <w:lvl w:ilvl="1" w:tentative="0">
      <w:start w:val="1"/>
      <w:numFmt w:val="lowerLetter"/>
      <w:lvlText w:val="%2)"/>
      <w:lvlJc w:val="left"/>
      <w:pPr>
        <w:ind w:left="3818" w:hanging="420"/>
      </w:pPr>
    </w:lvl>
    <w:lvl w:ilvl="2" w:tentative="0">
      <w:start w:val="1"/>
      <w:numFmt w:val="lowerRoman"/>
      <w:lvlText w:val="%3."/>
      <w:lvlJc w:val="right"/>
      <w:pPr>
        <w:ind w:left="4238" w:hanging="420"/>
      </w:pPr>
    </w:lvl>
    <w:lvl w:ilvl="3" w:tentative="0">
      <w:start w:val="1"/>
      <w:numFmt w:val="decimal"/>
      <w:lvlText w:val="%4."/>
      <w:lvlJc w:val="left"/>
      <w:pPr>
        <w:ind w:left="4658" w:hanging="420"/>
      </w:pPr>
    </w:lvl>
    <w:lvl w:ilvl="4" w:tentative="0">
      <w:start w:val="1"/>
      <w:numFmt w:val="lowerLetter"/>
      <w:lvlText w:val="%5)"/>
      <w:lvlJc w:val="left"/>
      <w:pPr>
        <w:ind w:left="5078" w:hanging="420"/>
      </w:pPr>
    </w:lvl>
    <w:lvl w:ilvl="5" w:tentative="0">
      <w:start w:val="1"/>
      <w:numFmt w:val="lowerRoman"/>
      <w:lvlText w:val="%6."/>
      <w:lvlJc w:val="right"/>
      <w:pPr>
        <w:ind w:left="5498" w:hanging="420"/>
      </w:pPr>
    </w:lvl>
    <w:lvl w:ilvl="6" w:tentative="0">
      <w:start w:val="1"/>
      <w:numFmt w:val="decimal"/>
      <w:lvlText w:val="%7."/>
      <w:lvlJc w:val="left"/>
      <w:pPr>
        <w:ind w:left="5918" w:hanging="420"/>
      </w:pPr>
    </w:lvl>
    <w:lvl w:ilvl="7" w:tentative="0">
      <w:start w:val="1"/>
      <w:numFmt w:val="lowerLetter"/>
      <w:lvlText w:val="%8)"/>
      <w:lvlJc w:val="left"/>
      <w:pPr>
        <w:ind w:left="6338" w:hanging="420"/>
      </w:pPr>
    </w:lvl>
    <w:lvl w:ilvl="8" w:tentative="0">
      <w:start w:val="1"/>
      <w:numFmt w:val="lowerRoman"/>
      <w:lvlText w:val="%9."/>
      <w:lvlJc w:val="right"/>
      <w:pPr>
        <w:ind w:left="6758" w:hanging="420"/>
      </w:pPr>
    </w:lvl>
  </w:abstractNum>
  <w:abstractNum w:abstractNumId="3">
    <w:nsid w:val="5BA764B1"/>
    <w:multiLevelType w:val="multilevel"/>
    <w:tmpl w:val="5BA764B1"/>
    <w:lvl w:ilvl="0" w:tentative="0">
      <w:start w:val="1"/>
      <w:numFmt w:val="decimal"/>
      <w:pStyle w:val="33"/>
      <w:lvlText w:val="第%1条 "/>
      <w:lvlJc w:val="left"/>
      <w:pPr>
        <w:ind w:left="2689" w:hanging="420"/>
      </w:pPr>
      <w:rPr>
        <w:rFonts w:hint="eastAsia" w:eastAsia="仿宋"/>
        <w:b/>
        <w:bCs/>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1128" w:hanging="420"/>
      </w:pPr>
      <w:rPr>
        <w:rFonts w:hint="eastAsia"/>
      </w:rPr>
    </w:lvl>
    <w:lvl w:ilvl="2" w:tentative="0">
      <w:start w:val="1"/>
      <w:numFmt w:val="lowerRoman"/>
      <w:lvlText w:val="%3."/>
      <w:lvlJc w:val="right"/>
      <w:pPr>
        <w:ind w:left="1548" w:hanging="420"/>
      </w:pPr>
      <w:rPr>
        <w:rFonts w:hint="eastAsia"/>
      </w:rPr>
    </w:lvl>
    <w:lvl w:ilvl="3" w:tentative="0">
      <w:start w:val="1"/>
      <w:numFmt w:val="decimal"/>
      <w:lvlText w:val="%4."/>
      <w:lvlJc w:val="left"/>
      <w:pPr>
        <w:ind w:left="1968" w:hanging="420"/>
      </w:pPr>
      <w:rPr>
        <w:rFonts w:hint="eastAsia"/>
      </w:rPr>
    </w:lvl>
    <w:lvl w:ilvl="4" w:tentative="0">
      <w:start w:val="1"/>
      <w:numFmt w:val="lowerLetter"/>
      <w:lvlText w:val="%5)"/>
      <w:lvlJc w:val="left"/>
      <w:pPr>
        <w:ind w:left="2388" w:hanging="420"/>
      </w:pPr>
      <w:rPr>
        <w:rFonts w:hint="eastAsia"/>
      </w:rPr>
    </w:lvl>
    <w:lvl w:ilvl="5" w:tentative="0">
      <w:start w:val="1"/>
      <w:numFmt w:val="lowerRoman"/>
      <w:lvlText w:val="%6."/>
      <w:lvlJc w:val="right"/>
      <w:pPr>
        <w:ind w:left="2808" w:hanging="420"/>
      </w:pPr>
      <w:rPr>
        <w:rFonts w:hint="eastAsia"/>
      </w:rPr>
    </w:lvl>
    <w:lvl w:ilvl="6" w:tentative="0">
      <w:start w:val="1"/>
      <w:numFmt w:val="decimal"/>
      <w:lvlText w:val="%7."/>
      <w:lvlJc w:val="left"/>
      <w:pPr>
        <w:ind w:left="3228" w:hanging="420"/>
      </w:pPr>
      <w:rPr>
        <w:rFonts w:hint="eastAsia"/>
      </w:rPr>
    </w:lvl>
    <w:lvl w:ilvl="7" w:tentative="0">
      <w:start w:val="1"/>
      <w:numFmt w:val="lowerLetter"/>
      <w:lvlText w:val="%8)"/>
      <w:lvlJc w:val="left"/>
      <w:pPr>
        <w:ind w:left="3648" w:hanging="420"/>
      </w:pPr>
      <w:rPr>
        <w:rFonts w:hint="eastAsia"/>
      </w:rPr>
    </w:lvl>
    <w:lvl w:ilvl="8" w:tentative="0">
      <w:start w:val="1"/>
      <w:numFmt w:val="lowerRoman"/>
      <w:lvlText w:val="%9."/>
      <w:lvlJc w:val="right"/>
      <w:pPr>
        <w:ind w:left="4068" w:hanging="420"/>
      </w:pPr>
      <w:rPr>
        <w:rFonts w:hint="eastAsia"/>
      </w:rPr>
    </w:lvl>
  </w:abstractNum>
  <w:abstractNum w:abstractNumId="4">
    <w:nsid w:val="60A7328B"/>
    <w:multiLevelType w:val="multilevel"/>
    <w:tmpl w:val="60A7328B"/>
    <w:lvl w:ilvl="0" w:tentative="0">
      <w:start w:val="1"/>
      <w:numFmt w:val="decimal"/>
      <w:pStyle w:val="47"/>
      <w:lvlText w:val="第%1条"/>
      <w:lvlJc w:val="left"/>
      <w:pPr>
        <w:ind w:left="708" w:hanging="420"/>
      </w:pPr>
      <w:rPr>
        <w:rFonts w:hint="eastAsia"/>
      </w:rPr>
    </w:lvl>
    <w:lvl w:ilvl="1" w:tentative="0">
      <w:start w:val="1"/>
      <w:numFmt w:val="lowerLetter"/>
      <w:lvlText w:val="%2)"/>
      <w:lvlJc w:val="left"/>
      <w:pPr>
        <w:ind w:left="1128" w:hanging="420"/>
      </w:pPr>
    </w:lvl>
    <w:lvl w:ilvl="2" w:tentative="0">
      <w:start w:val="1"/>
      <w:numFmt w:val="lowerRoman"/>
      <w:lvlText w:val="%3."/>
      <w:lvlJc w:val="right"/>
      <w:pPr>
        <w:ind w:left="1548" w:hanging="420"/>
      </w:pPr>
    </w:lvl>
    <w:lvl w:ilvl="3" w:tentative="0">
      <w:start w:val="1"/>
      <w:numFmt w:val="decimal"/>
      <w:lvlText w:val="%4."/>
      <w:lvlJc w:val="left"/>
      <w:pPr>
        <w:ind w:left="1968" w:hanging="420"/>
      </w:pPr>
    </w:lvl>
    <w:lvl w:ilvl="4" w:tentative="0">
      <w:start w:val="1"/>
      <w:numFmt w:val="lowerLetter"/>
      <w:lvlText w:val="%5)"/>
      <w:lvlJc w:val="left"/>
      <w:pPr>
        <w:ind w:left="2388" w:hanging="420"/>
      </w:pPr>
    </w:lvl>
    <w:lvl w:ilvl="5" w:tentative="0">
      <w:start w:val="1"/>
      <w:numFmt w:val="lowerRoman"/>
      <w:lvlText w:val="%6."/>
      <w:lvlJc w:val="right"/>
      <w:pPr>
        <w:ind w:left="2808" w:hanging="420"/>
      </w:pPr>
    </w:lvl>
    <w:lvl w:ilvl="6" w:tentative="0">
      <w:start w:val="1"/>
      <w:numFmt w:val="decimal"/>
      <w:lvlText w:val="%7."/>
      <w:lvlJc w:val="left"/>
      <w:pPr>
        <w:ind w:left="3228" w:hanging="420"/>
      </w:pPr>
    </w:lvl>
    <w:lvl w:ilvl="7" w:tentative="0">
      <w:start w:val="1"/>
      <w:numFmt w:val="lowerLetter"/>
      <w:lvlText w:val="%8)"/>
      <w:lvlJc w:val="left"/>
      <w:pPr>
        <w:ind w:left="3648" w:hanging="420"/>
      </w:pPr>
    </w:lvl>
    <w:lvl w:ilvl="8" w:tentative="0">
      <w:start w:val="1"/>
      <w:numFmt w:val="lowerRoman"/>
      <w:lvlText w:val="%9."/>
      <w:lvlJc w:val="right"/>
      <w:pPr>
        <w:ind w:left="4068" w:hanging="420"/>
      </w:pPr>
    </w:lvl>
  </w:abstractNum>
  <w:abstractNum w:abstractNumId="5">
    <w:nsid w:val="711D24F1"/>
    <w:multiLevelType w:val="multilevel"/>
    <w:tmpl w:val="711D24F1"/>
    <w:lvl w:ilvl="0" w:tentative="0">
      <w:start w:val="1"/>
      <w:numFmt w:val="chineseCountingThousand"/>
      <w:pStyle w:val="2"/>
      <w:lvlText w:val="第%1章"/>
      <w:lvlJc w:val="left"/>
      <w:pPr>
        <w:ind w:left="420" w:hanging="420"/>
      </w:pPr>
      <w:rPr>
        <w:rFonts w:hint="eastAsia" w:ascii="华光小标宋_CNKI" w:hAnsi="黑体" w:eastAsia="华光小标宋_CNKI"/>
      </w:rPr>
    </w:lvl>
    <w:lvl w:ilvl="1" w:tentative="0">
      <w:start w:val="1"/>
      <w:numFmt w:val="decimalZero"/>
      <w:isLgl/>
      <w:lvlText w:val="节 %1.%2"/>
      <w:lvlJc w:val="left"/>
      <w:pPr>
        <w:ind w:left="2978" w:firstLine="0"/>
      </w:pPr>
    </w:lvl>
    <w:lvl w:ilvl="2" w:tentative="0">
      <w:start w:val="1"/>
      <w:numFmt w:val="lowerLetter"/>
      <w:pStyle w:val="4"/>
      <w:lvlText w:val="(%3)"/>
      <w:lvlJc w:val="left"/>
      <w:pPr>
        <w:ind w:left="720" w:hanging="432"/>
      </w:pPr>
    </w:lvl>
    <w:lvl w:ilvl="3" w:tentative="0">
      <w:start w:val="1"/>
      <w:numFmt w:val="lowerRoman"/>
      <w:pStyle w:val="5"/>
      <w:lvlText w:val="(%4)"/>
      <w:lvlJc w:val="right"/>
      <w:pPr>
        <w:ind w:left="864" w:hanging="144"/>
      </w:pPr>
    </w:lvl>
    <w:lvl w:ilvl="4" w:tentative="0">
      <w:start w:val="1"/>
      <w:numFmt w:val="decimal"/>
      <w:pStyle w:val="6"/>
      <w:lvlText w:val="%5)"/>
      <w:lvlJc w:val="left"/>
      <w:pPr>
        <w:ind w:left="1008" w:hanging="432"/>
      </w:pPr>
    </w:lvl>
    <w:lvl w:ilvl="5" w:tentative="0">
      <w:start w:val="1"/>
      <w:numFmt w:val="lowerLetter"/>
      <w:pStyle w:val="7"/>
      <w:lvlText w:val="%6)"/>
      <w:lvlJc w:val="left"/>
      <w:pPr>
        <w:ind w:left="1152" w:hanging="432"/>
      </w:pPr>
    </w:lvl>
    <w:lvl w:ilvl="6" w:tentative="0">
      <w:start w:val="1"/>
      <w:numFmt w:val="lowerRoman"/>
      <w:pStyle w:val="8"/>
      <w:lvlText w:val="%7)"/>
      <w:lvlJc w:val="right"/>
      <w:pPr>
        <w:ind w:left="1296" w:hanging="288"/>
      </w:pPr>
    </w:lvl>
    <w:lvl w:ilvl="7" w:tentative="0">
      <w:start w:val="1"/>
      <w:numFmt w:val="lowerLetter"/>
      <w:pStyle w:val="9"/>
      <w:lvlText w:val="%8."/>
      <w:lvlJc w:val="left"/>
      <w:pPr>
        <w:ind w:left="1440" w:hanging="432"/>
      </w:pPr>
    </w:lvl>
    <w:lvl w:ilvl="8" w:tentative="0">
      <w:start w:val="1"/>
      <w:numFmt w:val="lowerRoman"/>
      <w:pStyle w:val="10"/>
      <w:lvlText w:val="%9."/>
      <w:lvlJc w:val="right"/>
      <w:pPr>
        <w:ind w:left="1584" w:hanging="144"/>
      </w:pPr>
    </w:lvl>
  </w:abstractNum>
  <w:num w:numId="1">
    <w:abstractNumId w:val="5"/>
  </w:num>
  <w:num w:numId="2">
    <w:abstractNumId w:val="3"/>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iNDZjZWVhZDJkM2M1YTExNjJiNWViNjU3ZjRjYjYifQ=="/>
  </w:docVars>
  <w:rsids>
    <w:rsidRoot w:val="005C42B4"/>
    <w:rsid w:val="000015E9"/>
    <w:rsid w:val="000033E9"/>
    <w:rsid w:val="00004891"/>
    <w:rsid w:val="000050E0"/>
    <w:rsid w:val="0001147E"/>
    <w:rsid w:val="0001351E"/>
    <w:rsid w:val="0001407B"/>
    <w:rsid w:val="00016971"/>
    <w:rsid w:val="000171FF"/>
    <w:rsid w:val="00017CC3"/>
    <w:rsid w:val="00020667"/>
    <w:rsid w:val="00020F2E"/>
    <w:rsid w:val="000210E6"/>
    <w:rsid w:val="0002477F"/>
    <w:rsid w:val="00026715"/>
    <w:rsid w:val="00032A43"/>
    <w:rsid w:val="00042EB2"/>
    <w:rsid w:val="00043497"/>
    <w:rsid w:val="0004596D"/>
    <w:rsid w:val="00047477"/>
    <w:rsid w:val="00050B97"/>
    <w:rsid w:val="000525A3"/>
    <w:rsid w:val="000535E6"/>
    <w:rsid w:val="000539EC"/>
    <w:rsid w:val="000558D7"/>
    <w:rsid w:val="00056713"/>
    <w:rsid w:val="00060B50"/>
    <w:rsid w:val="00064868"/>
    <w:rsid w:val="00065B90"/>
    <w:rsid w:val="00067A4E"/>
    <w:rsid w:val="000721DC"/>
    <w:rsid w:val="00072AE7"/>
    <w:rsid w:val="00072EE9"/>
    <w:rsid w:val="000732B4"/>
    <w:rsid w:val="00075AF3"/>
    <w:rsid w:val="00076A4D"/>
    <w:rsid w:val="00076C4B"/>
    <w:rsid w:val="00081BAF"/>
    <w:rsid w:val="000820D4"/>
    <w:rsid w:val="000831F9"/>
    <w:rsid w:val="00083C04"/>
    <w:rsid w:val="0009028F"/>
    <w:rsid w:val="00091AC7"/>
    <w:rsid w:val="00091BB1"/>
    <w:rsid w:val="00092924"/>
    <w:rsid w:val="00093F4B"/>
    <w:rsid w:val="00094A4F"/>
    <w:rsid w:val="000A4237"/>
    <w:rsid w:val="000A4B22"/>
    <w:rsid w:val="000A648A"/>
    <w:rsid w:val="000A7F0B"/>
    <w:rsid w:val="000B4657"/>
    <w:rsid w:val="000B508E"/>
    <w:rsid w:val="000B655D"/>
    <w:rsid w:val="000B76AF"/>
    <w:rsid w:val="000C1D3E"/>
    <w:rsid w:val="000C2300"/>
    <w:rsid w:val="000C2EB3"/>
    <w:rsid w:val="000C3BBB"/>
    <w:rsid w:val="000D33CF"/>
    <w:rsid w:val="000D3DD6"/>
    <w:rsid w:val="000D4B71"/>
    <w:rsid w:val="000E21DC"/>
    <w:rsid w:val="000E3FEF"/>
    <w:rsid w:val="000F1C30"/>
    <w:rsid w:val="000F1E83"/>
    <w:rsid w:val="000F30A7"/>
    <w:rsid w:val="000F33C4"/>
    <w:rsid w:val="000F3C16"/>
    <w:rsid w:val="000F47D6"/>
    <w:rsid w:val="000F6B9F"/>
    <w:rsid w:val="000F771A"/>
    <w:rsid w:val="00100485"/>
    <w:rsid w:val="00103A5E"/>
    <w:rsid w:val="00107125"/>
    <w:rsid w:val="0011086D"/>
    <w:rsid w:val="00115A56"/>
    <w:rsid w:val="00116AAB"/>
    <w:rsid w:val="00116AD2"/>
    <w:rsid w:val="00117047"/>
    <w:rsid w:val="00120C92"/>
    <w:rsid w:val="00126C25"/>
    <w:rsid w:val="001431F7"/>
    <w:rsid w:val="00143981"/>
    <w:rsid w:val="00145453"/>
    <w:rsid w:val="00145915"/>
    <w:rsid w:val="00151851"/>
    <w:rsid w:val="00165582"/>
    <w:rsid w:val="00170A5A"/>
    <w:rsid w:val="00174214"/>
    <w:rsid w:val="00174FD4"/>
    <w:rsid w:val="00175985"/>
    <w:rsid w:val="00181FA4"/>
    <w:rsid w:val="0018558D"/>
    <w:rsid w:val="00187121"/>
    <w:rsid w:val="00191F75"/>
    <w:rsid w:val="00192EE6"/>
    <w:rsid w:val="001966B7"/>
    <w:rsid w:val="001A0C16"/>
    <w:rsid w:val="001A1B8F"/>
    <w:rsid w:val="001A1F76"/>
    <w:rsid w:val="001A518A"/>
    <w:rsid w:val="001A5C28"/>
    <w:rsid w:val="001B1AC4"/>
    <w:rsid w:val="001B7BD9"/>
    <w:rsid w:val="001C05DA"/>
    <w:rsid w:val="001C2267"/>
    <w:rsid w:val="001C34E7"/>
    <w:rsid w:val="001C4A73"/>
    <w:rsid w:val="001C63F4"/>
    <w:rsid w:val="001C6973"/>
    <w:rsid w:val="001D129E"/>
    <w:rsid w:val="001D12FC"/>
    <w:rsid w:val="001D30DD"/>
    <w:rsid w:val="001D357B"/>
    <w:rsid w:val="001D4E9D"/>
    <w:rsid w:val="001D66E3"/>
    <w:rsid w:val="001E01D7"/>
    <w:rsid w:val="001E2532"/>
    <w:rsid w:val="001E5775"/>
    <w:rsid w:val="001E5F44"/>
    <w:rsid w:val="001F1C97"/>
    <w:rsid w:val="001F2211"/>
    <w:rsid w:val="001F385D"/>
    <w:rsid w:val="002014BA"/>
    <w:rsid w:val="002029B6"/>
    <w:rsid w:val="0020352E"/>
    <w:rsid w:val="002061BE"/>
    <w:rsid w:val="00206F1A"/>
    <w:rsid w:val="002124AB"/>
    <w:rsid w:val="00212B26"/>
    <w:rsid w:val="002134B5"/>
    <w:rsid w:val="00213AC0"/>
    <w:rsid w:val="00214502"/>
    <w:rsid w:val="00214F4F"/>
    <w:rsid w:val="0021551D"/>
    <w:rsid w:val="00215726"/>
    <w:rsid w:val="00216692"/>
    <w:rsid w:val="00221657"/>
    <w:rsid w:val="00222350"/>
    <w:rsid w:val="00224098"/>
    <w:rsid w:val="002243C5"/>
    <w:rsid w:val="00225C51"/>
    <w:rsid w:val="00225F1A"/>
    <w:rsid w:val="0022705C"/>
    <w:rsid w:val="00232F40"/>
    <w:rsid w:val="00233E4F"/>
    <w:rsid w:val="002411F6"/>
    <w:rsid w:val="00246FE4"/>
    <w:rsid w:val="00247BC8"/>
    <w:rsid w:val="00250500"/>
    <w:rsid w:val="002507EE"/>
    <w:rsid w:val="0025209B"/>
    <w:rsid w:val="00254E7D"/>
    <w:rsid w:val="0025687A"/>
    <w:rsid w:val="0025693E"/>
    <w:rsid w:val="00260F11"/>
    <w:rsid w:val="00262B3A"/>
    <w:rsid w:val="00263101"/>
    <w:rsid w:val="00264D24"/>
    <w:rsid w:val="002652F1"/>
    <w:rsid w:val="00265B58"/>
    <w:rsid w:val="002665BE"/>
    <w:rsid w:val="00267A57"/>
    <w:rsid w:val="0027008E"/>
    <w:rsid w:val="002723D1"/>
    <w:rsid w:val="002855F9"/>
    <w:rsid w:val="002923E5"/>
    <w:rsid w:val="00292BE1"/>
    <w:rsid w:val="002A0398"/>
    <w:rsid w:val="002A05ED"/>
    <w:rsid w:val="002A2C39"/>
    <w:rsid w:val="002A430E"/>
    <w:rsid w:val="002B14EB"/>
    <w:rsid w:val="002B4D61"/>
    <w:rsid w:val="002C0DFD"/>
    <w:rsid w:val="002C2361"/>
    <w:rsid w:val="002C2403"/>
    <w:rsid w:val="002C4B93"/>
    <w:rsid w:val="002C7545"/>
    <w:rsid w:val="002D03DB"/>
    <w:rsid w:val="002D20DB"/>
    <w:rsid w:val="002D273B"/>
    <w:rsid w:val="002D64DF"/>
    <w:rsid w:val="002D68C7"/>
    <w:rsid w:val="002E36BF"/>
    <w:rsid w:val="002E4FAE"/>
    <w:rsid w:val="002F01B6"/>
    <w:rsid w:val="002F7CD8"/>
    <w:rsid w:val="00300E40"/>
    <w:rsid w:val="003032D6"/>
    <w:rsid w:val="00304401"/>
    <w:rsid w:val="00306F25"/>
    <w:rsid w:val="003128D3"/>
    <w:rsid w:val="00312922"/>
    <w:rsid w:val="00314DAD"/>
    <w:rsid w:val="00314F10"/>
    <w:rsid w:val="0031665E"/>
    <w:rsid w:val="003171BF"/>
    <w:rsid w:val="00321E37"/>
    <w:rsid w:val="00332B33"/>
    <w:rsid w:val="003406AE"/>
    <w:rsid w:val="00340E02"/>
    <w:rsid w:val="00343C5E"/>
    <w:rsid w:val="00344D11"/>
    <w:rsid w:val="0034769F"/>
    <w:rsid w:val="00352719"/>
    <w:rsid w:val="00353D8B"/>
    <w:rsid w:val="0035635E"/>
    <w:rsid w:val="00356611"/>
    <w:rsid w:val="003630D0"/>
    <w:rsid w:val="00364350"/>
    <w:rsid w:val="003645CC"/>
    <w:rsid w:val="00365193"/>
    <w:rsid w:val="00365314"/>
    <w:rsid w:val="00372609"/>
    <w:rsid w:val="00374144"/>
    <w:rsid w:val="00374159"/>
    <w:rsid w:val="0037442F"/>
    <w:rsid w:val="00374B15"/>
    <w:rsid w:val="00374DE4"/>
    <w:rsid w:val="00375BD4"/>
    <w:rsid w:val="003760BF"/>
    <w:rsid w:val="0038097E"/>
    <w:rsid w:val="00380B3E"/>
    <w:rsid w:val="003812E9"/>
    <w:rsid w:val="003849A1"/>
    <w:rsid w:val="0038663D"/>
    <w:rsid w:val="00386AD9"/>
    <w:rsid w:val="00390031"/>
    <w:rsid w:val="00392D20"/>
    <w:rsid w:val="00393F96"/>
    <w:rsid w:val="0039411A"/>
    <w:rsid w:val="00395544"/>
    <w:rsid w:val="00395A40"/>
    <w:rsid w:val="0039764C"/>
    <w:rsid w:val="00397C5A"/>
    <w:rsid w:val="003A29F1"/>
    <w:rsid w:val="003A360F"/>
    <w:rsid w:val="003A3678"/>
    <w:rsid w:val="003A4A05"/>
    <w:rsid w:val="003A55F6"/>
    <w:rsid w:val="003A5F68"/>
    <w:rsid w:val="003A6347"/>
    <w:rsid w:val="003A6CE4"/>
    <w:rsid w:val="003A74D8"/>
    <w:rsid w:val="003B0097"/>
    <w:rsid w:val="003B0120"/>
    <w:rsid w:val="003B0C23"/>
    <w:rsid w:val="003B0CB7"/>
    <w:rsid w:val="003B2ABB"/>
    <w:rsid w:val="003B341C"/>
    <w:rsid w:val="003B3921"/>
    <w:rsid w:val="003B4A28"/>
    <w:rsid w:val="003B52E5"/>
    <w:rsid w:val="003B5A17"/>
    <w:rsid w:val="003B6D60"/>
    <w:rsid w:val="003B7083"/>
    <w:rsid w:val="003B7104"/>
    <w:rsid w:val="003B7EC4"/>
    <w:rsid w:val="003C0599"/>
    <w:rsid w:val="003C4A35"/>
    <w:rsid w:val="003D1D0B"/>
    <w:rsid w:val="003D431E"/>
    <w:rsid w:val="003D52A7"/>
    <w:rsid w:val="003D53F9"/>
    <w:rsid w:val="003E1C9A"/>
    <w:rsid w:val="003E48CB"/>
    <w:rsid w:val="003E69AF"/>
    <w:rsid w:val="003E7239"/>
    <w:rsid w:val="003F38CD"/>
    <w:rsid w:val="003F3DAE"/>
    <w:rsid w:val="003F4687"/>
    <w:rsid w:val="004006B7"/>
    <w:rsid w:val="0040509E"/>
    <w:rsid w:val="004062E3"/>
    <w:rsid w:val="00406BB3"/>
    <w:rsid w:val="00410CF3"/>
    <w:rsid w:val="00412659"/>
    <w:rsid w:val="004129D9"/>
    <w:rsid w:val="00412FC5"/>
    <w:rsid w:val="00415706"/>
    <w:rsid w:val="00416EA6"/>
    <w:rsid w:val="00416FF2"/>
    <w:rsid w:val="00422699"/>
    <w:rsid w:val="0042359B"/>
    <w:rsid w:val="00425613"/>
    <w:rsid w:val="00425901"/>
    <w:rsid w:val="004305E0"/>
    <w:rsid w:val="00433849"/>
    <w:rsid w:val="0043404F"/>
    <w:rsid w:val="00435641"/>
    <w:rsid w:val="00435FFD"/>
    <w:rsid w:val="00437AB4"/>
    <w:rsid w:val="00440F4A"/>
    <w:rsid w:val="00441630"/>
    <w:rsid w:val="00442AFD"/>
    <w:rsid w:val="00442EDD"/>
    <w:rsid w:val="00444577"/>
    <w:rsid w:val="00445AD2"/>
    <w:rsid w:val="00447DED"/>
    <w:rsid w:val="00453FBB"/>
    <w:rsid w:val="00456DB1"/>
    <w:rsid w:val="0046005B"/>
    <w:rsid w:val="00461CA5"/>
    <w:rsid w:val="00461ECB"/>
    <w:rsid w:val="004639F7"/>
    <w:rsid w:val="00463A80"/>
    <w:rsid w:val="00466DAA"/>
    <w:rsid w:val="0046742B"/>
    <w:rsid w:val="004678A4"/>
    <w:rsid w:val="0047333D"/>
    <w:rsid w:val="004742DF"/>
    <w:rsid w:val="00474F06"/>
    <w:rsid w:val="00477B75"/>
    <w:rsid w:val="00485223"/>
    <w:rsid w:val="00486812"/>
    <w:rsid w:val="0049192C"/>
    <w:rsid w:val="00494555"/>
    <w:rsid w:val="00496120"/>
    <w:rsid w:val="004961F0"/>
    <w:rsid w:val="00496B42"/>
    <w:rsid w:val="004A0C19"/>
    <w:rsid w:val="004A139C"/>
    <w:rsid w:val="004A2F95"/>
    <w:rsid w:val="004A561D"/>
    <w:rsid w:val="004A72A4"/>
    <w:rsid w:val="004B070B"/>
    <w:rsid w:val="004B3E8B"/>
    <w:rsid w:val="004B4286"/>
    <w:rsid w:val="004B7234"/>
    <w:rsid w:val="004C186B"/>
    <w:rsid w:val="004C3550"/>
    <w:rsid w:val="004C6A7D"/>
    <w:rsid w:val="004D4954"/>
    <w:rsid w:val="004D6C2B"/>
    <w:rsid w:val="004E4A44"/>
    <w:rsid w:val="004E4D1A"/>
    <w:rsid w:val="004E720C"/>
    <w:rsid w:val="004F044F"/>
    <w:rsid w:val="004F22A6"/>
    <w:rsid w:val="004F28FF"/>
    <w:rsid w:val="004F5EB1"/>
    <w:rsid w:val="00500FC4"/>
    <w:rsid w:val="00507CB7"/>
    <w:rsid w:val="005120F3"/>
    <w:rsid w:val="00513928"/>
    <w:rsid w:val="005147CF"/>
    <w:rsid w:val="00514878"/>
    <w:rsid w:val="00516E6B"/>
    <w:rsid w:val="005173E5"/>
    <w:rsid w:val="00520A9B"/>
    <w:rsid w:val="00526481"/>
    <w:rsid w:val="00526B3A"/>
    <w:rsid w:val="00526F4C"/>
    <w:rsid w:val="00531528"/>
    <w:rsid w:val="00534C28"/>
    <w:rsid w:val="00536902"/>
    <w:rsid w:val="005379A0"/>
    <w:rsid w:val="00540DB2"/>
    <w:rsid w:val="0054144C"/>
    <w:rsid w:val="00542176"/>
    <w:rsid w:val="00550E57"/>
    <w:rsid w:val="005513FF"/>
    <w:rsid w:val="00552108"/>
    <w:rsid w:val="00553F0C"/>
    <w:rsid w:val="00555088"/>
    <w:rsid w:val="0055701A"/>
    <w:rsid w:val="0055766E"/>
    <w:rsid w:val="005609F1"/>
    <w:rsid w:val="005618E4"/>
    <w:rsid w:val="00564608"/>
    <w:rsid w:val="00564A5C"/>
    <w:rsid w:val="00566B12"/>
    <w:rsid w:val="00567718"/>
    <w:rsid w:val="005713CE"/>
    <w:rsid w:val="00572547"/>
    <w:rsid w:val="00574E92"/>
    <w:rsid w:val="00575C84"/>
    <w:rsid w:val="005764F6"/>
    <w:rsid w:val="005772CD"/>
    <w:rsid w:val="00577CDD"/>
    <w:rsid w:val="00580E32"/>
    <w:rsid w:val="00584B75"/>
    <w:rsid w:val="00587242"/>
    <w:rsid w:val="005902E6"/>
    <w:rsid w:val="005A0D16"/>
    <w:rsid w:val="005A20BB"/>
    <w:rsid w:val="005A28A3"/>
    <w:rsid w:val="005A3DF4"/>
    <w:rsid w:val="005A3E5E"/>
    <w:rsid w:val="005A79EE"/>
    <w:rsid w:val="005B0CA3"/>
    <w:rsid w:val="005B3DCF"/>
    <w:rsid w:val="005B41E3"/>
    <w:rsid w:val="005B5970"/>
    <w:rsid w:val="005C047D"/>
    <w:rsid w:val="005C17AE"/>
    <w:rsid w:val="005C3113"/>
    <w:rsid w:val="005C3A21"/>
    <w:rsid w:val="005C42B4"/>
    <w:rsid w:val="005C44F2"/>
    <w:rsid w:val="005D1F7B"/>
    <w:rsid w:val="005D6541"/>
    <w:rsid w:val="005D6CEF"/>
    <w:rsid w:val="005D7748"/>
    <w:rsid w:val="005E0784"/>
    <w:rsid w:val="005E2193"/>
    <w:rsid w:val="005E2D98"/>
    <w:rsid w:val="005E5D0D"/>
    <w:rsid w:val="005E7435"/>
    <w:rsid w:val="005F08E7"/>
    <w:rsid w:val="005F4244"/>
    <w:rsid w:val="005F7DA6"/>
    <w:rsid w:val="006000C3"/>
    <w:rsid w:val="00602B92"/>
    <w:rsid w:val="0060541C"/>
    <w:rsid w:val="00605676"/>
    <w:rsid w:val="00605C93"/>
    <w:rsid w:val="006063AD"/>
    <w:rsid w:val="0061411E"/>
    <w:rsid w:val="006154C5"/>
    <w:rsid w:val="00615A15"/>
    <w:rsid w:val="00616AFC"/>
    <w:rsid w:val="00621F4C"/>
    <w:rsid w:val="0062295D"/>
    <w:rsid w:val="006241A8"/>
    <w:rsid w:val="00625CD6"/>
    <w:rsid w:val="006343FF"/>
    <w:rsid w:val="0063748C"/>
    <w:rsid w:val="00645ACF"/>
    <w:rsid w:val="00651055"/>
    <w:rsid w:val="00652D78"/>
    <w:rsid w:val="006555CF"/>
    <w:rsid w:val="006559FB"/>
    <w:rsid w:val="00656329"/>
    <w:rsid w:val="00661437"/>
    <w:rsid w:val="006614EE"/>
    <w:rsid w:val="00662C2E"/>
    <w:rsid w:val="00666EA0"/>
    <w:rsid w:val="0066717C"/>
    <w:rsid w:val="00667805"/>
    <w:rsid w:val="006735B0"/>
    <w:rsid w:val="00674AD0"/>
    <w:rsid w:val="006769F8"/>
    <w:rsid w:val="00680B63"/>
    <w:rsid w:val="00680D20"/>
    <w:rsid w:val="00681939"/>
    <w:rsid w:val="0068346F"/>
    <w:rsid w:val="006909C6"/>
    <w:rsid w:val="00692BDA"/>
    <w:rsid w:val="00694CFF"/>
    <w:rsid w:val="00694DCB"/>
    <w:rsid w:val="0069503E"/>
    <w:rsid w:val="006953CE"/>
    <w:rsid w:val="006A0D8C"/>
    <w:rsid w:val="006A1659"/>
    <w:rsid w:val="006A32F3"/>
    <w:rsid w:val="006A4F85"/>
    <w:rsid w:val="006B0047"/>
    <w:rsid w:val="006B1274"/>
    <w:rsid w:val="006B2888"/>
    <w:rsid w:val="006B2A17"/>
    <w:rsid w:val="006B2C2D"/>
    <w:rsid w:val="006B5104"/>
    <w:rsid w:val="006B73D8"/>
    <w:rsid w:val="006B75BD"/>
    <w:rsid w:val="006C1E91"/>
    <w:rsid w:val="006C1EBE"/>
    <w:rsid w:val="006C7086"/>
    <w:rsid w:val="006D13A6"/>
    <w:rsid w:val="006D1AC3"/>
    <w:rsid w:val="006D269E"/>
    <w:rsid w:val="006D3AA9"/>
    <w:rsid w:val="006D42CD"/>
    <w:rsid w:val="006D5E73"/>
    <w:rsid w:val="006D625C"/>
    <w:rsid w:val="006E4285"/>
    <w:rsid w:val="006E65D5"/>
    <w:rsid w:val="006F0054"/>
    <w:rsid w:val="006F0084"/>
    <w:rsid w:val="006F11C2"/>
    <w:rsid w:val="006F4DF5"/>
    <w:rsid w:val="006F5587"/>
    <w:rsid w:val="006F6DAF"/>
    <w:rsid w:val="00702443"/>
    <w:rsid w:val="0070289E"/>
    <w:rsid w:val="007028A8"/>
    <w:rsid w:val="00705E44"/>
    <w:rsid w:val="007063DC"/>
    <w:rsid w:val="0070683F"/>
    <w:rsid w:val="00711933"/>
    <w:rsid w:val="00713CD2"/>
    <w:rsid w:val="00717344"/>
    <w:rsid w:val="007203A8"/>
    <w:rsid w:val="00726B18"/>
    <w:rsid w:val="00727E77"/>
    <w:rsid w:val="0073568F"/>
    <w:rsid w:val="00735E03"/>
    <w:rsid w:val="00744639"/>
    <w:rsid w:val="00747723"/>
    <w:rsid w:val="00753BB2"/>
    <w:rsid w:val="00763D90"/>
    <w:rsid w:val="007651AF"/>
    <w:rsid w:val="007711D5"/>
    <w:rsid w:val="00774E4E"/>
    <w:rsid w:val="00775BE2"/>
    <w:rsid w:val="00776A54"/>
    <w:rsid w:val="00780ED8"/>
    <w:rsid w:val="00781931"/>
    <w:rsid w:val="00783D06"/>
    <w:rsid w:val="00787CDD"/>
    <w:rsid w:val="0079216C"/>
    <w:rsid w:val="007946FE"/>
    <w:rsid w:val="007A07DC"/>
    <w:rsid w:val="007A19F8"/>
    <w:rsid w:val="007A21ED"/>
    <w:rsid w:val="007A2B5D"/>
    <w:rsid w:val="007A7BCB"/>
    <w:rsid w:val="007B70FC"/>
    <w:rsid w:val="007C0080"/>
    <w:rsid w:val="007C00D0"/>
    <w:rsid w:val="007C1368"/>
    <w:rsid w:val="007C1481"/>
    <w:rsid w:val="007C55E3"/>
    <w:rsid w:val="007C66C3"/>
    <w:rsid w:val="007C69B2"/>
    <w:rsid w:val="007D1440"/>
    <w:rsid w:val="007D1913"/>
    <w:rsid w:val="007D2722"/>
    <w:rsid w:val="007D4D80"/>
    <w:rsid w:val="007D7917"/>
    <w:rsid w:val="007D7B29"/>
    <w:rsid w:val="007D7CCF"/>
    <w:rsid w:val="007E1882"/>
    <w:rsid w:val="007E2095"/>
    <w:rsid w:val="007E2815"/>
    <w:rsid w:val="007E3F97"/>
    <w:rsid w:val="007E5F32"/>
    <w:rsid w:val="007E60C7"/>
    <w:rsid w:val="007E6C52"/>
    <w:rsid w:val="007E6EB8"/>
    <w:rsid w:val="007F7828"/>
    <w:rsid w:val="008002AC"/>
    <w:rsid w:val="0080037E"/>
    <w:rsid w:val="00800E69"/>
    <w:rsid w:val="00801420"/>
    <w:rsid w:val="00801867"/>
    <w:rsid w:val="00802442"/>
    <w:rsid w:val="00802E3E"/>
    <w:rsid w:val="0080369A"/>
    <w:rsid w:val="00804C11"/>
    <w:rsid w:val="00807614"/>
    <w:rsid w:val="00811B2B"/>
    <w:rsid w:val="00812D31"/>
    <w:rsid w:val="00816001"/>
    <w:rsid w:val="008207C8"/>
    <w:rsid w:val="008208E2"/>
    <w:rsid w:val="00822DDE"/>
    <w:rsid w:val="00824B99"/>
    <w:rsid w:val="00826F88"/>
    <w:rsid w:val="0083173A"/>
    <w:rsid w:val="00833AFC"/>
    <w:rsid w:val="008355EF"/>
    <w:rsid w:val="00836F37"/>
    <w:rsid w:val="008405FA"/>
    <w:rsid w:val="00840DA6"/>
    <w:rsid w:val="008418F5"/>
    <w:rsid w:val="00841FEA"/>
    <w:rsid w:val="00845FDB"/>
    <w:rsid w:val="008472B6"/>
    <w:rsid w:val="00851982"/>
    <w:rsid w:val="00860360"/>
    <w:rsid w:val="008613B1"/>
    <w:rsid w:val="00861885"/>
    <w:rsid w:val="00863410"/>
    <w:rsid w:val="00867BB9"/>
    <w:rsid w:val="00871338"/>
    <w:rsid w:val="008764DE"/>
    <w:rsid w:val="00880DFA"/>
    <w:rsid w:val="00882E93"/>
    <w:rsid w:val="00885C2D"/>
    <w:rsid w:val="0089665F"/>
    <w:rsid w:val="00896DC3"/>
    <w:rsid w:val="008A20E9"/>
    <w:rsid w:val="008A3E85"/>
    <w:rsid w:val="008A571C"/>
    <w:rsid w:val="008A6573"/>
    <w:rsid w:val="008A658B"/>
    <w:rsid w:val="008A6B9F"/>
    <w:rsid w:val="008A6CE6"/>
    <w:rsid w:val="008A78CC"/>
    <w:rsid w:val="008B3402"/>
    <w:rsid w:val="008B4BB0"/>
    <w:rsid w:val="008B6582"/>
    <w:rsid w:val="008C0412"/>
    <w:rsid w:val="008C1FCD"/>
    <w:rsid w:val="008C217A"/>
    <w:rsid w:val="008C2285"/>
    <w:rsid w:val="008C29C3"/>
    <w:rsid w:val="008C5856"/>
    <w:rsid w:val="008C5B45"/>
    <w:rsid w:val="008C726A"/>
    <w:rsid w:val="008D1A81"/>
    <w:rsid w:val="008D35F8"/>
    <w:rsid w:val="008D4741"/>
    <w:rsid w:val="008D4E67"/>
    <w:rsid w:val="008D5948"/>
    <w:rsid w:val="008D5EC9"/>
    <w:rsid w:val="008E13FA"/>
    <w:rsid w:val="008E14AE"/>
    <w:rsid w:val="008E167F"/>
    <w:rsid w:val="008E5209"/>
    <w:rsid w:val="008E7249"/>
    <w:rsid w:val="008F134F"/>
    <w:rsid w:val="008F428A"/>
    <w:rsid w:val="008F5203"/>
    <w:rsid w:val="008F646E"/>
    <w:rsid w:val="008F7B07"/>
    <w:rsid w:val="009012BB"/>
    <w:rsid w:val="00902833"/>
    <w:rsid w:val="00902C40"/>
    <w:rsid w:val="00904EA6"/>
    <w:rsid w:val="00911198"/>
    <w:rsid w:val="0091172D"/>
    <w:rsid w:val="00912CE9"/>
    <w:rsid w:val="009165AF"/>
    <w:rsid w:val="00916D4D"/>
    <w:rsid w:val="00921690"/>
    <w:rsid w:val="00923252"/>
    <w:rsid w:val="0092399E"/>
    <w:rsid w:val="009303F4"/>
    <w:rsid w:val="00930454"/>
    <w:rsid w:val="00930C24"/>
    <w:rsid w:val="009341A6"/>
    <w:rsid w:val="0093567B"/>
    <w:rsid w:val="00937031"/>
    <w:rsid w:val="00940E1E"/>
    <w:rsid w:val="00945E5C"/>
    <w:rsid w:val="009464E4"/>
    <w:rsid w:val="00946876"/>
    <w:rsid w:val="009509FC"/>
    <w:rsid w:val="0095110C"/>
    <w:rsid w:val="00951D93"/>
    <w:rsid w:val="00951E09"/>
    <w:rsid w:val="0095224D"/>
    <w:rsid w:val="00952BEA"/>
    <w:rsid w:val="009539FC"/>
    <w:rsid w:val="00954124"/>
    <w:rsid w:val="0096242B"/>
    <w:rsid w:val="0096283D"/>
    <w:rsid w:val="00963DF4"/>
    <w:rsid w:val="00964785"/>
    <w:rsid w:val="0096692B"/>
    <w:rsid w:val="00967E14"/>
    <w:rsid w:val="00970736"/>
    <w:rsid w:val="00970B18"/>
    <w:rsid w:val="00973EC2"/>
    <w:rsid w:val="009751AC"/>
    <w:rsid w:val="00980DFE"/>
    <w:rsid w:val="00981C82"/>
    <w:rsid w:val="0098255A"/>
    <w:rsid w:val="00984168"/>
    <w:rsid w:val="009845AA"/>
    <w:rsid w:val="00984D93"/>
    <w:rsid w:val="00985E4F"/>
    <w:rsid w:val="00985F30"/>
    <w:rsid w:val="009868F0"/>
    <w:rsid w:val="00986DA6"/>
    <w:rsid w:val="00993572"/>
    <w:rsid w:val="00993FAE"/>
    <w:rsid w:val="009946F7"/>
    <w:rsid w:val="00995BD8"/>
    <w:rsid w:val="0099715C"/>
    <w:rsid w:val="009A4EEC"/>
    <w:rsid w:val="009A6F96"/>
    <w:rsid w:val="009B06FD"/>
    <w:rsid w:val="009B07BA"/>
    <w:rsid w:val="009B2C6B"/>
    <w:rsid w:val="009B2E6E"/>
    <w:rsid w:val="009B305D"/>
    <w:rsid w:val="009B472E"/>
    <w:rsid w:val="009B520F"/>
    <w:rsid w:val="009B67E7"/>
    <w:rsid w:val="009B694A"/>
    <w:rsid w:val="009C0441"/>
    <w:rsid w:val="009C13FC"/>
    <w:rsid w:val="009C4433"/>
    <w:rsid w:val="009C7F1B"/>
    <w:rsid w:val="009D0CDC"/>
    <w:rsid w:val="009D0D2A"/>
    <w:rsid w:val="009D228F"/>
    <w:rsid w:val="009D3032"/>
    <w:rsid w:val="009D3E78"/>
    <w:rsid w:val="009D4754"/>
    <w:rsid w:val="009D60E9"/>
    <w:rsid w:val="009D7C8E"/>
    <w:rsid w:val="009E0601"/>
    <w:rsid w:val="009E1260"/>
    <w:rsid w:val="009E511C"/>
    <w:rsid w:val="009E5D12"/>
    <w:rsid w:val="009F2B76"/>
    <w:rsid w:val="009F3396"/>
    <w:rsid w:val="009F499A"/>
    <w:rsid w:val="009F566D"/>
    <w:rsid w:val="009F6F85"/>
    <w:rsid w:val="009F7684"/>
    <w:rsid w:val="00A0098D"/>
    <w:rsid w:val="00A02F2D"/>
    <w:rsid w:val="00A04D0A"/>
    <w:rsid w:val="00A06D21"/>
    <w:rsid w:val="00A13613"/>
    <w:rsid w:val="00A14119"/>
    <w:rsid w:val="00A146DB"/>
    <w:rsid w:val="00A14A59"/>
    <w:rsid w:val="00A14BA3"/>
    <w:rsid w:val="00A16E4D"/>
    <w:rsid w:val="00A20FE9"/>
    <w:rsid w:val="00A26BA5"/>
    <w:rsid w:val="00A273B5"/>
    <w:rsid w:val="00A27E44"/>
    <w:rsid w:val="00A33A3A"/>
    <w:rsid w:val="00A41A2C"/>
    <w:rsid w:val="00A425B3"/>
    <w:rsid w:val="00A42A04"/>
    <w:rsid w:val="00A435D5"/>
    <w:rsid w:val="00A4412A"/>
    <w:rsid w:val="00A44408"/>
    <w:rsid w:val="00A5213E"/>
    <w:rsid w:val="00A55886"/>
    <w:rsid w:val="00A61FF0"/>
    <w:rsid w:val="00A67C00"/>
    <w:rsid w:val="00A67D1C"/>
    <w:rsid w:val="00A74613"/>
    <w:rsid w:val="00A74D19"/>
    <w:rsid w:val="00A7523F"/>
    <w:rsid w:val="00A7754C"/>
    <w:rsid w:val="00A77B0D"/>
    <w:rsid w:val="00A82A8D"/>
    <w:rsid w:val="00A834DA"/>
    <w:rsid w:val="00A84E48"/>
    <w:rsid w:val="00A86839"/>
    <w:rsid w:val="00A87105"/>
    <w:rsid w:val="00A873B8"/>
    <w:rsid w:val="00A905ED"/>
    <w:rsid w:val="00A95240"/>
    <w:rsid w:val="00A959D0"/>
    <w:rsid w:val="00A960B2"/>
    <w:rsid w:val="00AA0545"/>
    <w:rsid w:val="00AA2076"/>
    <w:rsid w:val="00AA665D"/>
    <w:rsid w:val="00AB046E"/>
    <w:rsid w:val="00AB1B34"/>
    <w:rsid w:val="00AB341A"/>
    <w:rsid w:val="00AB3BC4"/>
    <w:rsid w:val="00AB4D7B"/>
    <w:rsid w:val="00AB5620"/>
    <w:rsid w:val="00AB5F4A"/>
    <w:rsid w:val="00AB60D2"/>
    <w:rsid w:val="00AC0552"/>
    <w:rsid w:val="00AC60D0"/>
    <w:rsid w:val="00AD0F61"/>
    <w:rsid w:val="00AD21C9"/>
    <w:rsid w:val="00AD563F"/>
    <w:rsid w:val="00AD7A56"/>
    <w:rsid w:val="00AD7D4D"/>
    <w:rsid w:val="00AE355C"/>
    <w:rsid w:val="00AE7EF5"/>
    <w:rsid w:val="00AF1856"/>
    <w:rsid w:val="00AF21F4"/>
    <w:rsid w:val="00AF5C23"/>
    <w:rsid w:val="00AF6600"/>
    <w:rsid w:val="00B00BB4"/>
    <w:rsid w:val="00B00DB2"/>
    <w:rsid w:val="00B01ACF"/>
    <w:rsid w:val="00B062B2"/>
    <w:rsid w:val="00B06D48"/>
    <w:rsid w:val="00B141F1"/>
    <w:rsid w:val="00B149A8"/>
    <w:rsid w:val="00B177BE"/>
    <w:rsid w:val="00B17D0B"/>
    <w:rsid w:val="00B20D04"/>
    <w:rsid w:val="00B2159B"/>
    <w:rsid w:val="00B26122"/>
    <w:rsid w:val="00B26EEE"/>
    <w:rsid w:val="00B2799B"/>
    <w:rsid w:val="00B27B95"/>
    <w:rsid w:val="00B319A9"/>
    <w:rsid w:val="00B31FB3"/>
    <w:rsid w:val="00B32580"/>
    <w:rsid w:val="00B326C9"/>
    <w:rsid w:val="00B363F4"/>
    <w:rsid w:val="00B4072D"/>
    <w:rsid w:val="00B40AF9"/>
    <w:rsid w:val="00B4285F"/>
    <w:rsid w:val="00B457BD"/>
    <w:rsid w:val="00B45B48"/>
    <w:rsid w:val="00B45EDF"/>
    <w:rsid w:val="00B47067"/>
    <w:rsid w:val="00B51BA9"/>
    <w:rsid w:val="00B533F3"/>
    <w:rsid w:val="00B5477D"/>
    <w:rsid w:val="00B559F1"/>
    <w:rsid w:val="00B563B0"/>
    <w:rsid w:val="00B63325"/>
    <w:rsid w:val="00B64803"/>
    <w:rsid w:val="00B669C2"/>
    <w:rsid w:val="00B67BEF"/>
    <w:rsid w:val="00B733F4"/>
    <w:rsid w:val="00B753F6"/>
    <w:rsid w:val="00B77E13"/>
    <w:rsid w:val="00B80AE1"/>
    <w:rsid w:val="00B812FA"/>
    <w:rsid w:val="00B819B5"/>
    <w:rsid w:val="00B81F2C"/>
    <w:rsid w:val="00B826CA"/>
    <w:rsid w:val="00B834B1"/>
    <w:rsid w:val="00B8571E"/>
    <w:rsid w:val="00B86CAB"/>
    <w:rsid w:val="00B90C3C"/>
    <w:rsid w:val="00B9276C"/>
    <w:rsid w:val="00B95895"/>
    <w:rsid w:val="00B9613A"/>
    <w:rsid w:val="00B96E3F"/>
    <w:rsid w:val="00BA0605"/>
    <w:rsid w:val="00BA244F"/>
    <w:rsid w:val="00BA5767"/>
    <w:rsid w:val="00BB1434"/>
    <w:rsid w:val="00BB1637"/>
    <w:rsid w:val="00BB1EB1"/>
    <w:rsid w:val="00BB22C4"/>
    <w:rsid w:val="00BB2E63"/>
    <w:rsid w:val="00BC01C3"/>
    <w:rsid w:val="00BC320F"/>
    <w:rsid w:val="00BC6CDC"/>
    <w:rsid w:val="00BD0607"/>
    <w:rsid w:val="00BD1280"/>
    <w:rsid w:val="00BD207E"/>
    <w:rsid w:val="00BD3D37"/>
    <w:rsid w:val="00BD6FB9"/>
    <w:rsid w:val="00BE0081"/>
    <w:rsid w:val="00BE2343"/>
    <w:rsid w:val="00BE2FB7"/>
    <w:rsid w:val="00BE375F"/>
    <w:rsid w:val="00BE37DF"/>
    <w:rsid w:val="00BE6474"/>
    <w:rsid w:val="00BF0272"/>
    <w:rsid w:val="00BF108A"/>
    <w:rsid w:val="00BF1DD2"/>
    <w:rsid w:val="00BF4058"/>
    <w:rsid w:val="00BF41BB"/>
    <w:rsid w:val="00BF4506"/>
    <w:rsid w:val="00BF7544"/>
    <w:rsid w:val="00C13FB4"/>
    <w:rsid w:val="00C14340"/>
    <w:rsid w:val="00C21B48"/>
    <w:rsid w:val="00C234A9"/>
    <w:rsid w:val="00C23AED"/>
    <w:rsid w:val="00C24F17"/>
    <w:rsid w:val="00C30301"/>
    <w:rsid w:val="00C35BE2"/>
    <w:rsid w:val="00C3764B"/>
    <w:rsid w:val="00C4111D"/>
    <w:rsid w:val="00C448F0"/>
    <w:rsid w:val="00C45BEC"/>
    <w:rsid w:val="00C45E1B"/>
    <w:rsid w:val="00C514AE"/>
    <w:rsid w:val="00C5159C"/>
    <w:rsid w:val="00C52AD6"/>
    <w:rsid w:val="00C54A10"/>
    <w:rsid w:val="00C6115C"/>
    <w:rsid w:val="00C62A9F"/>
    <w:rsid w:val="00C64120"/>
    <w:rsid w:val="00C64A4D"/>
    <w:rsid w:val="00C67D41"/>
    <w:rsid w:val="00C73296"/>
    <w:rsid w:val="00C73FFB"/>
    <w:rsid w:val="00C7447E"/>
    <w:rsid w:val="00C748A6"/>
    <w:rsid w:val="00C82213"/>
    <w:rsid w:val="00C85696"/>
    <w:rsid w:val="00C85B9A"/>
    <w:rsid w:val="00C869D3"/>
    <w:rsid w:val="00C87BCD"/>
    <w:rsid w:val="00C9017A"/>
    <w:rsid w:val="00C9251D"/>
    <w:rsid w:val="00CA1E4E"/>
    <w:rsid w:val="00CA22E3"/>
    <w:rsid w:val="00CA3C2A"/>
    <w:rsid w:val="00CA5B75"/>
    <w:rsid w:val="00CB1B28"/>
    <w:rsid w:val="00CB6285"/>
    <w:rsid w:val="00CC0BE0"/>
    <w:rsid w:val="00CC449B"/>
    <w:rsid w:val="00CC4D2F"/>
    <w:rsid w:val="00CC6DC5"/>
    <w:rsid w:val="00CD0AFF"/>
    <w:rsid w:val="00CD33BA"/>
    <w:rsid w:val="00CD389B"/>
    <w:rsid w:val="00CD50A9"/>
    <w:rsid w:val="00CE326A"/>
    <w:rsid w:val="00CE5A28"/>
    <w:rsid w:val="00CE5CA5"/>
    <w:rsid w:val="00CE5F14"/>
    <w:rsid w:val="00CF0645"/>
    <w:rsid w:val="00CF0F48"/>
    <w:rsid w:val="00CF2DA1"/>
    <w:rsid w:val="00CF2EF3"/>
    <w:rsid w:val="00CF4529"/>
    <w:rsid w:val="00CF45E5"/>
    <w:rsid w:val="00CF490D"/>
    <w:rsid w:val="00CF513D"/>
    <w:rsid w:val="00D0037F"/>
    <w:rsid w:val="00D01FCE"/>
    <w:rsid w:val="00D04805"/>
    <w:rsid w:val="00D1048A"/>
    <w:rsid w:val="00D13C31"/>
    <w:rsid w:val="00D16770"/>
    <w:rsid w:val="00D20140"/>
    <w:rsid w:val="00D20EEB"/>
    <w:rsid w:val="00D21076"/>
    <w:rsid w:val="00D221A5"/>
    <w:rsid w:val="00D2598F"/>
    <w:rsid w:val="00D26753"/>
    <w:rsid w:val="00D27C58"/>
    <w:rsid w:val="00D306CE"/>
    <w:rsid w:val="00D30A27"/>
    <w:rsid w:val="00D30D3F"/>
    <w:rsid w:val="00D318B4"/>
    <w:rsid w:val="00D3253C"/>
    <w:rsid w:val="00D32E76"/>
    <w:rsid w:val="00D33770"/>
    <w:rsid w:val="00D41BA0"/>
    <w:rsid w:val="00D440DB"/>
    <w:rsid w:val="00D46652"/>
    <w:rsid w:val="00D46AFE"/>
    <w:rsid w:val="00D472DE"/>
    <w:rsid w:val="00D47469"/>
    <w:rsid w:val="00D47FCB"/>
    <w:rsid w:val="00D51805"/>
    <w:rsid w:val="00D526FF"/>
    <w:rsid w:val="00D54FC9"/>
    <w:rsid w:val="00D61084"/>
    <w:rsid w:val="00D65EC2"/>
    <w:rsid w:val="00D67BF3"/>
    <w:rsid w:val="00D7065B"/>
    <w:rsid w:val="00D716E7"/>
    <w:rsid w:val="00D7296F"/>
    <w:rsid w:val="00D75596"/>
    <w:rsid w:val="00D755C1"/>
    <w:rsid w:val="00D80914"/>
    <w:rsid w:val="00D8267F"/>
    <w:rsid w:val="00D85166"/>
    <w:rsid w:val="00D8519C"/>
    <w:rsid w:val="00D85DC5"/>
    <w:rsid w:val="00D86608"/>
    <w:rsid w:val="00D9032C"/>
    <w:rsid w:val="00D90D5B"/>
    <w:rsid w:val="00D92F89"/>
    <w:rsid w:val="00D95011"/>
    <w:rsid w:val="00D96ABF"/>
    <w:rsid w:val="00D96D9A"/>
    <w:rsid w:val="00DA1D74"/>
    <w:rsid w:val="00DA4968"/>
    <w:rsid w:val="00DB0C9B"/>
    <w:rsid w:val="00DB42D4"/>
    <w:rsid w:val="00DB43CF"/>
    <w:rsid w:val="00DC5C89"/>
    <w:rsid w:val="00DC6048"/>
    <w:rsid w:val="00DC7180"/>
    <w:rsid w:val="00DC7FD0"/>
    <w:rsid w:val="00DD0524"/>
    <w:rsid w:val="00DD13DD"/>
    <w:rsid w:val="00DD233D"/>
    <w:rsid w:val="00DD28C8"/>
    <w:rsid w:val="00DD332B"/>
    <w:rsid w:val="00DD5555"/>
    <w:rsid w:val="00DD7553"/>
    <w:rsid w:val="00DD78AC"/>
    <w:rsid w:val="00DE20CD"/>
    <w:rsid w:val="00DE266D"/>
    <w:rsid w:val="00DE3558"/>
    <w:rsid w:val="00DE381A"/>
    <w:rsid w:val="00DE43E4"/>
    <w:rsid w:val="00DE4C57"/>
    <w:rsid w:val="00DE564A"/>
    <w:rsid w:val="00DE6D2C"/>
    <w:rsid w:val="00DF041B"/>
    <w:rsid w:val="00DF1658"/>
    <w:rsid w:val="00DF27F2"/>
    <w:rsid w:val="00DF3FBE"/>
    <w:rsid w:val="00DF5946"/>
    <w:rsid w:val="00DF6E64"/>
    <w:rsid w:val="00E051B6"/>
    <w:rsid w:val="00E052EE"/>
    <w:rsid w:val="00E05B54"/>
    <w:rsid w:val="00E1265B"/>
    <w:rsid w:val="00E136A7"/>
    <w:rsid w:val="00E15402"/>
    <w:rsid w:val="00E17E94"/>
    <w:rsid w:val="00E20179"/>
    <w:rsid w:val="00E22FF7"/>
    <w:rsid w:val="00E35923"/>
    <w:rsid w:val="00E3649E"/>
    <w:rsid w:val="00E369A4"/>
    <w:rsid w:val="00E36AC5"/>
    <w:rsid w:val="00E433FE"/>
    <w:rsid w:val="00E4442B"/>
    <w:rsid w:val="00E44DF8"/>
    <w:rsid w:val="00E601A2"/>
    <w:rsid w:val="00E61AF7"/>
    <w:rsid w:val="00E629B8"/>
    <w:rsid w:val="00E67880"/>
    <w:rsid w:val="00E70777"/>
    <w:rsid w:val="00E70D5C"/>
    <w:rsid w:val="00E713CB"/>
    <w:rsid w:val="00E743BA"/>
    <w:rsid w:val="00E750D8"/>
    <w:rsid w:val="00E762BB"/>
    <w:rsid w:val="00E769BD"/>
    <w:rsid w:val="00E80A7B"/>
    <w:rsid w:val="00E8310B"/>
    <w:rsid w:val="00E83389"/>
    <w:rsid w:val="00E870B9"/>
    <w:rsid w:val="00E90E83"/>
    <w:rsid w:val="00E91990"/>
    <w:rsid w:val="00E91D05"/>
    <w:rsid w:val="00E93914"/>
    <w:rsid w:val="00E95E4F"/>
    <w:rsid w:val="00E97302"/>
    <w:rsid w:val="00EA0D45"/>
    <w:rsid w:val="00EA2D3E"/>
    <w:rsid w:val="00EA36D0"/>
    <w:rsid w:val="00EA6DA3"/>
    <w:rsid w:val="00EA7A26"/>
    <w:rsid w:val="00EB07D5"/>
    <w:rsid w:val="00EB216A"/>
    <w:rsid w:val="00EB530B"/>
    <w:rsid w:val="00EB70BA"/>
    <w:rsid w:val="00EC1C8E"/>
    <w:rsid w:val="00EC36D8"/>
    <w:rsid w:val="00EC54F5"/>
    <w:rsid w:val="00EC65C3"/>
    <w:rsid w:val="00ED0571"/>
    <w:rsid w:val="00ED0B67"/>
    <w:rsid w:val="00EE0324"/>
    <w:rsid w:val="00EF0D91"/>
    <w:rsid w:val="00EF281D"/>
    <w:rsid w:val="00EF5C94"/>
    <w:rsid w:val="00F02DD9"/>
    <w:rsid w:val="00F04DBF"/>
    <w:rsid w:val="00F07CB8"/>
    <w:rsid w:val="00F112D2"/>
    <w:rsid w:val="00F13570"/>
    <w:rsid w:val="00F14493"/>
    <w:rsid w:val="00F169CE"/>
    <w:rsid w:val="00F17598"/>
    <w:rsid w:val="00F178F7"/>
    <w:rsid w:val="00F22BEC"/>
    <w:rsid w:val="00F242DB"/>
    <w:rsid w:val="00F26580"/>
    <w:rsid w:val="00F26A68"/>
    <w:rsid w:val="00F35840"/>
    <w:rsid w:val="00F40A9C"/>
    <w:rsid w:val="00F43BDD"/>
    <w:rsid w:val="00F43C99"/>
    <w:rsid w:val="00F44FA6"/>
    <w:rsid w:val="00F451E3"/>
    <w:rsid w:val="00F46708"/>
    <w:rsid w:val="00F508A7"/>
    <w:rsid w:val="00F508DB"/>
    <w:rsid w:val="00F51267"/>
    <w:rsid w:val="00F52AE3"/>
    <w:rsid w:val="00F5370A"/>
    <w:rsid w:val="00F53860"/>
    <w:rsid w:val="00F542F4"/>
    <w:rsid w:val="00F546D0"/>
    <w:rsid w:val="00F549D7"/>
    <w:rsid w:val="00F55D8A"/>
    <w:rsid w:val="00F5650D"/>
    <w:rsid w:val="00F6070F"/>
    <w:rsid w:val="00F609E2"/>
    <w:rsid w:val="00F60B73"/>
    <w:rsid w:val="00F626F9"/>
    <w:rsid w:val="00F63B19"/>
    <w:rsid w:val="00F64758"/>
    <w:rsid w:val="00F715FF"/>
    <w:rsid w:val="00F72018"/>
    <w:rsid w:val="00F802E7"/>
    <w:rsid w:val="00F84C6D"/>
    <w:rsid w:val="00F861A8"/>
    <w:rsid w:val="00F9087A"/>
    <w:rsid w:val="00F92102"/>
    <w:rsid w:val="00F92881"/>
    <w:rsid w:val="00F94652"/>
    <w:rsid w:val="00F94B40"/>
    <w:rsid w:val="00F94BC4"/>
    <w:rsid w:val="00FA11EE"/>
    <w:rsid w:val="00FA6898"/>
    <w:rsid w:val="00FB04C4"/>
    <w:rsid w:val="00FB698C"/>
    <w:rsid w:val="00FB7A2A"/>
    <w:rsid w:val="00FC2A11"/>
    <w:rsid w:val="00FC653E"/>
    <w:rsid w:val="00FC66E6"/>
    <w:rsid w:val="00FC6B8A"/>
    <w:rsid w:val="00FD1EDE"/>
    <w:rsid w:val="00FD2EFF"/>
    <w:rsid w:val="00FE4587"/>
    <w:rsid w:val="00FE785B"/>
    <w:rsid w:val="00FF0135"/>
    <w:rsid w:val="00FF11A5"/>
    <w:rsid w:val="00FF6694"/>
    <w:rsid w:val="00FF69F4"/>
    <w:rsid w:val="01272039"/>
    <w:rsid w:val="02E16EAC"/>
    <w:rsid w:val="035A370F"/>
    <w:rsid w:val="0371289F"/>
    <w:rsid w:val="03CD1A9F"/>
    <w:rsid w:val="043A7135"/>
    <w:rsid w:val="04784101"/>
    <w:rsid w:val="05EC4752"/>
    <w:rsid w:val="06497B03"/>
    <w:rsid w:val="06A046EE"/>
    <w:rsid w:val="072639A0"/>
    <w:rsid w:val="072B545A"/>
    <w:rsid w:val="07352893"/>
    <w:rsid w:val="07CC09EB"/>
    <w:rsid w:val="082A120A"/>
    <w:rsid w:val="086504F8"/>
    <w:rsid w:val="0887011A"/>
    <w:rsid w:val="08A54F66"/>
    <w:rsid w:val="08EB0276"/>
    <w:rsid w:val="09524F20"/>
    <w:rsid w:val="09AD03A9"/>
    <w:rsid w:val="09B108DF"/>
    <w:rsid w:val="09C3197A"/>
    <w:rsid w:val="0A876E4C"/>
    <w:rsid w:val="0ABA2B73"/>
    <w:rsid w:val="0AC05EBA"/>
    <w:rsid w:val="0AEE54A4"/>
    <w:rsid w:val="0B7D3DAB"/>
    <w:rsid w:val="0BA01226"/>
    <w:rsid w:val="0C472ACF"/>
    <w:rsid w:val="0D197B03"/>
    <w:rsid w:val="0D352A6D"/>
    <w:rsid w:val="0DD70047"/>
    <w:rsid w:val="0DDD6D83"/>
    <w:rsid w:val="0EE2505A"/>
    <w:rsid w:val="0F152C78"/>
    <w:rsid w:val="0F547044"/>
    <w:rsid w:val="0F7A5300"/>
    <w:rsid w:val="0F7F4595"/>
    <w:rsid w:val="0FDA5EF9"/>
    <w:rsid w:val="100F5919"/>
    <w:rsid w:val="101F2E80"/>
    <w:rsid w:val="10BA4B7A"/>
    <w:rsid w:val="10C4159C"/>
    <w:rsid w:val="10E01064"/>
    <w:rsid w:val="10E63637"/>
    <w:rsid w:val="10EA1EE2"/>
    <w:rsid w:val="115B4B8E"/>
    <w:rsid w:val="1170063A"/>
    <w:rsid w:val="129E1F80"/>
    <w:rsid w:val="12D15108"/>
    <w:rsid w:val="134B2991"/>
    <w:rsid w:val="13581912"/>
    <w:rsid w:val="13D12EE6"/>
    <w:rsid w:val="14FC6DA4"/>
    <w:rsid w:val="15634011"/>
    <w:rsid w:val="158C17BA"/>
    <w:rsid w:val="15A1087C"/>
    <w:rsid w:val="15E45C7A"/>
    <w:rsid w:val="161D68B6"/>
    <w:rsid w:val="16421E79"/>
    <w:rsid w:val="17147FED"/>
    <w:rsid w:val="171C58D9"/>
    <w:rsid w:val="17285513"/>
    <w:rsid w:val="18C4126B"/>
    <w:rsid w:val="18D41D00"/>
    <w:rsid w:val="193D2A49"/>
    <w:rsid w:val="19A514AB"/>
    <w:rsid w:val="19B07C28"/>
    <w:rsid w:val="19D11E91"/>
    <w:rsid w:val="1A5A1E87"/>
    <w:rsid w:val="1AF75928"/>
    <w:rsid w:val="1B263D19"/>
    <w:rsid w:val="1B6F1962"/>
    <w:rsid w:val="1B701236"/>
    <w:rsid w:val="1BA610EE"/>
    <w:rsid w:val="1C5B3C94"/>
    <w:rsid w:val="1DB16262"/>
    <w:rsid w:val="1DED3012"/>
    <w:rsid w:val="1E1467F1"/>
    <w:rsid w:val="1EC17F5B"/>
    <w:rsid w:val="1EED2ABE"/>
    <w:rsid w:val="1EFF4DAB"/>
    <w:rsid w:val="1F63358C"/>
    <w:rsid w:val="1FD03C17"/>
    <w:rsid w:val="20174376"/>
    <w:rsid w:val="203E4F3F"/>
    <w:rsid w:val="2159216A"/>
    <w:rsid w:val="22DE32B2"/>
    <w:rsid w:val="22E10CA1"/>
    <w:rsid w:val="22FF35CB"/>
    <w:rsid w:val="231452A2"/>
    <w:rsid w:val="25AD37B3"/>
    <w:rsid w:val="2604539D"/>
    <w:rsid w:val="26051FFC"/>
    <w:rsid w:val="26094761"/>
    <w:rsid w:val="26104D80"/>
    <w:rsid w:val="26301CEE"/>
    <w:rsid w:val="26A80F07"/>
    <w:rsid w:val="26B23532"/>
    <w:rsid w:val="26E06332"/>
    <w:rsid w:val="28A86F9B"/>
    <w:rsid w:val="29143B49"/>
    <w:rsid w:val="291E6775"/>
    <w:rsid w:val="2A007C29"/>
    <w:rsid w:val="2A1F785D"/>
    <w:rsid w:val="2ACA70BC"/>
    <w:rsid w:val="2B073965"/>
    <w:rsid w:val="2B8F395A"/>
    <w:rsid w:val="2C572D9B"/>
    <w:rsid w:val="2CC17B44"/>
    <w:rsid w:val="2D145EC5"/>
    <w:rsid w:val="2E0757BB"/>
    <w:rsid w:val="2E3E65DD"/>
    <w:rsid w:val="2EB9568B"/>
    <w:rsid w:val="2FA200FA"/>
    <w:rsid w:val="2FAF3D45"/>
    <w:rsid w:val="2FEF26AC"/>
    <w:rsid w:val="301E0E9D"/>
    <w:rsid w:val="30CB76F6"/>
    <w:rsid w:val="3127037B"/>
    <w:rsid w:val="318C4BC4"/>
    <w:rsid w:val="31B410AC"/>
    <w:rsid w:val="321D3867"/>
    <w:rsid w:val="329B0E37"/>
    <w:rsid w:val="329B2BE5"/>
    <w:rsid w:val="32F95B0A"/>
    <w:rsid w:val="336E3329"/>
    <w:rsid w:val="33770F5C"/>
    <w:rsid w:val="33810A75"/>
    <w:rsid w:val="346A6D13"/>
    <w:rsid w:val="34943D90"/>
    <w:rsid w:val="349D106C"/>
    <w:rsid w:val="357F1A33"/>
    <w:rsid w:val="35E44BE1"/>
    <w:rsid w:val="369D6F2B"/>
    <w:rsid w:val="36C8679F"/>
    <w:rsid w:val="37070849"/>
    <w:rsid w:val="37411FAD"/>
    <w:rsid w:val="37582A72"/>
    <w:rsid w:val="37BA3B0D"/>
    <w:rsid w:val="37C256AF"/>
    <w:rsid w:val="38105C68"/>
    <w:rsid w:val="38D66AFF"/>
    <w:rsid w:val="38F44DFD"/>
    <w:rsid w:val="39080F47"/>
    <w:rsid w:val="391E33E4"/>
    <w:rsid w:val="398D3D6A"/>
    <w:rsid w:val="399A1E48"/>
    <w:rsid w:val="39F25C4E"/>
    <w:rsid w:val="3A085004"/>
    <w:rsid w:val="3AA82343"/>
    <w:rsid w:val="3AEF7F72"/>
    <w:rsid w:val="3AF37A62"/>
    <w:rsid w:val="3B143FF1"/>
    <w:rsid w:val="3B203B31"/>
    <w:rsid w:val="3B9A181B"/>
    <w:rsid w:val="3C1E0B0E"/>
    <w:rsid w:val="3C7E7FA3"/>
    <w:rsid w:val="3DFF49EC"/>
    <w:rsid w:val="3E5F37F1"/>
    <w:rsid w:val="3EAD1CD6"/>
    <w:rsid w:val="40237C35"/>
    <w:rsid w:val="409A272E"/>
    <w:rsid w:val="41313092"/>
    <w:rsid w:val="41513EDC"/>
    <w:rsid w:val="41E55C2A"/>
    <w:rsid w:val="41F320F5"/>
    <w:rsid w:val="41FB544E"/>
    <w:rsid w:val="42930A70"/>
    <w:rsid w:val="42A752DA"/>
    <w:rsid w:val="438569A9"/>
    <w:rsid w:val="440E76BA"/>
    <w:rsid w:val="446948F1"/>
    <w:rsid w:val="447C2876"/>
    <w:rsid w:val="44C44324"/>
    <w:rsid w:val="44E30791"/>
    <w:rsid w:val="44EB17AA"/>
    <w:rsid w:val="454B66FF"/>
    <w:rsid w:val="457A48DC"/>
    <w:rsid w:val="45D13B14"/>
    <w:rsid w:val="45E0412E"/>
    <w:rsid w:val="46026DAB"/>
    <w:rsid w:val="46205494"/>
    <w:rsid w:val="46843C64"/>
    <w:rsid w:val="47691236"/>
    <w:rsid w:val="47AC4676"/>
    <w:rsid w:val="47B916EB"/>
    <w:rsid w:val="47BD4361"/>
    <w:rsid w:val="47C847BD"/>
    <w:rsid w:val="47FD3CCE"/>
    <w:rsid w:val="4825637C"/>
    <w:rsid w:val="48750C81"/>
    <w:rsid w:val="487702BD"/>
    <w:rsid w:val="48E15588"/>
    <w:rsid w:val="48EC3C4A"/>
    <w:rsid w:val="49831044"/>
    <w:rsid w:val="4AA76173"/>
    <w:rsid w:val="4AB32D6A"/>
    <w:rsid w:val="4AF64A04"/>
    <w:rsid w:val="4B2903D3"/>
    <w:rsid w:val="4B320057"/>
    <w:rsid w:val="4B5A17FD"/>
    <w:rsid w:val="4BD6537C"/>
    <w:rsid w:val="4C7A0C09"/>
    <w:rsid w:val="4C8E0A7A"/>
    <w:rsid w:val="4CA961D2"/>
    <w:rsid w:val="4CFA58E4"/>
    <w:rsid w:val="4D3161C8"/>
    <w:rsid w:val="4E780FC3"/>
    <w:rsid w:val="4EB946C7"/>
    <w:rsid w:val="4ED60DD5"/>
    <w:rsid w:val="4EFB083B"/>
    <w:rsid w:val="4F64785F"/>
    <w:rsid w:val="4F9442B3"/>
    <w:rsid w:val="4FCD667C"/>
    <w:rsid w:val="4FD04A7C"/>
    <w:rsid w:val="501D58D1"/>
    <w:rsid w:val="515B3056"/>
    <w:rsid w:val="515C2381"/>
    <w:rsid w:val="51C07B1A"/>
    <w:rsid w:val="51C94C21"/>
    <w:rsid w:val="51D535C6"/>
    <w:rsid w:val="529671F9"/>
    <w:rsid w:val="52AF2069"/>
    <w:rsid w:val="52D63A99"/>
    <w:rsid w:val="53024A18"/>
    <w:rsid w:val="532A16EF"/>
    <w:rsid w:val="536F5BE2"/>
    <w:rsid w:val="539E0059"/>
    <w:rsid w:val="53CE4770"/>
    <w:rsid w:val="54817A35"/>
    <w:rsid w:val="54A454D1"/>
    <w:rsid w:val="54EF2BF0"/>
    <w:rsid w:val="551769E2"/>
    <w:rsid w:val="556C5FEF"/>
    <w:rsid w:val="557B06A5"/>
    <w:rsid w:val="563A7E9B"/>
    <w:rsid w:val="569107B7"/>
    <w:rsid w:val="571F6A41"/>
    <w:rsid w:val="573A0B50"/>
    <w:rsid w:val="57763155"/>
    <w:rsid w:val="586012E6"/>
    <w:rsid w:val="58982D68"/>
    <w:rsid w:val="58A837E2"/>
    <w:rsid w:val="58F80B9F"/>
    <w:rsid w:val="590B2334"/>
    <w:rsid w:val="59C36CBA"/>
    <w:rsid w:val="59F1552F"/>
    <w:rsid w:val="5A0031AA"/>
    <w:rsid w:val="5A013BC4"/>
    <w:rsid w:val="5A13112F"/>
    <w:rsid w:val="5A4F003A"/>
    <w:rsid w:val="5BC70EDD"/>
    <w:rsid w:val="5CDF179C"/>
    <w:rsid w:val="5CEF070C"/>
    <w:rsid w:val="5CF73483"/>
    <w:rsid w:val="5D3E4AC3"/>
    <w:rsid w:val="5D5201C0"/>
    <w:rsid w:val="5DD90C6C"/>
    <w:rsid w:val="5E323B4E"/>
    <w:rsid w:val="5EDD7C2F"/>
    <w:rsid w:val="5EE259C5"/>
    <w:rsid w:val="5F6C28C1"/>
    <w:rsid w:val="5FC058B5"/>
    <w:rsid w:val="603708DD"/>
    <w:rsid w:val="60964868"/>
    <w:rsid w:val="609E6B13"/>
    <w:rsid w:val="60A972A5"/>
    <w:rsid w:val="60B66CB8"/>
    <w:rsid w:val="62EF4BD2"/>
    <w:rsid w:val="632C14B3"/>
    <w:rsid w:val="635B58F5"/>
    <w:rsid w:val="63E87188"/>
    <w:rsid w:val="643A38E1"/>
    <w:rsid w:val="644A0D3B"/>
    <w:rsid w:val="64B57F8D"/>
    <w:rsid w:val="6532781A"/>
    <w:rsid w:val="65556AA0"/>
    <w:rsid w:val="65A74E21"/>
    <w:rsid w:val="65D73F7A"/>
    <w:rsid w:val="66CD7FD8"/>
    <w:rsid w:val="6727621A"/>
    <w:rsid w:val="67545239"/>
    <w:rsid w:val="67566AFF"/>
    <w:rsid w:val="67DE1659"/>
    <w:rsid w:val="681658E6"/>
    <w:rsid w:val="6876507C"/>
    <w:rsid w:val="68EE341D"/>
    <w:rsid w:val="690C3919"/>
    <w:rsid w:val="698433E2"/>
    <w:rsid w:val="69953551"/>
    <w:rsid w:val="69CF1E5C"/>
    <w:rsid w:val="69CF6807"/>
    <w:rsid w:val="69FF6FDA"/>
    <w:rsid w:val="6A0E36C1"/>
    <w:rsid w:val="6A8E65B0"/>
    <w:rsid w:val="6B225394"/>
    <w:rsid w:val="6B3B3E3F"/>
    <w:rsid w:val="6B826114"/>
    <w:rsid w:val="6C0C59DE"/>
    <w:rsid w:val="6C731F01"/>
    <w:rsid w:val="6CAC3E0C"/>
    <w:rsid w:val="6CBE13CE"/>
    <w:rsid w:val="6D195F0B"/>
    <w:rsid w:val="6D6A6E60"/>
    <w:rsid w:val="6DE94229"/>
    <w:rsid w:val="6E2635A3"/>
    <w:rsid w:val="6E3D1656"/>
    <w:rsid w:val="6E8D72AA"/>
    <w:rsid w:val="6E957F0D"/>
    <w:rsid w:val="6EF462C4"/>
    <w:rsid w:val="6F5778B8"/>
    <w:rsid w:val="6F854425"/>
    <w:rsid w:val="6F946416"/>
    <w:rsid w:val="6FBD713F"/>
    <w:rsid w:val="6FC3011A"/>
    <w:rsid w:val="700D4CF7"/>
    <w:rsid w:val="70F80C27"/>
    <w:rsid w:val="715414DE"/>
    <w:rsid w:val="729606F7"/>
    <w:rsid w:val="729745F5"/>
    <w:rsid w:val="72DD00D4"/>
    <w:rsid w:val="73466F84"/>
    <w:rsid w:val="73612AB3"/>
    <w:rsid w:val="738670B1"/>
    <w:rsid w:val="73912EE4"/>
    <w:rsid w:val="73DD4830"/>
    <w:rsid w:val="75630D65"/>
    <w:rsid w:val="76103849"/>
    <w:rsid w:val="765406AD"/>
    <w:rsid w:val="76571F4C"/>
    <w:rsid w:val="766507CE"/>
    <w:rsid w:val="76B4739E"/>
    <w:rsid w:val="76FF4ABD"/>
    <w:rsid w:val="772434F7"/>
    <w:rsid w:val="77C13BBC"/>
    <w:rsid w:val="78D9133E"/>
    <w:rsid w:val="79095095"/>
    <w:rsid w:val="793A6280"/>
    <w:rsid w:val="7A57071F"/>
    <w:rsid w:val="7A7E3F4B"/>
    <w:rsid w:val="7ADA773F"/>
    <w:rsid w:val="7B44085E"/>
    <w:rsid w:val="7C25519A"/>
    <w:rsid w:val="7C3E1BE4"/>
    <w:rsid w:val="7C507B69"/>
    <w:rsid w:val="7C7F5263"/>
    <w:rsid w:val="7D140B97"/>
    <w:rsid w:val="7D24000F"/>
    <w:rsid w:val="7D254A84"/>
    <w:rsid w:val="7D40500C"/>
    <w:rsid w:val="7D441C2B"/>
    <w:rsid w:val="7DA1304F"/>
    <w:rsid w:val="7E01111B"/>
    <w:rsid w:val="7E8607EA"/>
    <w:rsid w:val="7EF649F8"/>
    <w:rsid w:val="7F83196D"/>
    <w:rsid w:val="7F945FBF"/>
    <w:rsid w:val="7F985AAF"/>
    <w:rsid w:val="7FBF013E"/>
    <w:rsid w:val="7FF714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仿宋" w:hAnsi="仿宋" w:eastAsia="仿宋" w:cs="仿宋"/>
      <w:sz w:val="22"/>
      <w:szCs w:val="22"/>
      <w:lang w:val="zh-TW" w:eastAsia="zh-TW" w:bidi="zh-TW"/>
    </w:rPr>
  </w:style>
  <w:style w:type="paragraph" w:styleId="2">
    <w:name w:val="heading 1"/>
    <w:basedOn w:val="1"/>
    <w:next w:val="1"/>
    <w:link w:val="51"/>
    <w:qFormat/>
    <w:uiPriority w:val="9"/>
    <w:pPr>
      <w:numPr>
        <w:ilvl w:val="0"/>
        <w:numId w:val="1"/>
      </w:numPr>
      <w:spacing w:before="63"/>
      <w:outlineLvl w:val="0"/>
    </w:pPr>
    <w:rPr>
      <w:rFonts w:ascii="黑体" w:hAnsi="黑体" w:eastAsia="黑体" w:cs="黑体"/>
      <w:b/>
      <w:sz w:val="36"/>
      <w:szCs w:val="36"/>
    </w:rPr>
  </w:style>
  <w:style w:type="paragraph" w:styleId="3">
    <w:name w:val="heading 2"/>
    <w:basedOn w:val="1"/>
    <w:next w:val="1"/>
    <w:link w:val="40"/>
    <w:unhideWhenUsed/>
    <w:qFormat/>
    <w:uiPriority w:val="9"/>
    <w:pPr>
      <w:keepNext/>
      <w:keepLines/>
      <w:spacing w:before="260" w:line="360" w:lineRule="auto"/>
      <w:outlineLvl w:val="1"/>
    </w:pPr>
    <w:rPr>
      <w:rFonts w:asciiTheme="majorHAnsi" w:hAnsiTheme="majorHAnsi" w:eastAsiaTheme="majorEastAsia" w:cstheme="majorBidi"/>
      <w:bCs/>
      <w:sz w:val="32"/>
      <w:szCs w:val="32"/>
    </w:rPr>
  </w:style>
  <w:style w:type="paragraph" w:styleId="4">
    <w:name w:val="heading 3"/>
    <w:basedOn w:val="1"/>
    <w:next w:val="1"/>
    <w:link w:val="41"/>
    <w:unhideWhenUsed/>
    <w:qFormat/>
    <w:uiPriority w:val="9"/>
    <w:pPr>
      <w:keepNext/>
      <w:keepLines/>
      <w:numPr>
        <w:ilvl w:val="2"/>
        <w:numId w:val="1"/>
      </w:numPr>
      <w:spacing w:before="120" w:line="360" w:lineRule="auto"/>
      <w:outlineLvl w:val="2"/>
    </w:pPr>
    <w:rPr>
      <w:rFonts w:eastAsia="黑体"/>
      <w:b/>
      <w:bCs/>
      <w:sz w:val="28"/>
      <w:szCs w:val="32"/>
    </w:rPr>
  </w:style>
  <w:style w:type="paragraph" w:styleId="5">
    <w:name w:val="heading 4"/>
    <w:basedOn w:val="1"/>
    <w:next w:val="1"/>
    <w:link w:val="34"/>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2"/>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3"/>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4"/>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45"/>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6"/>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320"/>
    </w:pPr>
    <w:rPr>
      <w:rFonts w:asciiTheme="minorHAnsi" w:hAnsiTheme="minorHAnsi" w:cstheme="minorHAnsi"/>
      <w:sz w:val="18"/>
      <w:szCs w:val="18"/>
    </w:rPr>
  </w:style>
  <w:style w:type="paragraph" w:styleId="12">
    <w:name w:val="annotation text"/>
    <w:basedOn w:val="1"/>
    <w:link w:val="58"/>
    <w:semiHidden/>
    <w:unhideWhenUsed/>
    <w:qFormat/>
    <w:uiPriority w:val="99"/>
  </w:style>
  <w:style w:type="paragraph" w:styleId="13">
    <w:name w:val="Body Text"/>
    <w:basedOn w:val="1"/>
    <w:next w:val="1"/>
    <w:link w:val="49"/>
    <w:qFormat/>
    <w:uiPriority w:val="1"/>
    <w:pPr>
      <w:spacing w:before="50" w:beforeLines="50" w:line="312" w:lineRule="auto"/>
      <w:ind w:left="50" w:leftChars="50" w:right="50" w:rightChars="50" w:firstLine="200" w:firstLineChars="200"/>
      <w:jc w:val="both"/>
    </w:pPr>
    <w:rPr>
      <w:sz w:val="32"/>
      <w:szCs w:val="32"/>
    </w:rPr>
  </w:style>
  <w:style w:type="paragraph" w:styleId="14">
    <w:name w:val="toc 5"/>
    <w:basedOn w:val="1"/>
    <w:next w:val="1"/>
    <w:unhideWhenUsed/>
    <w:qFormat/>
    <w:uiPriority w:val="39"/>
    <w:pPr>
      <w:ind w:left="880"/>
    </w:pPr>
    <w:rPr>
      <w:rFonts w:asciiTheme="minorHAnsi" w:hAnsiTheme="minorHAnsi" w:cstheme="minorHAnsi"/>
      <w:sz w:val="18"/>
      <w:szCs w:val="18"/>
    </w:rPr>
  </w:style>
  <w:style w:type="paragraph" w:styleId="15">
    <w:name w:val="toc 3"/>
    <w:basedOn w:val="1"/>
    <w:next w:val="1"/>
    <w:unhideWhenUsed/>
    <w:qFormat/>
    <w:uiPriority w:val="39"/>
    <w:pPr>
      <w:ind w:left="440"/>
    </w:pPr>
    <w:rPr>
      <w:rFonts w:asciiTheme="minorHAnsi" w:hAnsiTheme="minorHAnsi" w:cstheme="minorHAnsi"/>
      <w:i/>
      <w:iCs/>
      <w:sz w:val="20"/>
      <w:szCs w:val="20"/>
    </w:rPr>
  </w:style>
  <w:style w:type="paragraph" w:styleId="16">
    <w:name w:val="toc 8"/>
    <w:basedOn w:val="1"/>
    <w:next w:val="1"/>
    <w:unhideWhenUsed/>
    <w:qFormat/>
    <w:uiPriority w:val="39"/>
    <w:pPr>
      <w:ind w:left="1540"/>
    </w:pPr>
    <w:rPr>
      <w:rFonts w:asciiTheme="minorHAnsi" w:hAnsiTheme="minorHAnsi" w:cstheme="minorHAnsi"/>
      <w:sz w:val="18"/>
      <w:szCs w:val="18"/>
    </w:rPr>
  </w:style>
  <w:style w:type="paragraph" w:styleId="17">
    <w:name w:val="footer"/>
    <w:basedOn w:val="1"/>
    <w:link w:val="39"/>
    <w:unhideWhenUsed/>
    <w:qFormat/>
    <w:uiPriority w:val="99"/>
    <w:pPr>
      <w:tabs>
        <w:tab w:val="center" w:pos="4153"/>
        <w:tab w:val="right" w:pos="8306"/>
      </w:tabs>
      <w:snapToGrid w:val="0"/>
    </w:pPr>
    <w:rPr>
      <w:sz w:val="18"/>
      <w:szCs w:val="18"/>
    </w:rPr>
  </w:style>
  <w:style w:type="paragraph" w:styleId="18">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pPr>
    <w:rPr>
      <w:rFonts w:asciiTheme="minorHAnsi" w:hAnsiTheme="minorHAnsi" w:cstheme="minorHAnsi"/>
      <w:b/>
      <w:bCs/>
      <w:caps/>
      <w:sz w:val="20"/>
      <w:szCs w:val="20"/>
    </w:rPr>
  </w:style>
  <w:style w:type="paragraph" w:styleId="20">
    <w:name w:val="toc 4"/>
    <w:basedOn w:val="1"/>
    <w:next w:val="1"/>
    <w:unhideWhenUsed/>
    <w:qFormat/>
    <w:uiPriority w:val="39"/>
    <w:pPr>
      <w:ind w:left="660"/>
    </w:pPr>
    <w:rPr>
      <w:rFonts w:asciiTheme="minorHAnsi" w:hAnsiTheme="minorHAnsi" w:cstheme="minorHAnsi"/>
      <w:sz w:val="18"/>
      <w:szCs w:val="18"/>
    </w:rPr>
  </w:style>
  <w:style w:type="paragraph" w:styleId="21">
    <w:name w:val="toc 6"/>
    <w:basedOn w:val="1"/>
    <w:next w:val="1"/>
    <w:unhideWhenUsed/>
    <w:qFormat/>
    <w:uiPriority w:val="39"/>
    <w:pPr>
      <w:ind w:left="1100"/>
    </w:pPr>
    <w:rPr>
      <w:rFonts w:asciiTheme="minorHAnsi" w:hAnsiTheme="minorHAnsi" w:cstheme="minorHAnsi"/>
      <w:sz w:val="18"/>
      <w:szCs w:val="18"/>
    </w:rPr>
  </w:style>
  <w:style w:type="paragraph" w:styleId="22">
    <w:name w:val="toc 2"/>
    <w:basedOn w:val="1"/>
    <w:next w:val="1"/>
    <w:qFormat/>
    <w:uiPriority w:val="39"/>
    <w:pPr>
      <w:ind w:left="220"/>
    </w:pPr>
    <w:rPr>
      <w:rFonts w:asciiTheme="minorHAnsi" w:hAnsiTheme="minorHAnsi" w:cstheme="minorHAnsi"/>
      <w:smallCaps/>
      <w:sz w:val="20"/>
      <w:szCs w:val="20"/>
    </w:rPr>
  </w:style>
  <w:style w:type="paragraph" w:styleId="23">
    <w:name w:val="toc 9"/>
    <w:basedOn w:val="1"/>
    <w:next w:val="1"/>
    <w:unhideWhenUsed/>
    <w:qFormat/>
    <w:uiPriority w:val="39"/>
    <w:pPr>
      <w:ind w:left="1760"/>
    </w:pPr>
    <w:rPr>
      <w:rFonts w:asciiTheme="minorHAnsi" w:hAnsiTheme="minorHAnsi" w:cstheme="minorHAnsi"/>
      <w:sz w:val="18"/>
      <w:szCs w:val="18"/>
    </w:rPr>
  </w:style>
  <w:style w:type="paragraph" w:styleId="24">
    <w:name w:val="Normal (Web)"/>
    <w:basedOn w:val="1"/>
    <w:semiHidden/>
    <w:unhideWhenUsed/>
    <w:qFormat/>
    <w:uiPriority w:val="99"/>
    <w:pPr>
      <w:spacing w:beforeAutospacing="1" w:afterAutospacing="1"/>
    </w:pPr>
    <w:rPr>
      <w:rFonts w:cs="Times New Roman"/>
      <w:sz w:val="24"/>
      <w:lang w:val="en-US" w:eastAsia="zh-CN" w:bidi="ar-SA"/>
    </w:rPr>
  </w:style>
  <w:style w:type="paragraph" w:styleId="25">
    <w:name w:val="Title"/>
    <w:basedOn w:val="1"/>
    <w:next w:val="1"/>
    <w:qFormat/>
    <w:uiPriority w:val="10"/>
    <w:pPr>
      <w:widowControl/>
      <w:spacing w:before="312" w:beforeLines="100" w:after="312" w:afterLines="100" w:line="560" w:lineRule="exact"/>
      <w:jc w:val="center"/>
    </w:pPr>
    <w:rPr>
      <w:rFonts w:ascii="华光大标宋_CNKI" w:hAnsi="华光大标宋_CNKI" w:eastAsia="方正小标宋_GBK"/>
      <w:sz w:val="36"/>
      <w:szCs w:val="40"/>
    </w:rPr>
  </w:style>
  <w:style w:type="paragraph" w:styleId="26">
    <w:name w:val="annotation subject"/>
    <w:basedOn w:val="12"/>
    <w:next w:val="12"/>
    <w:link w:val="59"/>
    <w:semiHidden/>
    <w:unhideWhenUsed/>
    <w:qFormat/>
    <w:uiPriority w:val="99"/>
    <w:rPr>
      <w:b/>
      <w:bCs/>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FollowedHyperlink"/>
    <w:basedOn w:val="29"/>
    <w:semiHidden/>
    <w:unhideWhenUsed/>
    <w:qFormat/>
    <w:uiPriority w:val="99"/>
    <w:rPr>
      <w:color w:val="800080" w:themeColor="followedHyperlink"/>
      <w:u w:val="single"/>
      <w14:textFill>
        <w14:solidFill>
          <w14:schemeClr w14:val="folHlink"/>
        </w14:solidFill>
      </w14:textFill>
    </w:rPr>
  </w:style>
  <w:style w:type="character" w:styleId="31">
    <w:name w:val="Hyperlink"/>
    <w:basedOn w:val="29"/>
    <w:unhideWhenUsed/>
    <w:qFormat/>
    <w:uiPriority w:val="99"/>
    <w:rPr>
      <w:color w:val="0000FF" w:themeColor="hyperlink"/>
      <w:u w:val="single"/>
      <w14:textFill>
        <w14:solidFill>
          <w14:schemeClr w14:val="hlink"/>
        </w14:solidFill>
      </w14:textFill>
    </w:rPr>
  </w:style>
  <w:style w:type="character" w:styleId="32">
    <w:name w:val="annotation reference"/>
    <w:basedOn w:val="29"/>
    <w:semiHidden/>
    <w:unhideWhenUsed/>
    <w:qFormat/>
    <w:uiPriority w:val="99"/>
    <w:rPr>
      <w:sz w:val="21"/>
      <w:szCs w:val="21"/>
    </w:rPr>
  </w:style>
  <w:style w:type="paragraph" w:customStyle="1" w:styleId="33">
    <w:name w:val="样式1"/>
    <w:basedOn w:val="4"/>
    <w:link w:val="48"/>
    <w:qFormat/>
    <w:uiPriority w:val="0"/>
    <w:pPr>
      <w:numPr>
        <w:ilvl w:val="0"/>
        <w:numId w:val="2"/>
      </w:numPr>
      <w:spacing w:line="312" w:lineRule="auto"/>
    </w:pPr>
  </w:style>
  <w:style w:type="character" w:customStyle="1" w:styleId="34">
    <w:name w:val="标题 4 字符"/>
    <w:basedOn w:val="29"/>
    <w:link w:val="5"/>
    <w:qFormat/>
    <w:uiPriority w:val="9"/>
    <w:rPr>
      <w:rFonts w:asciiTheme="majorHAnsi" w:hAnsiTheme="majorHAnsi" w:eastAsiaTheme="majorEastAsia" w:cstheme="majorBidi"/>
      <w:b/>
      <w:bCs/>
      <w:sz w:val="28"/>
      <w:szCs w:val="28"/>
      <w:lang w:val="zh-TW" w:eastAsia="zh-TW" w:bidi="zh-TW"/>
    </w:rPr>
  </w:style>
  <w:style w:type="paragraph" w:styleId="35">
    <w:name w:val="List Paragraph"/>
    <w:basedOn w:val="1"/>
    <w:qFormat/>
    <w:uiPriority w:val="34"/>
  </w:style>
  <w:style w:type="table" w:customStyle="1" w:styleId="36">
    <w:name w:val="Table Normal"/>
    <w:semiHidden/>
    <w:unhideWhenUsed/>
    <w:qFormat/>
    <w:uiPriority w:val="2"/>
    <w:tblPr>
      <w:tblCellMar>
        <w:top w:w="0" w:type="dxa"/>
        <w:left w:w="0" w:type="dxa"/>
        <w:bottom w:w="0" w:type="dxa"/>
        <w:right w:w="0" w:type="dxa"/>
      </w:tblCellMar>
    </w:tblPr>
  </w:style>
  <w:style w:type="paragraph" w:customStyle="1" w:styleId="37">
    <w:name w:val="Table Paragraph"/>
    <w:basedOn w:val="1"/>
    <w:qFormat/>
    <w:uiPriority w:val="1"/>
  </w:style>
  <w:style w:type="character" w:customStyle="1" w:styleId="38">
    <w:name w:val="页眉 字符"/>
    <w:basedOn w:val="29"/>
    <w:link w:val="18"/>
    <w:qFormat/>
    <w:uiPriority w:val="99"/>
    <w:rPr>
      <w:rFonts w:ascii="仿宋" w:hAnsi="仿宋" w:eastAsia="仿宋" w:cs="仿宋"/>
      <w:sz w:val="18"/>
      <w:szCs w:val="18"/>
      <w:lang w:val="zh-TW" w:eastAsia="zh-TW" w:bidi="zh-TW"/>
    </w:rPr>
  </w:style>
  <w:style w:type="character" w:customStyle="1" w:styleId="39">
    <w:name w:val="页脚 字符"/>
    <w:basedOn w:val="29"/>
    <w:link w:val="17"/>
    <w:qFormat/>
    <w:uiPriority w:val="99"/>
    <w:rPr>
      <w:rFonts w:ascii="仿宋" w:hAnsi="仿宋" w:eastAsia="仿宋" w:cs="仿宋"/>
      <w:sz w:val="18"/>
      <w:szCs w:val="18"/>
      <w:lang w:val="zh-TW" w:eastAsia="zh-TW" w:bidi="zh-TW"/>
    </w:rPr>
  </w:style>
  <w:style w:type="character" w:customStyle="1" w:styleId="40">
    <w:name w:val="标题 2 字符"/>
    <w:basedOn w:val="29"/>
    <w:link w:val="3"/>
    <w:qFormat/>
    <w:uiPriority w:val="9"/>
    <w:rPr>
      <w:rFonts w:asciiTheme="majorHAnsi" w:hAnsiTheme="majorHAnsi" w:eastAsiaTheme="majorEastAsia" w:cstheme="majorBidi"/>
      <w:b/>
      <w:bCs/>
      <w:sz w:val="32"/>
      <w:szCs w:val="32"/>
      <w:lang w:val="zh-TW" w:eastAsia="zh-TW" w:bidi="zh-TW"/>
    </w:rPr>
  </w:style>
  <w:style w:type="character" w:customStyle="1" w:styleId="41">
    <w:name w:val="标题 3 字符"/>
    <w:basedOn w:val="29"/>
    <w:link w:val="4"/>
    <w:qFormat/>
    <w:uiPriority w:val="9"/>
    <w:rPr>
      <w:rFonts w:ascii="仿宋" w:hAnsi="仿宋" w:eastAsia="黑体" w:cs="仿宋"/>
      <w:b/>
      <w:bCs/>
      <w:sz w:val="28"/>
      <w:szCs w:val="32"/>
      <w:lang w:val="zh-TW" w:eastAsia="zh-TW" w:bidi="zh-TW"/>
    </w:rPr>
  </w:style>
  <w:style w:type="character" w:customStyle="1" w:styleId="42">
    <w:name w:val="标题 5 字符"/>
    <w:basedOn w:val="29"/>
    <w:link w:val="6"/>
    <w:qFormat/>
    <w:uiPriority w:val="9"/>
    <w:rPr>
      <w:rFonts w:ascii="仿宋" w:hAnsi="仿宋" w:eastAsia="仿宋" w:cs="仿宋"/>
      <w:b/>
      <w:bCs/>
      <w:sz w:val="28"/>
      <w:szCs w:val="28"/>
      <w:lang w:val="zh-TW" w:eastAsia="zh-TW" w:bidi="zh-TW"/>
    </w:rPr>
  </w:style>
  <w:style w:type="character" w:customStyle="1" w:styleId="43">
    <w:name w:val="标题 6 字符"/>
    <w:basedOn w:val="29"/>
    <w:link w:val="7"/>
    <w:semiHidden/>
    <w:qFormat/>
    <w:uiPriority w:val="9"/>
    <w:rPr>
      <w:rFonts w:asciiTheme="majorHAnsi" w:hAnsiTheme="majorHAnsi" w:eastAsiaTheme="majorEastAsia" w:cstheme="majorBidi"/>
      <w:b/>
      <w:bCs/>
      <w:sz w:val="24"/>
      <w:szCs w:val="24"/>
      <w:lang w:val="zh-TW" w:eastAsia="zh-TW" w:bidi="zh-TW"/>
    </w:rPr>
  </w:style>
  <w:style w:type="character" w:customStyle="1" w:styleId="44">
    <w:name w:val="标题 7 字符"/>
    <w:basedOn w:val="29"/>
    <w:link w:val="8"/>
    <w:semiHidden/>
    <w:qFormat/>
    <w:uiPriority w:val="9"/>
    <w:rPr>
      <w:rFonts w:ascii="仿宋" w:hAnsi="仿宋" w:eastAsia="仿宋" w:cs="仿宋"/>
      <w:b/>
      <w:bCs/>
      <w:sz w:val="24"/>
      <w:szCs w:val="24"/>
      <w:lang w:val="zh-TW" w:eastAsia="zh-TW" w:bidi="zh-TW"/>
    </w:rPr>
  </w:style>
  <w:style w:type="character" w:customStyle="1" w:styleId="45">
    <w:name w:val="标题 8 字符"/>
    <w:basedOn w:val="29"/>
    <w:link w:val="9"/>
    <w:semiHidden/>
    <w:qFormat/>
    <w:uiPriority w:val="9"/>
    <w:rPr>
      <w:rFonts w:asciiTheme="majorHAnsi" w:hAnsiTheme="majorHAnsi" w:eastAsiaTheme="majorEastAsia" w:cstheme="majorBidi"/>
      <w:sz w:val="24"/>
      <w:szCs w:val="24"/>
      <w:lang w:val="zh-TW" w:eastAsia="zh-TW" w:bidi="zh-TW"/>
    </w:rPr>
  </w:style>
  <w:style w:type="character" w:customStyle="1" w:styleId="46">
    <w:name w:val="标题 9 字符"/>
    <w:basedOn w:val="29"/>
    <w:link w:val="10"/>
    <w:semiHidden/>
    <w:qFormat/>
    <w:uiPriority w:val="9"/>
    <w:rPr>
      <w:rFonts w:asciiTheme="majorHAnsi" w:hAnsiTheme="majorHAnsi" w:eastAsiaTheme="majorEastAsia" w:cstheme="majorBidi"/>
      <w:sz w:val="21"/>
      <w:szCs w:val="21"/>
      <w:lang w:val="zh-TW" w:eastAsia="zh-TW" w:bidi="zh-TW"/>
    </w:rPr>
  </w:style>
  <w:style w:type="paragraph" w:customStyle="1" w:styleId="47">
    <w:name w:val="样式2"/>
    <w:basedOn w:val="4"/>
    <w:link w:val="50"/>
    <w:qFormat/>
    <w:uiPriority w:val="0"/>
    <w:pPr>
      <w:numPr>
        <w:ilvl w:val="0"/>
        <w:numId w:val="3"/>
      </w:numPr>
    </w:pPr>
  </w:style>
  <w:style w:type="character" w:customStyle="1" w:styleId="48">
    <w:name w:val="样式1 字符"/>
    <w:basedOn w:val="41"/>
    <w:link w:val="33"/>
    <w:qFormat/>
    <w:uiPriority w:val="0"/>
    <w:rPr>
      <w:rFonts w:ascii="仿宋" w:hAnsi="仿宋" w:eastAsia="黑体" w:cs="仿宋"/>
      <w:sz w:val="28"/>
      <w:szCs w:val="32"/>
      <w:lang w:val="zh-TW" w:eastAsia="zh-TW" w:bidi="zh-TW"/>
    </w:rPr>
  </w:style>
  <w:style w:type="character" w:customStyle="1" w:styleId="49">
    <w:name w:val="正文文本 字符"/>
    <w:basedOn w:val="29"/>
    <w:link w:val="13"/>
    <w:qFormat/>
    <w:uiPriority w:val="99"/>
    <w:rPr>
      <w:rFonts w:ascii="仿宋" w:hAnsi="仿宋" w:eastAsia="仿宋" w:cs="仿宋"/>
      <w:sz w:val="32"/>
      <w:szCs w:val="32"/>
      <w:lang w:val="zh-TW" w:eastAsia="zh-TW" w:bidi="zh-TW"/>
    </w:rPr>
  </w:style>
  <w:style w:type="character" w:customStyle="1" w:styleId="50">
    <w:name w:val="样式2 字符"/>
    <w:basedOn w:val="41"/>
    <w:link w:val="47"/>
    <w:qFormat/>
    <w:uiPriority w:val="0"/>
    <w:rPr>
      <w:rFonts w:ascii="仿宋" w:hAnsi="仿宋" w:eastAsia="黑体" w:cs="仿宋"/>
      <w:sz w:val="28"/>
      <w:szCs w:val="32"/>
      <w:lang w:val="zh-TW" w:eastAsia="zh-TW" w:bidi="zh-TW"/>
    </w:rPr>
  </w:style>
  <w:style w:type="character" w:customStyle="1" w:styleId="51">
    <w:name w:val="标题 1 字符"/>
    <w:basedOn w:val="29"/>
    <w:link w:val="2"/>
    <w:qFormat/>
    <w:uiPriority w:val="9"/>
    <w:rPr>
      <w:rFonts w:ascii="黑体" w:hAnsi="黑体" w:eastAsia="黑体" w:cs="黑体"/>
      <w:b/>
      <w:sz w:val="36"/>
      <w:szCs w:val="36"/>
      <w:lang w:val="zh-TW" w:eastAsia="zh-TW" w:bidi="zh-TW"/>
    </w:rPr>
  </w:style>
  <w:style w:type="paragraph" w:customStyle="1" w:styleId="52">
    <w:name w:val="专栏标题"/>
    <w:basedOn w:val="1"/>
    <w:link w:val="54"/>
    <w:qFormat/>
    <w:uiPriority w:val="0"/>
    <w:pPr>
      <w:autoSpaceDE/>
      <w:autoSpaceDN/>
      <w:spacing w:before="48" w:after="20" w:afterLines="20"/>
      <w:jc w:val="center"/>
    </w:pPr>
    <w:rPr>
      <w:rFonts w:ascii="Times New Roman" w:hAnsi="Times New Roman" w:eastAsia="黑体" w:cs="Times New Roman"/>
      <w:bCs/>
      <w:sz w:val="30"/>
      <w:szCs w:val="28"/>
      <w:lang w:val="en-US" w:eastAsia="zh-CN" w:bidi="ar-SA"/>
    </w:rPr>
  </w:style>
  <w:style w:type="paragraph" w:customStyle="1" w:styleId="53">
    <w:name w:val="专栏正文"/>
    <w:basedOn w:val="1"/>
    <w:link w:val="55"/>
    <w:qFormat/>
    <w:uiPriority w:val="0"/>
    <w:pPr>
      <w:autoSpaceDE/>
      <w:autoSpaceDN/>
      <w:adjustRightInd w:val="0"/>
      <w:snapToGrid w:val="0"/>
      <w:spacing w:before="48" w:line="500" w:lineRule="exact"/>
      <w:ind w:firstLine="200" w:firstLineChars="200"/>
      <w:jc w:val="both"/>
    </w:pPr>
    <w:rPr>
      <w:rFonts w:ascii="Times New Roman" w:hAnsi="Times New Roman" w:eastAsia="仿宋_GB2312" w:cs="Times New Roman"/>
      <w:sz w:val="24"/>
      <w:szCs w:val="28"/>
      <w:lang w:val="en-US" w:eastAsia="zh-CN" w:bidi="ar-SA"/>
    </w:rPr>
  </w:style>
  <w:style w:type="character" w:customStyle="1" w:styleId="54">
    <w:name w:val="专栏标题 字符"/>
    <w:basedOn w:val="29"/>
    <w:link w:val="52"/>
    <w:qFormat/>
    <w:uiPriority w:val="0"/>
    <w:rPr>
      <w:rFonts w:ascii="Times New Roman" w:hAnsi="Times New Roman" w:eastAsia="黑体" w:cs="Times New Roman"/>
      <w:bCs/>
      <w:sz w:val="30"/>
      <w:szCs w:val="28"/>
      <w:lang w:eastAsia="zh-CN"/>
    </w:rPr>
  </w:style>
  <w:style w:type="character" w:customStyle="1" w:styleId="55">
    <w:name w:val="专栏正文 字符"/>
    <w:basedOn w:val="29"/>
    <w:link w:val="53"/>
    <w:qFormat/>
    <w:uiPriority w:val="0"/>
    <w:rPr>
      <w:rFonts w:ascii="Times New Roman" w:hAnsi="Times New Roman" w:eastAsia="仿宋_GB2312" w:cs="Times New Roman"/>
      <w:sz w:val="24"/>
      <w:szCs w:val="28"/>
      <w:lang w:eastAsia="zh-CN"/>
    </w:rPr>
  </w:style>
  <w:style w:type="character" w:customStyle="1" w:styleId="56">
    <w:name w:val="font21"/>
    <w:basedOn w:val="29"/>
    <w:qFormat/>
    <w:uiPriority w:val="0"/>
    <w:rPr>
      <w:rFonts w:hint="eastAsia" w:ascii="宋体" w:hAnsi="宋体" w:eastAsia="宋体"/>
      <w:color w:val="000000"/>
      <w:sz w:val="21"/>
      <w:szCs w:val="21"/>
      <w:u w:val="none"/>
    </w:rPr>
  </w:style>
  <w:style w:type="character" w:customStyle="1" w:styleId="57">
    <w:name w:val="font11"/>
    <w:basedOn w:val="29"/>
    <w:qFormat/>
    <w:uiPriority w:val="0"/>
    <w:rPr>
      <w:rFonts w:hint="default" w:ascii="Times New Roman" w:hAnsi="Times New Roman" w:cs="Times New Roman"/>
      <w:color w:val="000000"/>
      <w:sz w:val="21"/>
      <w:szCs w:val="21"/>
      <w:u w:val="none"/>
    </w:rPr>
  </w:style>
  <w:style w:type="character" w:customStyle="1" w:styleId="58">
    <w:name w:val="批注文字 字符"/>
    <w:basedOn w:val="29"/>
    <w:link w:val="12"/>
    <w:semiHidden/>
    <w:qFormat/>
    <w:uiPriority w:val="99"/>
    <w:rPr>
      <w:rFonts w:ascii="仿宋" w:hAnsi="仿宋" w:eastAsia="仿宋" w:cs="仿宋"/>
      <w:sz w:val="22"/>
      <w:szCs w:val="22"/>
      <w:lang w:val="zh-TW" w:eastAsia="zh-TW" w:bidi="zh-TW"/>
    </w:rPr>
  </w:style>
  <w:style w:type="character" w:customStyle="1" w:styleId="59">
    <w:name w:val="批注主题 字符"/>
    <w:basedOn w:val="58"/>
    <w:link w:val="26"/>
    <w:semiHidden/>
    <w:qFormat/>
    <w:uiPriority w:val="99"/>
    <w:rPr>
      <w:rFonts w:ascii="仿宋" w:hAnsi="仿宋" w:eastAsia="仿宋" w:cs="仿宋"/>
      <w:b/>
      <w:bCs/>
      <w:sz w:val="22"/>
      <w:szCs w:val="22"/>
      <w:lang w:val="zh-TW" w:eastAsia="zh-TW" w:bidi="zh-TW"/>
    </w:rPr>
  </w:style>
  <w:style w:type="character" w:customStyle="1" w:styleId="60">
    <w:name w:val="专栏正文 Char"/>
    <w:qFormat/>
    <w:uiPriority w:val="0"/>
    <w:rPr>
      <w:rFonts w:ascii="方正仿宋_GB2312" w:hAnsi="方正仿宋_GB2312" w:eastAsia="方正仿宋_GB2312" w:cs="方正仿宋_GB2312"/>
      <w:kern w:val="2"/>
      <w:sz w:val="28"/>
      <w:szCs w:val="32"/>
    </w:rPr>
  </w:style>
  <w:style w:type="paragraph" w:customStyle="1" w:styleId="61">
    <w:name w:val="专栏"/>
    <w:qFormat/>
    <w:uiPriority w:val="0"/>
    <w:pPr>
      <w:autoSpaceDE w:val="0"/>
      <w:autoSpaceDN w:val="0"/>
      <w:ind w:firstLine="560"/>
    </w:pPr>
    <w:rPr>
      <w:rFonts w:ascii="Times New Roman" w:hAnsi="Times New Roman" w:eastAsia="仿宋_GB2312" w:cs="仿宋"/>
      <w:sz w:val="24"/>
      <w:szCs w:val="22"/>
      <w:lang w:val="zh-TW" w:eastAsia="zh-TW" w:bidi="zh-TW"/>
    </w:rPr>
  </w:style>
  <w:style w:type="paragraph" w:customStyle="1" w:styleId="62">
    <w:name w:val="乐山-正文 Char"/>
    <w:basedOn w:val="1"/>
    <w:next w:val="1"/>
    <w:qFormat/>
    <w:uiPriority w:val="0"/>
    <w:pPr>
      <w:spacing w:line="440" w:lineRule="exact"/>
      <w:ind w:firstLine="200" w:firstLineChars="200"/>
    </w:pPr>
    <w:rPr>
      <w:rFonts w:ascii="Arial" w:hAnsi="Arial" w:eastAsia="华文细黑" w:cs="宋体"/>
      <w:szCs w:val="20"/>
    </w:rPr>
  </w:style>
  <w:style w:type="paragraph" w:customStyle="1" w:styleId="63">
    <w:name w:val="00"/>
    <w:basedOn w:val="1"/>
    <w:autoRedefine/>
    <w:qFormat/>
    <w:uiPriority w:val="0"/>
    <w:pPr>
      <w:autoSpaceDE w:val="0"/>
      <w:autoSpaceDN w:val="0"/>
      <w:spacing w:line="360" w:lineRule="auto"/>
      <w:ind w:firstLine="600" w:firstLineChars="200"/>
    </w:pPr>
    <w:rPr>
      <w:rFonts w:ascii="Times New Roman" w:hAnsi="Times New Roman" w:eastAsia="仿宋" w:cs="等线"/>
      <w:sz w:val="28"/>
      <w:szCs w:val="30"/>
    </w:rPr>
  </w:style>
  <w:style w:type="character" w:customStyle="1" w:styleId="64">
    <w:name w:val="font31"/>
    <w:basedOn w:val="29"/>
    <w:qFormat/>
    <w:uiPriority w:val="0"/>
    <w:rPr>
      <w:rFonts w:hint="default" w:ascii="Times New Roman" w:hAnsi="Times New Roman" w:cs="Times New Roman"/>
      <w:color w:val="000000"/>
      <w:sz w:val="21"/>
      <w:szCs w:val="21"/>
      <w:u w:val="none"/>
    </w:rPr>
  </w:style>
  <w:style w:type="paragraph" w:customStyle="1" w:styleId="65">
    <w:name w:val="Table Text"/>
    <w:basedOn w:val="1"/>
    <w:semiHidden/>
    <w:qFormat/>
    <w:uiPriority w:val="0"/>
    <w:rPr>
      <w:rFonts w:ascii="仿宋_GB2312" w:hAnsi="仿宋_GB2312" w:eastAsia="仿宋_GB2312" w:cs="仿宋_GB2312"/>
      <w:sz w:val="24"/>
      <w:szCs w:val="24"/>
      <w:lang w:val="en-US" w:eastAsia="en-US" w:bidi="ar-SA"/>
    </w:rPr>
  </w:style>
  <w:style w:type="paragraph" w:customStyle="1" w:styleId="66">
    <w:name w:val="0-专栏"/>
    <w:basedOn w:val="1"/>
    <w:qFormat/>
    <w:uiPriority w:val="0"/>
    <w:pPr>
      <w:ind w:firstLine="562"/>
    </w:pPr>
    <w:rPr>
      <w:b/>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contractReview xmlns="http://schemas.wps.cn/vas-ai-hub/contract-review">
  <reviewItems>
    <reviewItem>
      <errorID>4d63b7af-aef1-4f40-88cb-800818e1bb14</errorID>
      <errorWord>管制</errorWord>
      <group>L1_Word</group>
      <groupName>字词问题</groupName>
      <ability>L2_Typo</ability>
      <abilityName>字词错误</abilityName>
      <candidateList>
        <item>管治</item>
      </candidateList>
      <explain/>
      <paraID>64E4ABBD</paraID>
      <start>70</start>
      <end>72</end>
      <status>unmodified</status>
      <modifiedWord/>
      <trackRevisions>false</trackRevisions>
    </reviewItem>
    <reviewItem>
      <errorID>50c23b62-2410-4427-9853-75977e70a05a</errorID>
      <errorWord>耕地防护</errorWord>
      <group>L1_Knowledge</group>
      <groupName>知识性问题</groupName>
      <ability>L2_Term</ability>
      <abilityName>专业术语</abilityName>
      <candidateList>
        <item>耕地保护</item>
      </candidateList>
      <explain/>
      <paraID>57B21106</paraID>
      <start>23</start>
      <end>27</end>
      <status>unmodified</status>
      <modifiedWord/>
      <trackRevisions>false</trackRevisions>
    </reviewItem>
    <reviewItem>
      <errorID>f9616559-b5cb-4e5b-aaa5-cd278c9a84da</errorID>
      <errorWord>耕地地力保持</errorWord>
      <group>L1_Knowledge</group>
      <groupName>知识性问题</groupName>
      <ability>L2_Knowledge</ability>
      <abilityName>其他知识</abilityName>
      <candidateList>
        <item>耕地地力保护</item>
      </candidateList>
      <explain/>
      <paraID>3A346209</paraID>
      <start>92</start>
      <end>98</end>
      <status>modified</status>
      <modifiedWord>耕地地力保护</modifiedWord>
      <trackRevisions>false</trackRevisions>
    </reviewItem>
    <reviewItem>
      <errorID>d8006d3b-d4f0-4168-a5b9-3627ced7c404</errorID>
      <errorWord>必须且</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55657873</paraID>
      <start>47</start>
      <end>50</end>
      <status>unmodified</status>
      <modifiedWord/>
      <trackRevisions>false</trackRevisions>
    </reviewItem>
    <reviewItem>
      <errorID>3ef8c1fc-c0e7-499e-b8ae-1047e4e866e5</errorID>
      <errorWord>乡村一二三产业融合</errorWord>
      <group>L1_Word</group>
      <groupName>字词问题</groupName>
      <ability>L2_Typo</ability>
      <abilityName>字词错误</abilityName>
      <candidateList>
        <item>农村一二三产业融合</item>
      </candidateList>
      <explain/>
      <paraID>7C517D88</paraID>
      <start>2</start>
      <end>11</end>
      <status>unmodified</status>
      <modifiedWord/>
      <trackRevisions>false</trackRevisions>
    </reviewItem>
    <reviewItem>
      <errorID>5098e94f-c682-48fd-813f-55d905503755</errorID>
      <errorWord>“</errorWord>
      <group>L1_Punc</group>
      <groupName>标点问题</groupName>
      <ability>L2_Punc</ability>
      <abilityName>标点符号检查</abilityName>
      <candidateList/>
      <explain/>
      <paraID>733104A0</paraID>
      <start>43</start>
      <end>44</end>
      <status>unmodified</status>
      <modifiedWord/>
      <trackRevisions>false</trackRevisions>
    </reviewItem>
    <reviewItem>
      <errorID>7ca443c9-9764-46b5-984b-8c604a786ca6</errorID>
      <errorWord>，</errorWord>
      <group>L1_Word</group>
      <groupName>字词问题</groupName>
      <ability>L2_Typo</ability>
      <abilityName>字词错误</abilityName>
      <candidateList>
        <item>，以</item>
      </candidateList>
      <explain/>
      <paraID> 79F43C2</paraID>
      <start>50</start>
      <end>51</end>
      <status>unmodified</status>
      <modifiedWord/>
      <trackRevisions>false</trackRevisions>
    </reviewItem>
    <reviewItem>
      <errorID>26866116-465f-469b-91af-2445a641a2db</errorID>
      <errorWord>建筑外墙面</errorWord>
      <group>L1_Knowledge</group>
      <groupName>知识性问题</groupName>
      <ability>L2_Term</ability>
      <abilityName>专业术语</abilityName>
      <candidateList>
        <item>建筑外立面</item>
      </candidateList>
      <explain/>
      <paraID>2D4E4872</paraID>
      <start>97</start>
      <end>102</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4676df-5619-4df4-8a2e-535bf21777a8}">
  <ds:schemaRefs/>
</ds:datastoreItem>
</file>

<file path=customXml/itemProps3.xml><?xml version="1.0" encoding="utf-8"?>
<ds:datastoreItem xmlns:ds="http://schemas.openxmlformats.org/officeDocument/2006/customXml" ds:itemID="{90836915-A3B0-4DD5-B54D-078305C85CB1}">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1223</Words>
  <Characters>1309</Characters>
  <Lines>1925</Lines>
  <Paragraphs>2048</Paragraphs>
  <TotalTime>10</TotalTime>
  <ScaleCrop>false</ScaleCrop>
  <LinksUpToDate>false</LinksUpToDate>
  <CharactersWithSpaces>1481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2024-12-07T15:58:00Z</dcterms:created>
  <dc:creator>ZYP</dc:creator>
  <cp:lastModifiedBy>风息林谷</cp:lastModifiedBy>
  <cp:lastPrinted>2025-10-29T08:21:00Z</cp:lastPrinted>
  <dcterms:modified xsi:type="dcterms:W3CDTF">2025-12-12T06:54:06Z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2023-08-01T00:00:00Z</vt:filetime>
  </property>
  <property fmtid="{D5CDD505-2E9C-101B-9397-08002B2CF9AE}" pid="3" name="Creator">
    <vt:lpwstr>Microsoft® Word 2021</vt:lpwstr>
  </property>
  <property fmtid="{D5CDD505-2E9C-101B-9397-08002B2CF9AE}" pid="4" name="LastSaved">
    <vt:filetime>2023-08-07T00:00:00Z</vt:filetime>
  </property>
  <property fmtid="{D5CDD505-2E9C-101B-9397-08002B2CF9AE}" pid="5" name="KSOProductBuildVer">
    <vt:lpwstr>2052-12.1.0.24034</vt:lpwstr>
  </property>
  <property fmtid="{D5CDD505-2E9C-101B-9397-08002B2CF9AE}" pid="6" name="ICV">
    <vt:lpwstr>6D87CA4E489E460DBFA2FC494FD2CEDC_13</vt:lpwstr>
  </property>
  <property fmtid="{D5CDD505-2E9C-101B-9397-08002B2CF9AE}" pid="7" name="KSOTemplateDocerSaveRecord">
    <vt:lpwstr>eyJoZGlkIjoiM2U5YTk2Y2M1N2I1OGEwMjc0OWVhOTQzMzM5MTM1YzIiLCJ1c2VySWQiOiIzNDQ4NTc1MjEifQ==</vt:lpwstr>
  </property>
</Properties>
</file>