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D9821">
      <w:pPr>
        <w:pStyle w:val="13"/>
        <w:spacing w:before="120"/>
        <w:ind w:left="0" w:leftChars="0" w:right="110" w:firstLine="426" w:firstLineChars="213"/>
        <w:rPr>
          <w:rFonts w:ascii="Times New Roman"/>
          <w:color w:val="auto"/>
          <w:sz w:val="20"/>
        </w:rPr>
      </w:pPr>
      <w:r>
        <w:rPr>
          <w:rFonts w:ascii="Times New Roman"/>
          <w:color w:val="auto"/>
          <w:sz w:val="20"/>
          <w:lang w:val="en-US" w:eastAsia="zh-CN" w:bidi="ar-SA"/>
        </w:rPr>
        <w:drawing>
          <wp:inline distT="0" distB="0" distL="0" distR="0">
            <wp:extent cx="354965" cy="156337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8" cstate="print"/>
                    <a:stretch>
                      <a:fillRect/>
                    </a:stretch>
                  </pic:blipFill>
                  <pic:spPr>
                    <a:xfrm>
                      <a:off x="0" y="0"/>
                      <a:ext cx="355231" cy="1563624"/>
                    </a:xfrm>
                    <a:prstGeom prst="rect">
                      <a:avLst/>
                    </a:prstGeom>
                  </pic:spPr>
                </pic:pic>
              </a:graphicData>
            </a:graphic>
          </wp:inline>
        </w:drawing>
      </w:r>
    </w:p>
    <w:p w14:paraId="02F20987">
      <w:pPr>
        <w:spacing w:before="12"/>
        <w:ind w:right="297"/>
        <w:jc w:val="center"/>
        <w:rPr>
          <w:rFonts w:hint="eastAsia" w:ascii="方正小标宋_GBK" w:hAnsi="方正小标宋_GBK" w:eastAsia="方正小标宋_GBK"/>
          <w:b/>
          <w:sz w:val="50"/>
          <w:lang w:val="en-US" w:eastAsia="zh-CN"/>
        </w:rPr>
      </w:pPr>
      <w:r>
        <w:rPr>
          <w:rFonts w:hint="eastAsia" w:ascii="方正小标宋_GBK" w:hAnsi="方正小标宋_GBK" w:eastAsia="方正小标宋_GBK"/>
          <w:b/>
          <w:sz w:val="50"/>
          <w:lang w:val="en-US" w:eastAsia="zh-CN"/>
        </w:rPr>
        <w:t>宿州市萧县青龙集镇国土空间总体规划</w:t>
      </w:r>
    </w:p>
    <w:p w14:paraId="1A6423DC">
      <w:pPr>
        <w:spacing w:before="66"/>
        <w:ind w:right="297" w:firstLine="468" w:firstLineChars="213"/>
        <w:jc w:val="center"/>
        <w:rPr>
          <w:rFonts w:ascii="方正小标宋_GBK" w:hAnsi="方正小标宋_GBK" w:eastAsia="方正小标宋_GBK"/>
          <w:b/>
          <w:color w:val="auto"/>
          <w:sz w:val="50"/>
        </w:rPr>
      </w:pPr>
      <w:r>
        <w:rPr>
          <w:rFonts w:ascii="方正小标宋_GBK" w:hAnsi="方正小标宋_GBK" w:eastAsia="方正小标宋_GBK"/>
          <w:color w:val="auto"/>
          <w:lang w:val="en-US" w:eastAsia="zh-CN" w:bidi="ar-SA"/>
        </w:rPr>
        <w:drawing>
          <wp:anchor distT="0" distB="0" distL="0" distR="0" simplePos="0" relativeHeight="251659264" behindDoc="1" locked="0" layoutInCell="1" allowOverlap="1">
            <wp:simplePos x="0" y="0"/>
            <wp:positionH relativeFrom="page">
              <wp:posOffset>5036820</wp:posOffset>
            </wp:positionH>
            <wp:positionV relativeFrom="paragraph">
              <wp:posOffset>225425</wp:posOffset>
            </wp:positionV>
            <wp:extent cx="356870" cy="39497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9" cstate="print"/>
                    <a:stretch>
                      <a:fillRect/>
                    </a:stretch>
                  </pic:blipFill>
                  <pic:spPr>
                    <a:xfrm>
                      <a:off x="0" y="0"/>
                      <a:ext cx="356615" cy="394716"/>
                    </a:xfrm>
                    <a:prstGeom prst="rect">
                      <a:avLst/>
                    </a:prstGeom>
                  </pic:spPr>
                </pic:pic>
              </a:graphicData>
            </a:graphic>
          </wp:anchor>
        </w:drawing>
      </w:r>
      <w:r>
        <w:rPr>
          <w:rFonts w:hint="eastAsia" w:ascii="方正小标宋_GBK" w:hAnsi="方正小标宋_GBK" w:eastAsia="方正小标宋_GBK"/>
          <w:b/>
          <w:color w:val="auto"/>
          <w:sz w:val="50"/>
        </w:rPr>
        <w:t>（2021-2035年）</w:t>
      </w:r>
    </w:p>
    <w:p w14:paraId="0EC08206">
      <w:pPr>
        <w:spacing w:line="734" w:lineRule="exact"/>
        <w:ind w:right="297"/>
        <w:jc w:val="center"/>
        <w:rPr>
          <w:rFonts w:ascii="方正小标宋_GBK" w:hAnsi="方正小标宋_GBK" w:eastAsia="PMingLiU-ExtB"/>
          <w:b/>
          <w:color w:val="auto"/>
          <w:sz w:val="36"/>
          <w:szCs w:val="36"/>
          <w:lang w:eastAsia="zh-CN"/>
        </w:rPr>
      </w:pPr>
      <w:r>
        <w:rPr>
          <w:rFonts w:hint="eastAsia" w:ascii="方正小标宋_GBK" w:hAnsi="方正小标宋_GBK" w:eastAsia="方正小标宋_GBK"/>
          <w:b/>
          <w:color w:val="auto"/>
          <w:sz w:val="36"/>
          <w:szCs w:val="36"/>
        </w:rPr>
        <w:t>文 本</w:t>
      </w:r>
      <w:r>
        <w:rPr>
          <w:rFonts w:hint="eastAsia" w:ascii="方正小标宋_GBK" w:hAnsi="方正小标宋_GBK" w:eastAsia="方正小标宋_GBK"/>
          <w:b/>
          <w:color w:val="auto"/>
          <w:sz w:val="36"/>
          <w:szCs w:val="36"/>
          <w:lang w:eastAsia="zh-CN"/>
        </w:rPr>
        <w:t xml:space="preserve"> </w:t>
      </w:r>
      <w:r>
        <w:rPr>
          <w:rFonts w:hint="eastAsia" w:ascii="方正小标宋_GBK" w:hAnsi="方正小标宋_GBK" w:eastAsia="方正小标宋_GBK"/>
          <w:b/>
          <w:color w:val="auto"/>
          <w:sz w:val="36"/>
          <w:szCs w:val="36"/>
        </w:rPr>
        <w:t>·</w:t>
      </w:r>
      <w:r>
        <w:rPr>
          <w:rFonts w:hint="eastAsia" w:ascii="方正小标宋_GBK" w:hAnsi="方正小标宋_GBK" w:eastAsia="方正小标宋_GBK"/>
          <w:b/>
          <w:color w:val="auto"/>
          <w:sz w:val="36"/>
          <w:szCs w:val="36"/>
          <w:lang w:eastAsia="zh-CN"/>
        </w:rPr>
        <w:t xml:space="preserve"> </w:t>
      </w:r>
      <w:r>
        <w:rPr>
          <w:rFonts w:hint="eastAsia" w:ascii="方正小标宋_GBK" w:hAnsi="方正小标宋_GBK" w:eastAsia="方正小标宋_GBK"/>
          <w:b/>
          <w:color w:val="auto"/>
          <w:sz w:val="36"/>
          <w:szCs w:val="36"/>
        </w:rPr>
        <w:t>图</w:t>
      </w:r>
      <w:r>
        <w:rPr>
          <w:rFonts w:hint="eastAsia" w:ascii="方正小标宋_GBK" w:hAnsi="方正小标宋_GBK" w:eastAsia="方正小标宋_GBK"/>
          <w:b/>
          <w:color w:val="auto"/>
          <w:sz w:val="36"/>
          <w:szCs w:val="36"/>
          <w:lang w:eastAsia="zh-CN"/>
        </w:rPr>
        <w:t xml:space="preserve"> 集</w:t>
      </w:r>
    </w:p>
    <w:p w14:paraId="0A48D528">
      <w:pPr>
        <w:spacing w:line="734" w:lineRule="exact"/>
        <w:ind w:right="297"/>
        <w:jc w:val="center"/>
        <w:rPr>
          <w:rFonts w:ascii="方正小标宋_GBK" w:hAnsi="方正小标宋_GBK" w:eastAsia="PMingLiU-ExtB"/>
          <w:b/>
          <w:color w:val="auto"/>
          <w:sz w:val="40"/>
        </w:rPr>
      </w:pPr>
    </w:p>
    <w:p w14:paraId="2726231E">
      <w:pPr>
        <w:spacing w:line="734" w:lineRule="exact"/>
        <w:ind w:right="297"/>
        <w:jc w:val="center"/>
        <w:rPr>
          <w:bCs/>
          <w:color w:val="auto"/>
          <w:sz w:val="36"/>
          <w:szCs w:val="21"/>
        </w:rPr>
      </w:pPr>
      <w:r>
        <w:rPr>
          <w:rFonts w:hint="eastAsia"/>
          <w:bCs/>
          <w:color w:val="auto"/>
          <w:sz w:val="36"/>
          <w:szCs w:val="21"/>
        </w:rPr>
        <w:t>（</w:t>
      </w:r>
      <w:r>
        <w:rPr>
          <w:rFonts w:hint="eastAsia"/>
          <w:bCs/>
          <w:color w:val="auto"/>
          <w:sz w:val="36"/>
          <w:szCs w:val="21"/>
          <w:lang w:val="en-US" w:eastAsia="zh-CN"/>
        </w:rPr>
        <w:t>公示</w:t>
      </w:r>
      <w:r>
        <w:rPr>
          <w:rFonts w:hint="eastAsia"/>
          <w:bCs/>
          <w:color w:val="auto"/>
          <w:sz w:val="36"/>
          <w:szCs w:val="21"/>
        </w:rPr>
        <w:t>稿）</w:t>
      </w:r>
    </w:p>
    <w:p w14:paraId="7D1E0997">
      <w:pPr>
        <w:spacing w:line="734" w:lineRule="exact"/>
        <w:ind w:right="297"/>
        <w:jc w:val="center"/>
        <w:rPr>
          <w:bCs/>
          <w:color w:val="auto"/>
          <w:sz w:val="36"/>
          <w:szCs w:val="21"/>
        </w:rPr>
      </w:pPr>
    </w:p>
    <w:p w14:paraId="0462E1F1">
      <w:pPr>
        <w:spacing w:line="734" w:lineRule="exact"/>
        <w:ind w:right="297"/>
        <w:jc w:val="center"/>
        <w:rPr>
          <w:bCs/>
          <w:color w:val="auto"/>
          <w:sz w:val="36"/>
          <w:szCs w:val="21"/>
        </w:rPr>
      </w:pPr>
    </w:p>
    <w:p w14:paraId="6082863B">
      <w:pPr>
        <w:spacing w:line="734" w:lineRule="exact"/>
        <w:ind w:right="297"/>
        <w:jc w:val="center"/>
        <w:rPr>
          <w:bCs/>
          <w:color w:val="auto"/>
          <w:sz w:val="36"/>
          <w:szCs w:val="21"/>
        </w:rPr>
      </w:pPr>
    </w:p>
    <w:p w14:paraId="0A6481AB">
      <w:pPr>
        <w:spacing w:line="734" w:lineRule="exact"/>
        <w:ind w:right="297"/>
        <w:jc w:val="center"/>
        <w:rPr>
          <w:bCs/>
          <w:color w:val="auto"/>
          <w:sz w:val="36"/>
          <w:szCs w:val="21"/>
        </w:rPr>
      </w:pPr>
    </w:p>
    <w:p w14:paraId="4CCF36BE">
      <w:pPr>
        <w:spacing w:line="734" w:lineRule="exact"/>
        <w:ind w:right="297"/>
        <w:jc w:val="center"/>
        <w:rPr>
          <w:bCs/>
          <w:color w:val="auto"/>
          <w:sz w:val="36"/>
          <w:szCs w:val="21"/>
        </w:rPr>
      </w:pPr>
    </w:p>
    <w:p w14:paraId="4473E4A6">
      <w:pPr>
        <w:spacing w:line="734" w:lineRule="exact"/>
        <w:ind w:right="297"/>
        <w:jc w:val="center"/>
        <w:rPr>
          <w:bCs/>
          <w:color w:val="auto"/>
          <w:sz w:val="36"/>
          <w:szCs w:val="21"/>
        </w:rPr>
      </w:pPr>
    </w:p>
    <w:p w14:paraId="2D17950A">
      <w:pPr>
        <w:spacing w:line="734" w:lineRule="exact"/>
        <w:ind w:right="297"/>
        <w:jc w:val="center"/>
        <w:rPr>
          <w:bCs/>
          <w:color w:val="auto"/>
          <w:sz w:val="36"/>
          <w:szCs w:val="21"/>
        </w:rPr>
      </w:pPr>
    </w:p>
    <w:p w14:paraId="7CBD6736">
      <w:pPr>
        <w:spacing w:line="734" w:lineRule="exact"/>
        <w:ind w:right="297"/>
        <w:jc w:val="center"/>
        <w:rPr>
          <w:bCs/>
          <w:color w:val="auto"/>
          <w:sz w:val="36"/>
          <w:szCs w:val="21"/>
        </w:rPr>
      </w:pPr>
    </w:p>
    <w:p w14:paraId="092D86DF">
      <w:pPr>
        <w:autoSpaceDE/>
        <w:autoSpaceDN/>
        <w:jc w:val="center"/>
        <w:rPr>
          <w:rFonts w:ascii="黑体" w:hAnsi="黑体" w:eastAsia="黑体" w:cstheme="minorBidi"/>
          <w:color w:val="auto"/>
          <w:kern w:val="2"/>
          <w:sz w:val="24"/>
          <w:szCs w:val="24"/>
          <w:lang w:val="en-US" w:eastAsia="zh-CN" w:bidi="ar-SA"/>
        </w:rPr>
      </w:pPr>
      <w:r>
        <w:rPr>
          <w:rFonts w:hint="eastAsia" w:ascii="黑体" w:hAnsi="黑体" w:eastAsia="黑体" w:cstheme="minorBidi"/>
          <w:color w:val="auto"/>
          <w:kern w:val="2"/>
          <w:sz w:val="24"/>
          <w:szCs w:val="24"/>
          <w:lang w:val="en-US" w:eastAsia="zh-CN" w:bidi="ar-SA"/>
        </w:rPr>
        <w:t>青龙集镇人民政府</w:t>
      </w:r>
    </w:p>
    <w:p w14:paraId="329BBD0E">
      <w:pPr>
        <w:autoSpaceDE/>
        <w:autoSpaceDN/>
        <w:spacing w:before="120"/>
        <w:ind w:right="110"/>
        <w:jc w:val="center"/>
        <w:rPr>
          <w:rFonts w:ascii="黑体" w:hAnsi="黑体" w:eastAsia="黑体" w:cstheme="minorBidi"/>
          <w:color w:val="auto"/>
          <w:kern w:val="2"/>
          <w:sz w:val="24"/>
          <w:szCs w:val="24"/>
          <w:lang w:val="en-US" w:eastAsia="zh-CN" w:bidi="ar-SA"/>
        </w:rPr>
      </w:pPr>
      <w:r>
        <w:rPr>
          <w:rFonts w:hint="eastAsia" w:ascii="黑体" w:hAnsi="黑体" w:eastAsia="黑体" w:cstheme="minorBidi"/>
          <w:color w:val="auto"/>
          <w:kern w:val="2"/>
          <w:sz w:val="24"/>
          <w:szCs w:val="24"/>
          <w:lang w:val="en-US" w:eastAsia="zh-CN" w:bidi="ar-SA"/>
        </w:rPr>
        <w:t>2025年1</w:t>
      </w:r>
      <w:r>
        <w:rPr>
          <w:rFonts w:ascii="黑体" w:hAnsi="黑体" w:eastAsia="黑体" w:cstheme="minorBidi"/>
          <w:color w:val="auto"/>
          <w:kern w:val="2"/>
          <w:sz w:val="24"/>
          <w:szCs w:val="24"/>
          <w:lang w:val="en-US" w:eastAsia="zh-CN" w:bidi="ar-SA"/>
        </w:rPr>
        <w:t>1</w:t>
      </w:r>
      <w:r>
        <w:rPr>
          <w:rFonts w:hint="eastAsia" w:ascii="黑体" w:hAnsi="黑体" w:eastAsia="黑体" w:cstheme="minorBidi"/>
          <w:color w:val="auto"/>
          <w:kern w:val="2"/>
          <w:sz w:val="24"/>
          <w:szCs w:val="24"/>
          <w:lang w:val="en-US" w:eastAsia="zh-CN" w:bidi="ar-SA"/>
        </w:rPr>
        <w:t>月</w:t>
      </w:r>
    </w:p>
    <w:p w14:paraId="1BB083BA">
      <w:pPr>
        <w:spacing w:line="225" w:lineRule="auto"/>
        <w:ind w:firstLine="468" w:firstLineChars="213"/>
        <w:jc w:val="center"/>
        <w:rPr>
          <w:rFonts w:ascii="微软雅黑" w:eastAsia="微软雅黑"/>
          <w:color w:val="auto"/>
          <w:lang w:eastAsia="zh-CN"/>
        </w:rPr>
      </w:pPr>
    </w:p>
    <w:p w14:paraId="5DBA2E8A">
      <w:pPr>
        <w:spacing w:line="225" w:lineRule="auto"/>
        <w:ind w:firstLine="468" w:firstLineChars="213"/>
        <w:jc w:val="center"/>
        <w:rPr>
          <w:rFonts w:ascii="微软雅黑" w:eastAsia="微软雅黑"/>
          <w:color w:val="auto"/>
          <w:lang w:eastAsia="zh-CN"/>
        </w:rPr>
      </w:pPr>
    </w:p>
    <w:p w14:paraId="4A985845">
      <w:pPr>
        <w:spacing w:line="225" w:lineRule="auto"/>
        <w:ind w:firstLine="468" w:firstLineChars="213"/>
        <w:jc w:val="center"/>
        <w:rPr>
          <w:rFonts w:ascii="微软雅黑" w:eastAsia="微软雅黑"/>
          <w:color w:val="auto"/>
          <w:lang w:eastAsia="zh-CN"/>
        </w:rPr>
      </w:pPr>
    </w:p>
    <w:p w14:paraId="517F3DBC">
      <w:pPr>
        <w:spacing w:line="225" w:lineRule="auto"/>
        <w:ind w:firstLine="468" w:firstLineChars="213"/>
        <w:jc w:val="center"/>
        <w:rPr>
          <w:rFonts w:ascii="微软雅黑" w:eastAsia="微软雅黑"/>
          <w:color w:val="auto"/>
          <w:lang w:eastAsia="zh-CN"/>
        </w:rPr>
      </w:pPr>
    </w:p>
    <w:p w14:paraId="19703A01">
      <w:pPr>
        <w:spacing w:line="225" w:lineRule="auto"/>
        <w:ind w:firstLine="468" w:firstLineChars="213"/>
        <w:jc w:val="center"/>
        <w:rPr>
          <w:rFonts w:ascii="微软雅黑" w:eastAsia="微软雅黑"/>
          <w:color w:val="auto"/>
          <w:lang w:eastAsia="zh-CN"/>
        </w:rPr>
      </w:pPr>
    </w:p>
    <w:p w14:paraId="016DF0A3">
      <w:pPr>
        <w:pStyle w:val="13"/>
        <w:spacing w:before="120"/>
        <w:ind w:left="0" w:leftChars="0" w:right="110" w:firstLine="0" w:firstLineChars="0"/>
        <w:jc w:val="center"/>
        <w:rPr>
          <w:rFonts w:eastAsiaTheme="minorEastAsia"/>
          <w:color w:val="auto"/>
          <w:lang w:eastAsia="zh-CN"/>
        </w:rPr>
      </w:pPr>
    </w:p>
    <w:p w14:paraId="71B5607F">
      <w:pPr>
        <w:pStyle w:val="13"/>
        <w:spacing w:before="120"/>
        <w:ind w:left="0" w:leftChars="0" w:right="110" w:firstLine="0" w:firstLineChars="0"/>
        <w:jc w:val="center"/>
        <w:rPr>
          <w:rFonts w:eastAsiaTheme="minorEastAsia"/>
          <w:color w:val="auto"/>
          <w:lang w:eastAsia="zh-CN"/>
        </w:rPr>
      </w:pPr>
    </w:p>
    <w:p w14:paraId="5643ECAF">
      <w:pPr>
        <w:pStyle w:val="13"/>
        <w:spacing w:before="120"/>
        <w:ind w:left="0" w:leftChars="0" w:right="110" w:firstLine="0" w:firstLineChars="0"/>
        <w:jc w:val="center"/>
        <w:rPr>
          <w:rFonts w:eastAsiaTheme="minorEastAsia"/>
          <w:color w:val="auto"/>
          <w:lang w:eastAsia="zh-CN"/>
        </w:rPr>
      </w:pPr>
    </w:p>
    <w:p w14:paraId="06DBE765">
      <w:pPr>
        <w:pStyle w:val="13"/>
        <w:spacing w:before="120"/>
        <w:ind w:left="0" w:leftChars="0" w:right="110" w:firstLine="0" w:firstLineChars="0"/>
        <w:jc w:val="center"/>
        <w:rPr>
          <w:rFonts w:eastAsiaTheme="minorEastAsia"/>
          <w:color w:val="auto"/>
          <w:lang w:eastAsia="zh-CN"/>
        </w:rPr>
      </w:pPr>
    </w:p>
    <w:p w14:paraId="3D48BDCC">
      <w:pPr>
        <w:pStyle w:val="13"/>
        <w:spacing w:before="120"/>
        <w:ind w:left="0" w:leftChars="0" w:right="110" w:firstLine="0" w:firstLineChars="0"/>
        <w:jc w:val="center"/>
        <w:rPr>
          <w:rFonts w:eastAsiaTheme="minorEastAsia"/>
          <w:color w:val="auto"/>
          <w:lang w:eastAsia="zh-CN"/>
        </w:rPr>
      </w:pPr>
    </w:p>
    <w:p w14:paraId="2AA6061D">
      <w:pPr>
        <w:pStyle w:val="13"/>
        <w:spacing w:before="120"/>
        <w:ind w:left="0" w:leftChars="0" w:right="110" w:firstLine="0" w:firstLineChars="0"/>
        <w:jc w:val="center"/>
        <w:rPr>
          <w:rFonts w:eastAsiaTheme="minorEastAsia"/>
          <w:color w:val="auto"/>
          <w:lang w:eastAsia="zh-CN"/>
        </w:rPr>
      </w:pPr>
    </w:p>
    <w:p w14:paraId="3E45598E">
      <w:pPr>
        <w:pStyle w:val="13"/>
        <w:spacing w:before="120"/>
        <w:ind w:left="0" w:leftChars="0" w:right="110" w:firstLine="0" w:firstLineChars="0"/>
        <w:jc w:val="center"/>
        <w:rPr>
          <w:rFonts w:eastAsiaTheme="minorEastAsia"/>
          <w:color w:val="auto"/>
          <w:lang w:eastAsia="zh-CN"/>
        </w:rPr>
      </w:pPr>
    </w:p>
    <w:p w14:paraId="05898052">
      <w:pPr>
        <w:pStyle w:val="13"/>
        <w:spacing w:before="120"/>
        <w:ind w:left="0" w:leftChars="0" w:right="110" w:firstLine="0" w:firstLineChars="0"/>
        <w:jc w:val="center"/>
        <w:rPr>
          <w:rFonts w:eastAsiaTheme="minorEastAsia"/>
          <w:color w:val="auto"/>
          <w:lang w:eastAsia="zh-CN"/>
        </w:rPr>
      </w:pPr>
    </w:p>
    <w:p w14:paraId="070C7434">
      <w:pPr>
        <w:pStyle w:val="13"/>
        <w:spacing w:before="120"/>
        <w:ind w:left="0" w:leftChars="0" w:right="110" w:firstLine="0" w:firstLineChars="0"/>
        <w:jc w:val="center"/>
        <w:rPr>
          <w:rFonts w:eastAsiaTheme="minorEastAsia"/>
          <w:color w:val="auto"/>
          <w:lang w:eastAsia="zh-CN"/>
        </w:rPr>
      </w:pPr>
    </w:p>
    <w:p w14:paraId="03D29B07">
      <w:pPr>
        <w:spacing w:before="12"/>
        <w:jc w:val="center"/>
        <w:rPr>
          <w:rFonts w:ascii="方正小标宋_GBK" w:hAnsi="方正小标宋_GBK" w:eastAsia="方正小标宋_GBK"/>
          <w:b/>
          <w:color w:val="auto"/>
          <w:sz w:val="50"/>
          <w:lang w:eastAsia="zh-CN"/>
        </w:rPr>
      </w:pPr>
      <w:r>
        <w:rPr>
          <w:rFonts w:hint="eastAsia" w:ascii="方正小标宋_GBK" w:hAnsi="方正小标宋_GBK" w:eastAsia="方正小标宋_GBK"/>
          <w:b/>
          <w:sz w:val="50"/>
          <w:lang w:eastAsia="zh-CN"/>
        </w:rPr>
        <w:t>规划文本</w:t>
      </w:r>
      <w:r>
        <w:rPr>
          <w:rFonts w:ascii="方正小标宋_GBK" w:hAnsi="方正小标宋_GBK" w:eastAsia="方正小标宋_GBK"/>
          <w:b/>
          <w:color w:val="auto"/>
          <w:sz w:val="50"/>
          <w:lang w:eastAsia="zh-CN"/>
        </w:rPr>
        <w:br w:type="page"/>
      </w:r>
    </w:p>
    <w:p w14:paraId="41920E7F">
      <w:pPr>
        <w:spacing w:line="225" w:lineRule="auto"/>
        <w:ind w:firstLine="468" w:firstLineChars="213"/>
        <w:jc w:val="center"/>
        <w:rPr>
          <w:rFonts w:ascii="微软雅黑" w:eastAsia="微软雅黑"/>
          <w:color w:val="auto"/>
          <w:lang w:eastAsia="zh-CN"/>
        </w:rPr>
        <w:sectPr>
          <w:type w:val="continuous"/>
          <w:pgSz w:w="11910" w:h="16850"/>
          <w:pgMar w:top="1400" w:right="1380" w:bottom="280" w:left="1560" w:header="720" w:footer="720" w:gutter="0"/>
          <w:pgBorders>
            <w:top w:val="none" w:sz="0" w:space="0"/>
            <w:left w:val="none" w:sz="0" w:space="0"/>
            <w:bottom w:val="none" w:sz="0" w:space="0"/>
            <w:right w:val="none" w:sz="0" w:space="0"/>
          </w:pgBorders>
          <w:cols w:space="720" w:num="1"/>
        </w:sectPr>
      </w:pPr>
    </w:p>
    <w:p w14:paraId="1B42E565">
      <w:pPr>
        <w:pStyle w:val="13"/>
        <w:spacing w:before="120"/>
        <w:ind w:left="0" w:leftChars="0" w:right="110" w:firstLine="0" w:firstLineChars="0"/>
        <w:jc w:val="center"/>
        <w:rPr>
          <w:rFonts w:ascii="微软雅黑"/>
          <w:b/>
          <w:bCs/>
          <w:color w:val="auto"/>
          <w:sz w:val="36"/>
          <w:szCs w:val="160"/>
        </w:rPr>
      </w:pPr>
      <w:r>
        <w:rPr>
          <w:rFonts w:hint="eastAsia" w:ascii="微软雅黑"/>
          <w:b/>
          <w:bCs/>
          <w:color w:val="auto"/>
          <w:sz w:val="36"/>
          <w:szCs w:val="160"/>
        </w:rPr>
        <w:t>目录</w:t>
      </w:r>
    </w:p>
    <w:p w14:paraId="1CB20DE6">
      <w:pPr>
        <w:pStyle w:val="19"/>
        <w:tabs>
          <w:tab w:val="right" w:leader="dot" w:pos="8970"/>
        </w:tabs>
      </w:pPr>
      <w:r>
        <w:rPr>
          <w:rFonts w:asciiTheme="minorEastAsia" w:hAnsiTheme="minorEastAsia" w:eastAsiaTheme="minorEastAsia"/>
          <w:color w:val="auto"/>
          <w:sz w:val="40"/>
          <w:szCs w:val="40"/>
        </w:rPr>
        <w:fldChar w:fldCharType="begin"/>
      </w:r>
      <w:r>
        <w:rPr>
          <w:rFonts w:asciiTheme="minorEastAsia" w:hAnsiTheme="minorEastAsia" w:eastAsiaTheme="minorEastAsia"/>
          <w:color w:val="auto"/>
          <w:sz w:val="40"/>
          <w:szCs w:val="40"/>
        </w:rPr>
        <w:instrText xml:space="preserve"> TOC \o "1-2" \h \z \u </w:instrText>
      </w:r>
      <w:r>
        <w:rPr>
          <w:rFonts w:asciiTheme="minorEastAsia" w:hAnsiTheme="minorEastAsia" w:eastAsiaTheme="minorEastAsia"/>
          <w:color w:val="auto"/>
          <w:sz w:val="40"/>
          <w:szCs w:val="40"/>
        </w:rPr>
        <w:fldChar w:fldCharType="separate"/>
      </w:r>
      <w:r>
        <w:rPr>
          <w:rFonts w:asciiTheme="minorEastAsia" w:hAnsiTheme="minorEastAsia" w:eastAsiaTheme="minorEastAsia"/>
          <w:color w:val="auto"/>
          <w:szCs w:val="40"/>
        </w:rPr>
        <w:fldChar w:fldCharType="begin"/>
      </w:r>
      <w:r>
        <w:rPr>
          <w:rFonts w:asciiTheme="minorEastAsia" w:hAnsiTheme="minorEastAsia" w:eastAsiaTheme="minorEastAsia"/>
          <w:szCs w:val="40"/>
        </w:rPr>
        <w:instrText xml:space="preserve"> HYPERLINK \l _Toc8714 </w:instrText>
      </w:r>
      <w:r>
        <w:rPr>
          <w:rFonts w:asciiTheme="minorEastAsia" w:hAnsiTheme="minorEastAsia" w:eastAsiaTheme="minorEastAsia"/>
          <w:szCs w:val="40"/>
        </w:rPr>
        <w:fldChar w:fldCharType="separate"/>
      </w:r>
      <w:r>
        <w:rPr>
          <w:rFonts w:hint="eastAsia" w:ascii="方正小标宋_GBK" w:hAnsi="黑体" w:eastAsia="方正小标宋_GBK"/>
          <w:spacing w:val="5"/>
        </w:rPr>
        <w:t xml:space="preserve">第一章 </w:t>
      </w:r>
      <w:r>
        <w:rPr>
          <w:rFonts w:ascii="方正小标宋_GBK" w:hAnsi="方正小标宋_GBK" w:eastAsia="方正小标宋_GBK"/>
          <w:spacing w:val="5"/>
        </w:rPr>
        <w:t>发展定位与目标</w:t>
      </w:r>
      <w:r>
        <w:tab/>
      </w:r>
      <w:r>
        <w:fldChar w:fldCharType="begin"/>
      </w:r>
      <w:r>
        <w:instrText xml:space="preserve"> PAGEREF _Toc8714 \h </w:instrText>
      </w:r>
      <w:r>
        <w:fldChar w:fldCharType="separate"/>
      </w:r>
      <w:r>
        <w:t>3</w:t>
      </w:r>
      <w:r>
        <w:fldChar w:fldCharType="end"/>
      </w:r>
      <w:r>
        <w:rPr>
          <w:rFonts w:asciiTheme="minorEastAsia" w:hAnsiTheme="minorEastAsia" w:eastAsiaTheme="minorEastAsia"/>
          <w:color w:val="auto"/>
          <w:szCs w:val="40"/>
        </w:rPr>
        <w:fldChar w:fldCharType="end"/>
      </w:r>
    </w:p>
    <w:p w14:paraId="698C10FA">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_Toc30580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发展定位</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_Toc30580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0C603FB">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_Toc31890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国土空间开发保护目标</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_Toc31890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7A74DF3F">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_Toc21721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国土空间开发保护策略</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_Toc21721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514AFD59">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_Toc28175 </w:instrText>
      </w:r>
      <w:r>
        <w:rPr>
          <w:rFonts w:asciiTheme="minorEastAsia" w:hAnsiTheme="minorEastAsia" w:eastAsiaTheme="minorEastAsia"/>
          <w:szCs w:val="48"/>
        </w:rPr>
        <w:fldChar w:fldCharType="separate"/>
      </w:r>
      <w:r>
        <w:rPr>
          <w:rFonts w:hint="eastAsia" w:ascii="方正小标宋_GBK" w:hAnsi="黑体" w:eastAsia="方正小标宋_GBK"/>
          <w:spacing w:val="5"/>
        </w:rPr>
        <w:t xml:space="preserve">第二章 </w:t>
      </w:r>
      <w:r>
        <w:rPr>
          <w:rFonts w:hint="eastAsia" w:ascii="方正小标宋_GBK" w:hAnsi="方正小标宋_GBK" w:eastAsia="方正小标宋_GBK"/>
          <w:spacing w:val="5"/>
          <w:highlight w:val="none"/>
        </w:rPr>
        <w:t>以</w:t>
      </w:r>
      <w:r>
        <w:rPr>
          <w:rFonts w:hint="eastAsia" w:ascii="方正小标宋_GBK" w:hAnsi="方正小标宋_GBK" w:eastAsia="方正小标宋_GBK"/>
          <w:spacing w:val="5"/>
          <w:highlight w:val="none"/>
          <w:lang w:eastAsia="zh-CN"/>
        </w:rPr>
        <w:t>“</w:t>
      </w:r>
      <w:r>
        <w:rPr>
          <w:rFonts w:hint="eastAsia" w:ascii="方正小标宋_GBK" w:hAnsi="方正小标宋_GBK" w:eastAsia="方正小标宋_GBK"/>
          <w:spacing w:val="5"/>
          <w:highlight w:val="none"/>
        </w:rPr>
        <w:t>三区三线</w:t>
      </w:r>
      <w:r>
        <w:rPr>
          <w:rFonts w:hint="eastAsia" w:ascii="方正小标宋_GBK" w:hAnsi="方正小标宋_GBK" w:eastAsia="方正小标宋_GBK"/>
          <w:spacing w:val="5"/>
          <w:highlight w:val="none"/>
          <w:lang w:eastAsia="zh-CN"/>
        </w:rPr>
        <w:t>”</w:t>
      </w:r>
      <w:r>
        <w:rPr>
          <w:rFonts w:hint="eastAsia" w:ascii="方正小标宋_GBK" w:hAnsi="方正小标宋_GBK" w:eastAsia="方正小标宋_GBK"/>
          <w:spacing w:val="5"/>
          <w:highlight w:val="none"/>
        </w:rPr>
        <w:t>为基础，构建</w:t>
      </w:r>
      <w:r>
        <w:rPr>
          <w:rFonts w:ascii="方正小标宋_GBK" w:hAnsi="方正小标宋_GBK" w:eastAsia="方正小标宋_GBK"/>
          <w:spacing w:val="5"/>
          <w:highlight w:val="none"/>
        </w:rPr>
        <w:t>国土空间</w:t>
      </w:r>
      <w:r>
        <w:rPr>
          <w:rFonts w:hint="eastAsia" w:ascii="方正小标宋_GBK" w:hAnsi="方正小标宋_GBK" w:eastAsia="方正小标宋_GBK"/>
          <w:spacing w:val="5"/>
          <w:highlight w:val="none"/>
        </w:rPr>
        <w:t>开发保护新</w:t>
      </w:r>
      <w:r>
        <w:rPr>
          <w:rFonts w:ascii="方正小标宋_GBK" w:hAnsi="方正小标宋_GBK" w:eastAsia="方正小标宋_GBK"/>
          <w:spacing w:val="5"/>
          <w:highlight w:val="none"/>
        </w:rPr>
        <w:t>格局</w:t>
      </w:r>
      <w:r>
        <w:tab/>
      </w:r>
      <w:r>
        <w:fldChar w:fldCharType="begin"/>
      </w:r>
      <w:r>
        <w:instrText xml:space="preserve"> PAGEREF _Toc28175 \h </w:instrText>
      </w:r>
      <w:r>
        <w:fldChar w:fldCharType="separate"/>
      </w:r>
      <w:r>
        <w:t>6</w:t>
      </w:r>
      <w:r>
        <w:fldChar w:fldCharType="end"/>
      </w:r>
      <w:r>
        <w:rPr>
          <w:rFonts w:asciiTheme="minorEastAsia" w:hAnsiTheme="minorEastAsia" w:eastAsiaTheme="minorEastAsia"/>
          <w:color w:val="auto"/>
          <w:szCs w:val="48"/>
        </w:rPr>
        <w:fldChar w:fldCharType="end"/>
      </w:r>
    </w:p>
    <w:p w14:paraId="1631B35C">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_Toc29050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 xml:space="preserve">第一节 </w:t>
      </w:r>
      <w:r>
        <w:rPr>
          <w:rStyle w:val="31"/>
          <w:rFonts w:hint="eastAsia" w:ascii="Times New Roman" w:hAnsi="Times New Roman" w:eastAsia="仿宋_GB2312" w:cs="Times New Roman"/>
          <w:sz w:val="21"/>
          <w:szCs w:val="21"/>
          <w:lang w:val="en-US" w:eastAsia="zh-CN"/>
        </w:rPr>
        <w:t>高标准高质量</w:t>
      </w:r>
      <w:r>
        <w:rPr>
          <w:rStyle w:val="31"/>
          <w:rFonts w:hint="eastAsia" w:ascii="Times New Roman" w:hAnsi="Times New Roman" w:eastAsia="仿宋_GB2312" w:cs="Times New Roman"/>
          <w:sz w:val="21"/>
          <w:szCs w:val="21"/>
          <w:lang w:eastAsia="zh-CN"/>
        </w:rPr>
        <w:t>落实“三</w:t>
      </w:r>
      <w:r>
        <w:rPr>
          <w:rStyle w:val="31"/>
          <w:rFonts w:hint="eastAsia" w:ascii="Times New Roman" w:hAnsi="Times New Roman" w:eastAsia="仿宋_GB2312" w:cs="Times New Roman"/>
          <w:sz w:val="21"/>
          <w:szCs w:val="21"/>
          <w:lang w:val="en-US" w:eastAsia="zh-CN"/>
        </w:rPr>
        <w:t>区三</w:t>
      </w:r>
      <w:r>
        <w:rPr>
          <w:rStyle w:val="31"/>
          <w:rFonts w:hint="eastAsia" w:ascii="Times New Roman" w:hAnsi="Times New Roman" w:eastAsia="仿宋_GB2312" w:cs="Times New Roman"/>
          <w:sz w:val="21"/>
          <w:szCs w:val="21"/>
          <w:lang w:eastAsia="zh-CN"/>
        </w:rPr>
        <w:t>线”</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_Toc29050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6</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69DEF84D">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_Toc6786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塑造镇域发展新格局</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_Toc6786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7</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5E22FA2F">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_Toc25665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优化国土空间功能结构</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_Toc25665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7</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73F4DC7C">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_Toc23660 </w:instrText>
      </w:r>
      <w:r>
        <w:rPr>
          <w:rFonts w:asciiTheme="minorEastAsia" w:hAnsiTheme="minorEastAsia" w:eastAsiaTheme="minorEastAsia"/>
          <w:szCs w:val="48"/>
        </w:rPr>
        <w:fldChar w:fldCharType="separate"/>
      </w:r>
      <w:r>
        <w:rPr>
          <w:rFonts w:hint="eastAsia" w:ascii="方正小标宋_GBK" w:hAnsi="黑体" w:eastAsia="方正小标宋_GBK"/>
          <w:spacing w:val="5"/>
        </w:rPr>
        <w:t xml:space="preserve">第三章 </w:t>
      </w:r>
      <w:r>
        <w:rPr>
          <w:rFonts w:hint="eastAsia" w:ascii="方正小标宋_GBK" w:hAnsi="方正小标宋_GBK" w:eastAsia="方正小标宋_GBK"/>
          <w:spacing w:val="5"/>
          <w:highlight w:val="none"/>
        </w:rPr>
        <w:t>塑造绿色高效农业空间，保障现代化农业发展</w:t>
      </w:r>
      <w:r>
        <w:tab/>
      </w:r>
      <w:r>
        <w:fldChar w:fldCharType="begin"/>
      </w:r>
      <w:r>
        <w:instrText xml:space="preserve"> PAGEREF _Toc23660 \h </w:instrText>
      </w:r>
      <w:r>
        <w:fldChar w:fldCharType="separate"/>
      </w:r>
      <w:r>
        <w:t>9</w:t>
      </w:r>
      <w:r>
        <w:fldChar w:fldCharType="end"/>
      </w:r>
      <w:r>
        <w:rPr>
          <w:rFonts w:asciiTheme="minorEastAsia" w:hAnsiTheme="minorEastAsia" w:eastAsiaTheme="minorEastAsia"/>
          <w:color w:val="auto"/>
          <w:szCs w:val="48"/>
        </w:rPr>
        <w:fldChar w:fldCharType="end"/>
      </w:r>
    </w:p>
    <w:p w14:paraId="3F81CFD9">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_Toc18405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加强耕地“三位一体”保护</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_Toc18405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9</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44F2AA83">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_Toc19708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 xml:space="preserve">第二节 </w:t>
      </w:r>
      <w:r>
        <w:rPr>
          <w:rStyle w:val="31"/>
          <w:rFonts w:hint="eastAsia" w:ascii="Times New Roman" w:hAnsi="Times New Roman" w:eastAsia="仿宋_GB2312" w:cs="Times New Roman"/>
          <w:sz w:val="21"/>
          <w:szCs w:val="21"/>
          <w:lang w:val="en-US" w:eastAsia="zh-CN"/>
        </w:rPr>
        <w:t>保障特色农产品生产空间</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_Toc19708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11</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32FF58F3">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_Toc23777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加强国土空间综合整治</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_Toc23777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11</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249D9D73">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_Toc11938 </w:instrText>
      </w:r>
      <w:r>
        <w:rPr>
          <w:rFonts w:asciiTheme="minorEastAsia" w:hAnsiTheme="minorEastAsia" w:eastAsiaTheme="minorEastAsia"/>
          <w:szCs w:val="48"/>
        </w:rPr>
        <w:fldChar w:fldCharType="separate"/>
      </w:r>
      <w:r>
        <w:rPr>
          <w:rFonts w:hint="eastAsia" w:ascii="方正小标宋_GBK" w:hAnsi="黑体" w:eastAsia="方正小标宋_GBK"/>
          <w:spacing w:val="5"/>
          <w:lang w:eastAsia="zh-CN"/>
        </w:rPr>
        <w:t xml:space="preserve">第四章 </w:t>
      </w:r>
      <w:r>
        <w:rPr>
          <w:rFonts w:hint="eastAsia" w:ascii="方正小标宋_GBK" w:hAnsi="方正小标宋_GBK" w:eastAsia="方正小标宋_GBK"/>
          <w:spacing w:val="5"/>
          <w:highlight w:val="none"/>
        </w:rPr>
        <w:t>构筑蓝绿</w:t>
      </w:r>
      <w:r>
        <w:rPr>
          <w:rFonts w:hint="eastAsia" w:ascii="方正小标宋_GBK" w:hAnsi="方正小标宋_GBK" w:eastAsia="方正小标宋_GBK"/>
          <w:spacing w:val="5"/>
          <w:highlight w:val="none"/>
          <w:lang w:val="en-US" w:eastAsia="zh-CN"/>
        </w:rPr>
        <w:t>交织、</w:t>
      </w:r>
      <w:r>
        <w:rPr>
          <w:rFonts w:hint="eastAsia" w:ascii="方正小标宋_GBK" w:hAnsi="方正小标宋_GBK" w:eastAsia="方正小标宋_GBK"/>
          <w:spacing w:val="5"/>
          <w:highlight w:val="none"/>
        </w:rPr>
        <w:t>田</w:t>
      </w:r>
      <w:r>
        <w:rPr>
          <w:rFonts w:hint="eastAsia" w:ascii="方正小标宋_GBK" w:hAnsi="方正小标宋_GBK" w:eastAsia="方正小标宋_GBK"/>
          <w:spacing w:val="5"/>
          <w:highlight w:val="none"/>
          <w:lang w:val="en-US" w:eastAsia="zh-CN"/>
        </w:rPr>
        <w:t>城</w:t>
      </w:r>
      <w:r>
        <w:rPr>
          <w:rFonts w:hint="eastAsia" w:ascii="方正小标宋_GBK" w:hAnsi="方正小标宋_GBK" w:eastAsia="方正小标宋_GBK"/>
          <w:spacing w:val="5"/>
          <w:highlight w:val="none"/>
        </w:rPr>
        <w:t>相</w:t>
      </w:r>
      <w:r>
        <w:rPr>
          <w:rFonts w:hint="eastAsia" w:ascii="方正小标宋_GBK" w:hAnsi="方正小标宋_GBK" w:eastAsia="方正小标宋_GBK"/>
          <w:spacing w:val="5"/>
          <w:highlight w:val="none"/>
          <w:lang w:val="en-US" w:eastAsia="zh-CN"/>
        </w:rPr>
        <w:t>拥</w:t>
      </w:r>
      <w:r>
        <w:rPr>
          <w:rFonts w:hint="eastAsia" w:ascii="方正小标宋_GBK" w:hAnsi="方正小标宋_GBK" w:eastAsia="方正小标宋_GBK"/>
          <w:spacing w:val="5"/>
          <w:highlight w:val="none"/>
        </w:rPr>
        <w:t>生态空间，促进人与自然和谐共生</w:t>
      </w:r>
      <w:r>
        <w:tab/>
      </w:r>
      <w:r>
        <w:fldChar w:fldCharType="begin"/>
      </w:r>
      <w:r>
        <w:instrText xml:space="preserve"> PAGEREF _Toc11938 \h </w:instrText>
      </w:r>
      <w:r>
        <w:fldChar w:fldCharType="separate"/>
      </w:r>
      <w:r>
        <w:t>13</w:t>
      </w:r>
      <w:r>
        <w:fldChar w:fldCharType="end"/>
      </w:r>
      <w:r>
        <w:rPr>
          <w:rFonts w:asciiTheme="minorEastAsia" w:hAnsiTheme="minorEastAsia" w:eastAsiaTheme="minorEastAsia"/>
          <w:color w:val="auto"/>
          <w:szCs w:val="48"/>
        </w:rPr>
        <w:fldChar w:fldCharType="end"/>
      </w:r>
    </w:p>
    <w:p w14:paraId="3C3D53FF">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_Toc22593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加强河湖生态管控</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_Toc22593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13</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67ED2052">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_Toc21803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构建绿色生态屏障</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_Toc21803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14</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18544A7">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_Toc11719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系统实施生态修复</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_Toc11719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15</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70D33491">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_Toc16344 </w:instrText>
      </w:r>
      <w:r>
        <w:rPr>
          <w:rFonts w:asciiTheme="minorEastAsia" w:hAnsiTheme="minorEastAsia" w:eastAsiaTheme="minorEastAsia"/>
          <w:szCs w:val="48"/>
        </w:rPr>
        <w:fldChar w:fldCharType="separate"/>
      </w:r>
      <w:r>
        <w:rPr>
          <w:rFonts w:hint="eastAsia" w:ascii="方正小标宋_GBK" w:hAnsi="黑体" w:eastAsia="方正小标宋_GBK"/>
          <w:spacing w:val="5"/>
        </w:rPr>
        <w:t xml:space="preserve">第五章 </w:t>
      </w:r>
      <w:r>
        <w:rPr>
          <w:rFonts w:hint="eastAsia" w:ascii="方正小标宋_GBK" w:hAnsi="方正小标宋_GBK" w:eastAsia="方正小标宋_GBK"/>
          <w:spacing w:val="5"/>
        </w:rPr>
        <w:t>促进城乡统筹，建设乡村振兴高地</w:t>
      </w:r>
      <w:r>
        <w:tab/>
      </w:r>
      <w:r>
        <w:fldChar w:fldCharType="begin"/>
      </w:r>
      <w:r>
        <w:instrText xml:space="preserve"> PAGEREF _Toc16344 \h </w:instrText>
      </w:r>
      <w:r>
        <w:fldChar w:fldCharType="separate"/>
      </w:r>
      <w:r>
        <w:t>17</w:t>
      </w:r>
      <w:r>
        <w:fldChar w:fldCharType="end"/>
      </w:r>
      <w:r>
        <w:rPr>
          <w:rFonts w:asciiTheme="minorEastAsia" w:hAnsiTheme="minorEastAsia" w:eastAsiaTheme="minorEastAsia"/>
          <w:color w:val="auto"/>
          <w:szCs w:val="48"/>
        </w:rPr>
        <w:fldChar w:fldCharType="end"/>
      </w:r>
    </w:p>
    <w:p w14:paraId="5CFB7981">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_Toc22571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优化村庄布局</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_Toc22571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17</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68FBCF60">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_Toc32010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优化城乡公共服务设施配置</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_Toc32010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18</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33037BF8">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_Toc30866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构建区域协同的产业发展格局</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_Toc30866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20</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2D48AA5D">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_Toc27773 </w:instrText>
      </w:r>
      <w:r>
        <w:rPr>
          <w:rFonts w:asciiTheme="minorEastAsia" w:hAnsiTheme="minorEastAsia" w:eastAsiaTheme="minorEastAsia"/>
          <w:szCs w:val="48"/>
        </w:rPr>
        <w:fldChar w:fldCharType="separate"/>
      </w:r>
      <w:r>
        <w:rPr>
          <w:rFonts w:hint="eastAsia" w:ascii="方正小标宋_GBK" w:hAnsi="黑体" w:eastAsia="方正小标宋_GBK"/>
          <w:spacing w:val="5"/>
        </w:rPr>
        <w:t xml:space="preserve">第六章 </w:t>
      </w:r>
      <w:r>
        <w:rPr>
          <w:rFonts w:hint="eastAsia" w:ascii="方正小标宋_GBK" w:hAnsi="方正小标宋_GBK" w:eastAsia="方正小标宋_GBK"/>
          <w:spacing w:val="5"/>
        </w:rPr>
        <w:t>统筹基础设施布局，提升设施保障能力</w:t>
      </w:r>
      <w:r>
        <w:tab/>
      </w:r>
      <w:r>
        <w:fldChar w:fldCharType="begin"/>
      </w:r>
      <w:r>
        <w:instrText xml:space="preserve"> PAGEREF _Toc27773 \h </w:instrText>
      </w:r>
      <w:r>
        <w:fldChar w:fldCharType="separate"/>
      </w:r>
      <w:r>
        <w:t>22</w:t>
      </w:r>
      <w:r>
        <w:fldChar w:fldCharType="end"/>
      </w:r>
      <w:r>
        <w:rPr>
          <w:rFonts w:asciiTheme="minorEastAsia" w:hAnsiTheme="minorEastAsia" w:eastAsiaTheme="minorEastAsia"/>
          <w:color w:val="auto"/>
          <w:szCs w:val="48"/>
        </w:rPr>
        <w:fldChar w:fldCharType="end"/>
      </w:r>
    </w:p>
    <w:p w14:paraId="2D1D69EB">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_Toc11876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发展绿色低碳智慧交通</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_Toc11876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22</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384CEC95">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_Toc23591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建设绿色韧性市政基础设施</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_Toc23591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23</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3076FB9D">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_Toc21290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构建综合防灾设施体系</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_Toc21290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25</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4E8CE723">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_Toc7471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第四节 提升应对重大疫情风险能力</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_Toc7471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27</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1C3156D8">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_Toc25124 </w:instrText>
      </w:r>
      <w:r>
        <w:rPr>
          <w:rFonts w:asciiTheme="minorEastAsia" w:hAnsiTheme="minorEastAsia" w:eastAsiaTheme="minorEastAsia"/>
          <w:szCs w:val="48"/>
        </w:rPr>
        <w:fldChar w:fldCharType="separate"/>
      </w:r>
      <w:r>
        <w:rPr>
          <w:rFonts w:hint="eastAsia" w:ascii="方正小标宋_GBK" w:hAnsi="黑体" w:eastAsia="方正小标宋_GBK"/>
          <w:spacing w:val="5"/>
          <w:lang w:eastAsia="zh-CN"/>
        </w:rPr>
        <w:t xml:space="preserve">第七章 </w:t>
      </w:r>
      <w:r>
        <w:rPr>
          <w:rFonts w:hint="eastAsia" w:ascii="方正小标宋_GBK" w:hAnsi="方正小标宋_GBK" w:eastAsia="方正小标宋_GBK"/>
          <w:spacing w:val="5"/>
        </w:rPr>
        <w:t>传承历史文化</w:t>
      </w:r>
      <w:r>
        <w:rPr>
          <w:rFonts w:ascii="方正小标宋_GBK" w:hAnsi="方正小标宋_GBK" w:eastAsia="方正小标宋_GBK"/>
          <w:spacing w:val="5"/>
        </w:rPr>
        <w:t>，塑造特色风貌</w:t>
      </w:r>
      <w:r>
        <w:tab/>
      </w:r>
      <w:r>
        <w:fldChar w:fldCharType="begin"/>
      </w:r>
      <w:r>
        <w:instrText xml:space="preserve"> PAGEREF _Toc25124 \h </w:instrText>
      </w:r>
      <w:r>
        <w:fldChar w:fldCharType="separate"/>
      </w:r>
      <w:r>
        <w:t>28</w:t>
      </w:r>
      <w:r>
        <w:fldChar w:fldCharType="end"/>
      </w:r>
      <w:r>
        <w:rPr>
          <w:rFonts w:asciiTheme="minorEastAsia" w:hAnsiTheme="minorEastAsia" w:eastAsiaTheme="minorEastAsia"/>
          <w:color w:val="auto"/>
          <w:szCs w:val="48"/>
        </w:rPr>
        <w:fldChar w:fldCharType="end"/>
      </w:r>
    </w:p>
    <w:p w14:paraId="0CAA2BAE">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_Toc22950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保护利用历史文化遗产</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_Toc22950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28</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7DADB3A4">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_Toc20910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塑造自然生态魅力城镇</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_Toc20910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29</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4FF4B8BD">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_Toc30940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凸显田园风光镇村特色</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_Toc30940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29</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30264F71">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_Toc5297 </w:instrText>
      </w:r>
      <w:r>
        <w:rPr>
          <w:rFonts w:asciiTheme="minorEastAsia" w:hAnsiTheme="minorEastAsia" w:eastAsiaTheme="minorEastAsia"/>
          <w:szCs w:val="48"/>
        </w:rPr>
        <w:fldChar w:fldCharType="separate"/>
      </w:r>
      <w:r>
        <w:rPr>
          <w:rFonts w:hint="eastAsia" w:ascii="方正小标宋_GBK" w:hAnsi="黑体" w:eastAsia="方正小标宋_GBK"/>
          <w:spacing w:val="5"/>
        </w:rPr>
        <w:t xml:space="preserve">第八章 </w:t>
      </w:r>
      <w:r>
        <w:rPr>
          <w:rFonts w:hint="eastAsia" w:ascii="方正小标宋_GBK" w:hAnsi="方正小标宋_GBK" w:eastAsia="方正小标宋_GBK"/>
          <w:spacing w:val="5"/>
        </w:rPr>
        <w:t>优化镇区</w:t>
      </w:r>
      <w:r>
        <w:rPr>
          <w:rFonts w:ascii="方正小标宋_GBK" w:hAnsi="方正小标宋_GBK" w:eastAsia="方正小标宋_GBK"/>
          <w:spacing w:val="5"/>
        </w:rPr>
        <w:t>空间布局，提升乡镇宜居品质</w:t>
      </w:r>
      <w:r>
        <w:tab/>
      </w:r>
      <w:r>
        <w:fldChar w:fldCharType="begin"/>
      </w:r>
      <w:r>
        <w:instrText xml:space="preserve"> PAGEREF _Toc5297 \h </w:instrText>
      </w:r>
      <w:r>
        <w:fldChar w:fldCharType="separate"/>
      </w:r>
      <w:r>
        <w:t>31</w:t>
      </w:r>
      <w:r>
        <w:fldChar w:fldCharType="end"/>
      </w:r>
      <w:r>
        <w:rPr>
          <w:rFonts w:asciiTheme="minorEastAsia" w:hAnsiTheme="minorEastAsia" w:eastAsiaTheme="minorEastAsia"/>
          <w:color w:val="auto"/>
          <w:szCs w:val="48"/>
        </w:rPr>
        <w:fldChar w:fldCharType="end"/>
      </w:r>
    </w:p>
    <w:p w14:paraId="16ABABAA">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_Toc3976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优化镇区用地布局</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_Toc3976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31</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CE5D22A">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_Toc27822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构建绿色安全的交通网络</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_Toc27822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32</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165687DD">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_Toc551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打造配套完善的公共服务设施</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_Toc551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33</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6AADF6F4">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_Toc14639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第四节 创建智慧绿色的城镇服务保障</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_Toc14639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34</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6C7E4EEB">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_Toc29486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第五节 提升防灾减灾和综合应急水平</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_Toc29486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36</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6AFBC4E">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_Toc6043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第六节 营造活力开放的特色空间</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_Toc6043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37</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7D28C14E">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_Toc9229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第七节 塑造</w:t>
      </w:r>
      <w:r>
        <w:rPr>
          <w:rStyle w:val="31"/>
          <w:rFonts w:hint="eastAsia" w:ascii="Times New Roman" w:hAnsi="Times New Roman" w:eastAsia="仿宋_GB2312" w:cs="Times New Roman"/>
          <w:sz w:val="21"/>
          <w:szCs w:val="21"/>
          <w:lang w:val="en-US" w:eastAsia="zh-CN"/>
        </w:rPr>
        <w:t>和美宜居</w:t>
      </w:r>
      <w:r>
        <w:rPr>
          <w:rStyle w:val="31"/>
          <w:rFonts w:hint="eastAsia" w:ascii="Times New Roman" w:hAnsi="Times New Roman" w:eastAsia="仿宋_GB2312" w:cs="Times New Roman"/>
          <w:sz w:val="21"/>
          <w:szCs w:val="21"/>
          <w:lang w:eastAsia="zh-CN"/>
        </w:rPr>
        <w:t>的城镇风貌</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_Toc9229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38</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4D92608">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_Toc32442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第八节 有序推进城镇更新</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_Toc32442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38</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32B49D19">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_Toc26392 </w:instrText>
      </w:r>
      <w:r>
        <w:rPr>
          <w:rFonts w:asciiTheme="minorEastAsia" w:hAnsiTheme="minorEastAsia" w:eastAsiaTheme="minorEastAsia"/>
          <w:szCs w:val="48"/>
        </w:rPr>
        <w:fldChar w:fldCharType="separate"/>
      </w:r>
      <w:r>
        <w:rPr>
          <w:rFonts w:hint="eastAsia" w:ascii="方正小标宋_GBK" w:hAnsi="黑体" w:eastAsia="方正小标宋_GBK"/>
          <w:spacing w:val="5"/>
        </w:rPr>
        <w:t xml:space="preserve">第九章 </w:t>
      </w:r>
      <w:r>
        <w:rPr>
          <w:rFonts w:ascii="方正小标宋_GBK" w:hAnsi="方正小标宋_GBK" w:eastAsia="方正小标宋_GBK"/>
          <w:spacing w:val="5"/>
        </w:rPr>
        <w:t>规划传导实施与保障</w:t>
      </w:r>
      <w:r>
        <w:tab/>
      </w:r>
      <w:r>
        <w:fldChar w:fldCharType="begin"/>
      </w:r>
      <w:r>
        <w:instrText xml:space="preserve"> PAGEREF _Toc26392 \h </w:instrText>
      </w:r>
      <w:r>
        <w:fldChar w:fldCharType="separate"/>
      </w:r>
      <w:r>
        <w:t>40</w:t>
      </w:r>
      <w:r>
        <w:fldChar w:fldCharType="end"/>
      </w:r>
      <w:r>
        <w:rPr>
          <w:rFonts w:asciiTheme="minorEastAsia" w:hAnsiTheme="minorEastAsia" w:eastAsiaTheme="minorEastAsia"/>
          <w:color w:val="auto"/>
          <w:szCs w:val="48"/>
        </w:rPr>
        <w:fldChar w:fldCharType="end"/>
      </w:r>
    </w:p>
    <w:p w14:paraId="4CAE9D91">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_Toc7035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第一节 制定单元规划</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_Toc7035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40</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7FCD2293">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_Toc29128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第二节 近期行动计划</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_Toc29128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41</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19F6BBC1">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_Toc8370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第三节 规划实施保障</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_Toc8370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41</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7552FA3">
      <w:pPr>
        <w:pStyle w:val="19"/>
        <w:tabs>
          <w:tab w:val="right" w:leader="dot" w:pos="8970"/>
        </w:tabs>
      </w:pPr>
      <w:r>
        <w:rPr>
          <w:rFonts w:asciiTheme="minorEastAsia" w:hAnsiTheme="minorEastAsia" w:eastAsiaTheme="minorEastAsia"/>
          <w:color w:val="auto"/>
          <w:szCs w:val="48"/>
        </w:rPr>
        <w:fldChar w:fldCharType="begin"/>
      </w:r>
      <w:r>
        <w:rPr>
          <w:rFonts w:asciiTheme="minorEastAsia" w:hAnsiTheme="minorEastAsia" w:eastAsiaTheme="minorEastAsia"/>
          <w:szCs w:val="48"/>
        </w:rPr>
        <w:instrText xml:space="preserve"> HYPERLINK \l _Toc6643 </w:instrText>
      </w:r>
      <w:r>
        <w:rPr>
          <w:rFonts w:asciiTheme="minorEastAsia" w:hAnsiTheme="minorEastAsia" w:eastAsiaTheme="minorEastAsia"/>
          <w:szCs w:val="48"/>
        </w:rPr>
        <w:fldChar w:fldCharType="separate"/>
      </w:r>
      <w:r>
        <w:rPr>
          <w:rFonts w:hint="eastAsia" w:ascii="方正小标宋_GBK" w:hAnsi="黑体" w:eastAsia="方正小标宋_GBK"/>
          <w:spacing w:val="5"/>
          <w:lang w:eastAsia="zh-CN"/>
        </w:rPr>
        <w:t xml:space="preserve">第十章 </w:t>
      </w:r>
      <w:r>
        <w:rPr>
          <w:rFonts w:hint="eastAsia" w:ascii="方正小标宋_GBK" w:hAnsi="方正小标宋_GBK" w:eastAsia="方正小标宋_GBK"/>
          <w:spacing w:val="5"/>
          <w:highlight w:val="none"/>
          <w:lang w:eastAsia="zh-CN"/>
        </w:rPr>
        <w:t>乡村地区“通则式”规划技术管理规定</w:t>
      </w:r>
      <w:r>
        <w:tab/>
      </w:r>
      <w:r>
        <w:fldChar w:fldCharType="begin"/>
      </w:r>
      <w:r>
        <w:instrText xml:space="preserve"> PAGEREF _Toc6643 \h </w:instrText>
      </w:r>
      <w:r>
        <w:fldChar w:fldCharType="separate"/>
      </w:r>
      <w:r>
        <w:t>44</w:t>
      </w:r>
      <w:r>
        <w:fldChar w:fldCharType="end"/>
      </w:r>
      <w:r>
        <w:rPr>
          <w:rFonts w:asciiTheme="minorEastAsia" w:hAnsiTheme="minorEastAsia" w:eastAsiaTheme="minorEastAsia"/>
          <w:color w:val="auto"/>
          <w:szCs w:val="48"/>
        </w:rPr>
        <w:fldChar w:fldCharType="end"/>
      </w:r>
    </w:p>
    <w:p w14:paraId="27743C7E">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_Toc2529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 xml:space="preserve">第一节 </w:t>
      </w:r>
      <w:r>
        <w:rPr>
          <w:rStyle w:val="31"/>
          <w:rFonts w:hint="eastAsia" w:ascii="Times New Roman" w:hAnsi="Times New Roman" w:eastAsia="仿宋_GB2312" w:cs="Times New Roman"/>
          <w:sz w:val="21"/>
          <w:szCs w:val="21"/>
          <w:lang w:val="en-US" w:eastAsia="zh-CN"/>
        </w:rPr>
        <w:t>总则</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_Toc2529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44</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10079E7D">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_Toc7667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第二节 镇村体系</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_Toc7667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45</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4B4D5632">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_Toc4438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第三节 底线管控</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_Toc4438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46</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1F3C5238">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_Toc22227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第四节 指标管控</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_Toc22227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49</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3B3DF1C">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_Toc23581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第五节 用地布局</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_Toc23581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50</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25189D36">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_Toc27888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第六节 建设控制</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_Toc27888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57</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6799570E">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_Toc12949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第七节 交通组织</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_Toc12949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59</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1B7980EB">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_Toc10941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第八节 人居环境整治与风貌提升</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_Toc10941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60</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0FD680C">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_Toc4784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第九节 通用图则</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_Toc4784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62</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51E93904">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_Toc9863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第十节 实施管理规定</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_Toc9863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63</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02635771">
      <w:pPr>
        <w:pStyle w:val="22"/>
        <w:tabs>
          <w:tab w:val="left" w:pos="1100"/>
          <w:tab w:val="right" w:leader="dot" w:pos="8960"/>
        </w:tabs>
        <w:rPr>
          <w:rStyle w:val="31"/>
          <w:rFonts w:hint="eastAsia" w:ascii="Times New Roman" w:hAnsi="Times New Roman" w:eastAsia="仿宋_GB2312" w:cs="Times New Roman"/>
          <w:sz w:val="21"/>
          <w:szCs w:val="21"/>
          <w:lang w:eastAsia="zh-CN"/>
        </w:rPr>
      </w:pP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HYPERLINK \l _Toc4384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val="en-US" w:eastAsia="zh-CN"/>
        </w:rPr>
        <w:t>第十一节 附则</w:t>
      </w:r>
      <w:r>
        <w:rPr>
          <w:rStyle w:val="31"/>
          <w:rFonts w:hint="eastAsia" w:ascii="Times New Roman" w:hAnsi="Times New Roman" w:eastAsia="仿宋_GB2312" w:cs="Times New Roman"/>
          <w:sz w:val="21"/>
          <w:szCs w:val="21"/>
          <w:lang w:eastAsia="zh-CN"/>
        </w:rPr>
        <w:tab/>
      </w:r>
      <w:r>
        <w:rPr>
          <w:rStyle w:val="31"/>
          <w:rFonts w:hint="eastAsia" w:ascii="Times New Roman" w:hAnsi="Times New Roman" w:eastAsia="仿宋_GB2312" w:cs="Times New Roman"/>
          <w:sz w:val="21"/>
          <w:szCs w:val="21"/>
          <w:lang w:eastAsia="zh-CN"/>
        </w:rPr>
        <w:fldChar w:fldCharType="begin"/>
      </w:r>
      <w:r>
        <w:rPr>
          <w:rStyle w:val="31"/>
          <w:rFonts w:hint="eastAsia" w:ascii="Times New Roman" w:hAnsi="Times New Roman" w:eastAsia="仿宋_GB2312" w:cs="Times New Roman"/>
          <w:sz w:val="21"/>
          <w:szCs w:val="21"/>
          <w:lang w:eastAsia="zh-CN"/>
        </w:rPr>
        <w:instrText xml:space="preserve"> PAGEREF _Toc4384 \h </w:instrText>
      </w:r>
      <w:r>
        <w:rPr>
          <w:rStyle w:val="31"/>
          <w:rFonts w:hint="eastAsia" w:ascii="Times New Roman" w:hAnsi="Times New Roman" w:eastAsia="仿宋_GB2312" w:cs="Times New Roman"/>
          <w:sz w:val="21"/>
          <w:szCs w:val="21"/>
          <w:lang w:eastAsia="zh-CN"/>
        </w:rPr>
        <w:fldChar w:fldCharType="separate"/>
      </w:r>
      <w:r>
        <w:rPr>
          <w:rStyle w:val="31"/>
          <w:rFonts w:hint="eastAsia" w:ascii="Times New Roman" w:hAnsi="Times New Roman" w:eastAsia="仿宋_GB2312" w:cs="Times New Roman"/>
          <w:sz w:val="21"/>
          <w:szCs w:val="21"/>
          <w:lang w:eastAsia="zh-CN"/>
        </w:rPr>
        <w:t>65</w:t>
      </w:r>
      <w:r>
        <w:rPr>
          <w:rStyle w:val="31"/>
          <w:rFonts w:hint="eastAsia" w:ascii="Times New Roman" w:hAnsi="Times New Roman" w:eastAsia="仿宋_GB2312" w:cs="Times New Roman"/>
          <w:sz w:val="21"/>
          <w:szCs w:val="21"/>
          <w:lang w:eastAsia="zh-CN"/>
        </w:rPr>
        <w:fldChar w:fldCharType="end"/>
      </w:r>
      <w:r>
        <w:rPr>
          <w:rStyle w:val="31"/>
          <w:rFonts w:hint="eastAsia" w:ascii="Times New Roman" w:hAnsi="Times New Roman" w:eastAsia="仿宋_GB2312" w:cs="Times New Roman"/>
          <w:sz w:val="21"/>
          <w:szCs w:val="21"/>
          <w:lang w:eastAsia="zh-CN"/>
        </w:rPr>
        <w:fldChar w:fldCharType="end"/>
      </w:r>
    </w:p>
    <w:p w14:paraId="1C658D2E">
      <w:pPr>
        <w:spacing w:line="288" w:lineRule="auto"/>
        <w:ind w:firstLine="468" w:firstLineChars="213"/>
        <w:jc w:val="center"/>
        <w:rPr>
          <w:rFonts w:ascii="宋体" w:eastAsia="宋体"/>
          <w:color w:val="auto"/>
        </w:rPr>
        <w:sectPr>
          <w:headerReference r:id="rId3" w:type="default"/>
          <w:footerReference r:id="rId4" w:type="default"/>
          <w:pgSz w:w="11910" w:h="16850"/>
          <w:pgMar w:top="1360" w:right="1380" w:bottom="1898" w:left="1560" w:header="645" w:footer="1443" w:gutter="0"/>
          <w:pgBorders>
            <w:top w:val="none" w:sz="0" w:space="0"/>
            <w:left w:val="none" w:sz="0" w:space="0"/>
            <w:bottom w:val="none" w:sz="0" w:space="0"/>
            <w:right w:val="none" w:sz="0" w:space="0"/>
          </w:pgBorders>
          <w:pgNumType w:fmt="upperRoman" w:start="1"/>
          <w:cols w:space="720" w:num="1"/>
        </w:sectPr>
      </w:pPr>
      <w:r>
        <w:rPr>
          <w:rFonts w:asciiTheme="minorEastAsia" w:hAnsiTheme="minorEastAsia" w:eastAsiaTheme="minorEastAsia"/>
          <w:color w:val="auto"/>
          <w:szCs w:val="48"/>
        </w:rPr>
        <w:fldChar w:fldCharType="end"/>
      </w:r>
    </w:p>
    <w:p w14:paraId="669C831C">
      <w:pPr>
        <w:pStyle w:val="2"/>
        <w:spacing w:before="0" w:line="360" w:lineRule="auto"/>
        <w:ind w:left="0" w:firstLine="0"/>
        <w:jc w:val="center"/>
        <w:rPr>
          <w:rFonts w:ascii="方正小标宋_GBK" w:hAnsi="方正小标宋_GBK" w:eastAsia="方正小标宋_GBK"/>
          <w:color w:val="auto"/>
          <w:spacing w:val="5"/>
        </w:rPr>
      </w:pPr>
      <w:bookmarkStart w:id="0" w:name="_bookmark0"/>
      <w:bookmarkEnd w:id="0"/>
      <w:bookmarkStart w:id="1" w:name="_bookmark1"/>
      <w:bookmarkEnd w:id="1"/>
      <w:bookmarkStart w:id="2" w:name="_Toc8714"/>
      <w:r>
        <w:rPr>
          <w:rFonts w:ascii="方正小标宋_GBK" w:hAnsi="方正小标宋_GBK" w:eastAsia="方正小标宋_GBK"/>
          <w:color w:val="auto"/>
          <w:spacing w:val="5"/>
        </w:rPr>
        <w:t>发展定位与目标</w:t>
      </w:r>
      <w:bookmarkEnd w:id="2"/>
    </w:p>
    <w:p w14:paraId="1D5EB9CB">
      <w:pPr>
        <w:pStyle w:val="13"/>
        <w:spacing w:before="0" w:beforeLines="0" w:line="360" w:lineRule="auto"/>
        <w:ind w:left="0" w:leftChars="0" w:right="0" w:rightChars="0" w:firstLine="640"/>
        <w:rPr>
          <w:rFonts w:ascii="仿宋_GB2312" w:hAnsi="仿宋_GB2312" w:eastAsia="仿宋_GB2312" w:cs="仿宋_GB2312"/>
          <w:color w:val="auto"/>
          <w:lang w:val="en-US"/>
        </w:rPr>
      </w:pPr>
      <w:r>
        <w:rPr>
          <w:rFonts w:hint="eastAsia" w:ascii="仿宋_GB2312" w:hAnsi="仿宋_GB2312" w:eastAsia="仿宋_GB2312" w:cs="仿宋_GB2312"/>
          <w:color w:val="auto"/>
        </w:rPr>
        <w:t>全面落实乡村振兴战略，积极推进城乡统筹发展，形成资源节约、环境友好、经济高效、社会和谐的城镇发展新格局。科学确定国土空间开发保护的目标定位和规划策略，优化镇村布局结构和城镇空间布局结构，加快发展，形成特色，尽快把</w:t>
      </w:r>
      <w:r>
        <w:rPr>
          <w:rFonts w:hint="eastAsia" w:ascii="仿宋_GB2312" w:hAnsi="仿宋_GB2312" w:eastAsia="仿宋_GB2312" w:cs="仿宋_GB2312"/>
          <w:color w:val="auto"/>
          <w:lang w:eastAsia="zh-CN"/>
        </w:rPr>
        <w:t>青龙集镇</w:t>
      </w:r>
      <w:r>
        <w:rPr>
          <w:rFonts w:hint="eastAsia" w:ascii="仿宋_GB2312" w:hAnsi="仿宋_GB2312" w:eastAsia="仿宋_GB2312" w:cs="仿宋_GB2312"/>
          <w:color w:val="auto"/>
        </w:rPr>
        <w:t>建设成为</w:t>
      </w:r>
      <w:r>
        <w:rPr>
          <w:rFonts w:hint="eastAsia" w:ascii="仿宋_GB2312" w:hAnsi="仿宋_GB2312" w:eastAsia="仿宋_GB2312" w:cs="仿宋_GB2312"/>
          <w:color w:val="auto"/>
          <w:lang w:val="en-US"/>
        </w:rPr>
        <w:t>皖豫边界、萧县西部的商贸服务门户镇、现代农业创新镇。</w:t>
      </w:r>
    </w:p>
    <w:p w14:paraId="560A5472">
      <w:pPr>
        <w:pStyle w:val="3"/>
        <w:numPr>
          <w:ilvl w:val="0"/>
          <w:numId w:val="4"/>
        </w:numPr>
        <w:spacing w:before="240" w:after="240"/>
        <w:ind w:left="0" w:firstLine="0"/>
        <w:jc w:val="center"/>
        <w:rPr>
          <w:rFonts w:ascii="黑体" w:hAnsi="黑体" w:eastAsia="黑体"/>
          <w:color w:val="auto"/>
          <w:lang w:eastAsia="zh-CN"/>
        </w:rPr>
      </w:pPr>
      <w:bookmarkStart w:id="3" w:name="_bookmark2"/>
      <w:bookmarkEnd w:id="3"/>
      <w:bookmarkStart w:id="4" w:name="_Toc30580"/>
      <w:r>
        <w:rPr>
          <w:rFonts w:hint="eastAsia" w:ascii="黑体" w:hAnsi="黑体" w:eastAsia="黑体"/>
          <w:color w:val="auto"/>
          <w:lang w:eastAsia="zh-CN"/>
        </w:rPr>
        <w:t>发展定位</w:t>
      </w:r>
      <w:bookmarkEnd w:id="4"/>
    </w:p>
    <w:p w14:paraId="65567FFD">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发展定位</w:t>
      </w:r>
    </w:p>
    <w:p w14:paraId="4279004D">
      <w:pPr>
        <w:pStyle w:val="13"/>
        <w:spacing w:before="0" w:beforeLines="0" w:line="360" w:lineRule="auto"/>
        <w:ind w:left="0" w:leftChars="0" w:right="0" w:rightChars="0" w:firstLine="640"/>
        <w:rPr>
          <w:rFonts w:ascii="仿宋_GB2312" w:hAnsi="仿宋_GB2312" w:eastAsia="仿宋_GB2312" w:cs="仿宋_GB2312"/>
          <w:color w:val="auto"/>
        </w:rPr>
      </w:pPr>
      <w:r>
        <w:rPr>
          <w:rFonts w:hint="eastAsia" w:ascii="仿宋_GB2312" w:hAnsi="仿宋_GB2312" w:eastAsia="仿宋_GB2312" w:cs="仿宋_GB2312"/>
          <w:color w:val="auto"/>
          <w:lang w:val="en-US"/>
        </w:rPr>
        <w:t>皖豫边界、萧县西部的商贸服务门户镇、现代农业创新镇</w:t>
      </w:r>
      <w:r>
        <w:rPr>
          <w:rFonts w:hint="eastAsia" w:ascii="仿宋_GB2312" w:hAnsi="仿宋_GB2312" w:eastAsia="仿宋_GB2312" w:cs="仿宋_GB2312"/>
          <w:color w:val="auto"/>
        </w:rPr>
        <w:t>。</w:t>
      </w:r>
    </w:p>
    <w:p w14:paraId="38F1B1EF">
      <w:pPr>
        <w:pStyle w:val="3"/>
        <w:numPr>
          <w:ilvl w:val="0"/>
          <w:numId w:val="4"/>
        </w:numPr>
        <w:spacing w:before="240" w:after="240"/>
        <w:ind w:left="0" w:firstLine="0"/>
        <w:jc w:val="center"/>
        <w:rPr>
          <w:rFonts w:ascii="黑体" w:hAnsi="黑体" w:eastAsia="黑体"/>
          <w:color w:val="auto"/>
          <w:lang w:eastAsia="zh-CN"/>
        </w:rPr>
      </w:pPr>
      <w:bookmarkStart w:id="5" w:name="_bookmark3"/>
      <w:bookmarkEnd w:id="5"/>
      <w:bookmarkStart w:id="6" w:name="_Toc31890"/>
      <w:r>
        <w:rPr>
          <w:rFonts w:hint="eastAsia" w:ascii="黑体" w:hAnsi="黑体" w:eastAsia="黑体"/>
          <w:color w:val="auto"/>
          <w:lang w:eastAsia="zh-CN"/>
        </w:rPr>
        <w:t>国土空间开发保护目标</w:t>
      </w:r>
      <w:bookmarkEnd w:id="6"/>
    </w:p>
    <w:p w14:paraId="2B43FC3C">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总体目标</w:t>
      </w:r>
    </w:p>
    <w:p w14:paraId="6A305E8A">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到2025年，底线管控进一步强化，空间格局进一步优化，产业空间高效，公共设施布局提升，为城乡统筹发展做好支撑；至2035年，形成底线牢固、生态优先、协调发展、资源高效利用的国土空间开发保护新格局，镇域空间品质、创新环境、综合实力大幅跃升，全面建成商贸服务门户镇、现代农业创新镇。</w:t>
      </w:r>
    </w:p>
    <w:p w14:paraId="5CA7BEAE">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分项目标</w:t>
      </w:r>
    </w:p>
    <w:p w14:paraId="2A4AFE4A">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空间底线全面筑牢。耕地和永久基本农田得到切实保护，全面落实下达的保护任务，逐步把具备条件的永久基本农田全部建成高标准农田。河湖、林地等生态空间得到充分保护与修复，生态系统稳定性不断增强，生态保护红线等生态底线空间得到全面保护。</w:t>
      </w:r>
    </w:p>
    <w:p w14:paraId="1A0A380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空间结构持续优化，空间效率不断提高。农业生产空间格局合理优化，生态保护空间格局显著改善，城镇发展空间格局更加均衡，区域协调、城乡融合发展新格局基本形成。建设用地规模得到合理控制，节约集约成效明显，人均建设用地使用水平控制在合理区间，建设用地使用效率居于领先地位。</w:t>
      </w:r>
    </w:p>
    <w:p w14:paraId="151306AF">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空间品质显著提升。充分保障重点项目建设空间，城乡公共服务配置水平达到较高水平，城乡环境和公共服务质量明显改善，建成宜居宜业宜游城镇。</w:t>
      </w:r>
    </w:p>
    <w:p w14:paraId="1D371D39">
      <w:pPr>
        <w:pStyle w:val="3"/>
        <w:numPr>
          <w:ilvl w:val="0"/>
          <w:numId w:val="4"/>
        </w:numPr>
        <w:spacing w:before="240" w:after="240"/>
        <w:ind w:left="0" w:firstLine="0"/>
        <w:jc w:val="center"/>
        <w:rPr>
          <w:rFonts w:ascii="黑体" w:hAnsi="黑体" w:eastAsia="黑体"/>
          <w:color w:val="auto"/>
          <w:lang w:eastAsia="zh-CN"/>
        </w:rPr>
      </w:pPr>
      <w:bookmarkStart w:id="7" w:name="_Toc21721"/>
      <w:r>
        <w:rPr>
          <w:rFonts w:hint="eastAsia" w:ascii="黑体" w:hAnsi="黑体" w:eastAsia="黑体"/>
          <w:color w:val="auto"/>
          <w:lang w:eastAsia="zh-CN"/>
        </w:rPr>
        <w:t>国土空间开发保护策略</w:t>
      </w:r>
      <w:bookmarkEnd w:id="7"/>
    </w:p>
    <w:p w14:paraId="6668D318">
      <w:pPr>
        <w:pStyle w:val="46"/>
        <w:spacing w:before="0" w:line="360" w:lineRule="auto"/>
        <w:ind w:left="0" w:right="108" w:firstLine="718" w:firstLineChars="213"/>
        <w:rPr>
          <w:rFonts w:eastAsia="仿宋"/>
          <w:color w:val="auto"/>
          <w:w w:val="105"/>
          <w:sz w:val="32"/>
        </w:rPr>
      </w:pPr>
      <w:r>
        <w:rPr>
          <w:rFonts w:eastAsia="仿宋"/>
          <w:color w:val="auto"/>
          <w:w w:val="105"/>
          <w:sz w:val="32"/>
        </w:rPr>
        <w:t>筑牢底线、韧性安全</w:t>
      </w:r>
    </w:p>
    <w:p w14:paraId="5E77332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落实上位国土空间保护格局，严守永久基本农田、生态保护红线、城镇开发边界三条控制线；合理划定其他保护线，明确水资源等管控范围。有效应对粮食安全、生态安全、能源资源安全、公共安全、产业安全等方面的问题和挑战，完善国土安全基础设施，增强城镇安全韧性。科学统筹安排各类空间，因地制宜，构建合理的总体空间格局。</w:t>
      </w:r>
    </w:p>
    <w:p w14:paraId="1DF36865">
      <w:pPr>
        <w:pStyle w:val="46"/>
        <w:spacing w:before="0" w:line="360" w:lineRule="auto"/>
        <w:ind w:left="0" w:right="108" w:firstLine="718" w:firstLineChars="213"/>
        <w:rPr>
          <w:rFonts w:eastAsia="仿宋"/>
          <w:color w:val="auto"/>
          <w:w w:val="105"/>
          <w:sz w:val="32"/>
        </w:rPr>
      </w:pPr>
      <w:r>
        <w:rPr>
          <w:rFonts w:eastAsia="仿宋"/>
          <w:color w:val="auto"/>
          <w:w w:val="105"/>
          <w:sz w:val="32"/>
        </w:rPr>
        <w:t>产业</w:t>
      </w:r>
      <w:r>
        <w:rPr>
          <w:rFonts w:hint="eastAsia" w:eastAsia="仿宋"/>
          <w:color w:val="auto"/>
          <w:w w:val="105"/>
          <w:sz w:val="32"/>
        </w:rPr>
        <w:t>提能</w:t>
      </w:r>
      <w:r>
        <w:rPr>
          <w:rFonts w:eastAsia="仿宋"/>
          <w:color w:val="auto"/>
          <w:w w:val="105"/>
          <w:sz w:val="32"/>
        </w:rPr>
        <w:t>，</w:t>
      </w:r>
      <w:r>
        <w:rPr>
          <w:rFonts w:hint="eastAsia" w:eastAsia="仿宋"/>
          <w:color w:val="auto"/>
          <w:w w:val="105"/>
          <w:sz w:val="32"/>
        </w:rPr>
        <w:t>联动发展</w:t>
      </w:r>
    </w:p>
    <w:p w14:paraId="1DF8A7C3">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围绕“产镇共进，文旅融合”的主题，构建镇域镇村体系、综合交通体系、市政设施与公共服务设施配套体系，打造区域协同的镇域产业空间结构，形成以现代农业、蔬菜种植为基础，农副产品加工、乡村旅游为延伸的产业格局。</w:t>
      </w:r>
    </w:p>
    <w:p w14:paraId="674898BD">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城乡统筹</w:t>
      </w:r>
      <w:r>
        <w:rPr>
          <w:rFonts w:eastAsia="仿宋"/>
          <w:color w:val="auto"/>
          <w:w w:val="105"/>
          <w:sz w:val="32"/>
        </w:rPr>
        <w:t>、</w:t>
      </w:r>
      <w:r>
        <w:rPr>
          <w:rFonts w:hint="eastAsia" w:eastAsia="仿宋"/>
          <w:color w:val="auto"/>
          <w:w w:val="105"/>
          <w:sz w:val="32"/>
        </w:rPr>
        <w:t>设施便民</w:t>
      </w:r>
    </w:p>
    <w:p w14:paraId="67186DA3">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按照“创新、协调、绿色、开放、共享”的要求，突出地方特色、彰显文化内涵、优化空间结构、完善设施配置，实现公服均等，设施共享，共建城乡生活圈。坚持以人民为中心，充分尊重群众意愿，反映群众诉求，统筹区域空间和资源配置。建设高标准、高规格配套设施，按照镇区—重点村—基层村进行配置。</w:t>
      </w:r>
    </w:p>
    <w:p w14:paraId="2F330465">
      <w:pPr>
        <w:pStyle w:val="46"/>
        <w:spacing w:before="0" w:line="360" w:lineRule="auto"/>
        <w:ind w:left="0" w:right="108" w:firstLine="718" w:firstLineChars="213"/>
        <w:rPr>
          <w:rFonts w:eastAsia="仿宋"/>
          <w:color w:val="auto"/>
          <w:w w:val="105"/>
          <w:sz w:val="32"/>
        </w:rPr>
      </w:pPr>
      <w:r>
        <w:rPr>
          <w:rFonts w:eastAsia="仿宋"/>
          <w:color w:val="auto"/>
          <w:w w:val="105"/>
          <w:sz w:val="32"/>
        </w:rPr>
        <w:t>品质提升，</w:t>
      </w:r>
      <w:r>
        <w:rPr>
          <w:rFonts w:hint="eastAsia" w:eastAsia="仿宋"/>
          <w:color w:val="auto"/>
          <w:w w:val="105"/>
          <w:sz w:val="32"/>
        </w:rPr>
        <w:t>魅力</w:t>
      </w:r>
      <w:r>
        <w:rPr>
          <w:rFonts w:eastAsia="仿宋"/>
          <w:color w:val="auto"/>
          <w:w w:val="105"/>
          <w:sz w:val="32"/>
        </w:rPr>
        <w:t>彰显</w:t>
      </w:r>
    </w:p>
    <w:p w14:paraId="533C6C0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加强生态修复，对生态空间进行修复保护。全域土地综合整治，对农用地、建设用地进行整治。加强乡村人居环境治理，改善村民居住环境。统筹乡村景观风貌，构建生态景观格局。</w:t>
      </w:r>
    </w:p>
    <w:p w14:paraId="50096AD6">
      <w:pPr>
        <w:pStyle w:val="13"/>
        <w:autoSpaceDE/>
        <w:autoSpaceDN/>
        <w:spacing w:beforeLines="0"/>
        <w:ind w:left="110" w:right="110" w:firstLine="681" w:firstLineChars="213"/>
        <w:contextualSpacing/>
        <w:rPr>
          <w:rFonts w:ascii="Times New Roman" w:hAnsi="Times New Roman" w:eastAsia="仿宋_GB2312" w:cs="Times New Roman"/>
          <w:color w:val="auto"/>
          <w:lang w:val="en-US" w:eastAsia="zh-CN"/>
        </w:rPr>
        <w:sectPr>
          <w:footerReference r:id="rId5" w:type="default"/>
          <w:pgSz w:w="11910" w:h="16850"/>
          <w:pgMar w:top="1360" w:right="1380" w:bottom="1640" w:left="1560" w:header="645" w:footer="1443" w:gutter="0"/>
          <w:pgBorders>
            <w:top w:val="none" w:sz="0" w:space="0"/>
            <w:left w:val="none" w:sz="0" w:space="0"/>
            <w:bottom w:val="none" w:sz="0" w:space="0"/>
            <w:right w:val="none" w:sz="0" w:space="0"/>
          </w:pgBorders>
          <w:cols w:space="720" w:num="1"/>
        </w:sectPr>
      </w:pPr>
    </w:p>
    <w:p w14:paraId="14547E38">
      <w:pPr>
        <w:pStyle w:val="2"/>
        <w:spacing w:before="0" w:line="360" w:lineRule="auto"/>
        <w:ind w:left="0" w:firstLine="0"/>
        <w:jc w:val="center"/>
        <w:rPr>
          <w:rFonts w:ascii="方正小标宋_GBK" w:hAnsi="方正小标宋_GBK" w:eastAsia="方正小标宋_GBK"/>
          <w:color w:val="auto"/>
          <w:spacing w:val="5"/>
          <w:highlight w:val="none"/>
        </w:rPr>
      </w:pPr>
      <w:bookmarkStart w:id="8" w:name="_bookmark5"/>
      <w:bookmarkEnd w:id="8"/>
      <w:bookmarkStart w:id="9" w:name="_Toc28175"/>
      <w:r>
        <w:rPr>
          <w:rFonts w:hint="eastAsia" w:ascii="方正小标宋_GBK" w:hAnsi="方正小标宋_GBK" w:eastAsia="方正小标宋_GBK"/>
          <w:color w:val="auto"/>
          <w:spacing w:val="5"/>
          <w:highlight w:val="none"/>
        </w:rPr>
        <w:t>以</w:t>
      </w:r>
      <w:r>
        <w:rPr>
          <w:rFonts w:hint="eastAsia" w:ascii="方正小标宋_GBK" w:hAnsi="方正小标宋_GBK" w:eastAsia="方正小标宋_GBK"/>
          <w:color w:val="auto"/>
          <w:spacing w:val="5"/>
          <w:highlight w:val="none"/>
          <w:lang w:eastAsia="zh-CN"/>
        </w:rPr>
        <w:t>“</w:t>
      </w:r>
      <w:r>
        <w:rPr>
          <w:rFonts w:hint="eastAsia" w:ascii="方正小标宋_GBK" w:hAnsi="方正小标宋_GBK" w:eastAsia="方正小标宋_GBK"/>
          <w:color w:val="auto"/>
          <w:spacing w:val="5"/>
          <w:highlight w:val="none"/>
        </w:rPr>
        <w:t>三区三线</w:t>
      </w:r>
      <w:r>
        <w:rPr>
          <w:rFonts w:hint="eastAsia" w:ascii="方正小标宋_GBK" w:hAnsi="方正小标宋_GBK" w:eastAsia="方正小标宋_GBK"/>
          <w:color w:val="auto"/>
          <w:spacing w:val="5"/>
          <w:highlight w:val="none"/>
          <w:lang w:eastAsia="zh-CN"/>
        </w:rPr>
        <w:t>”</w:t>
      </w:r>
      <w:r>
        <w:rPr>
          <w:rFonts w:hint="eastAsia" w:ascii="方正小标宋_GBK" w:hAnsi="方正小标宋_GBK" w:eastAsia="方正小标宋_GBK"/>
          <w:color w:val="auto"/>
          <w:spacing w:val="5"/>
          <w:highlight w:val="none"/>
        </w:rPr>
        <w:t>为基础，构建</w:t>
      </w:r>
      <w:r>
        <w:rPr>
          <w:rFonts w:ascii="方正小标宋_GBK" w:hAnsi="方正小标宋_GBK" w:eastAsia="方正小标宋_GBK"/>
          <w:color w:val="auto"/>
          <w:spacing w:val="5"/>
          <w:highlight w:val="none"/>
        </w:rPr>
        <w:t>国土空间</w:t>
      </w:r>
      <w:r>
        <w:rPr>
          <w:rFonts w:hint="eastAsia" w:ascii="方正小标宋_GBK" w:hAnsi="方正小标宋_GBK" w:eastAsia="方正小标宋_GBK"/>
          <w:color w:val="auto"/>
          <w:spacing w:val="5"/>
          <w:highlight w:val="none"/>
        </w:rPr>
        <w:t>开发保护新</w:t>
      </w:r>
      <w:r>
        <w:rPr>
          <w:rFonts w:ascii="方正小标宋_GBK" w:hAnsi="方正小标宋_GBK" w:eastAsia="方正小标宋_GBK"/>
          <w:color w:val="auto"/>
          <w:spacing w:val="5"/>
          <w:highlight w:val="none"/>
        </w:rPr>
        <w:t>格局</w:t>
      </w:r>
      <w:bookmarkEnd w:id="9"/>
      <w:r>
        <w:rPr>
          <w:rFonts w:hint="eastAsia" w:ascii="方正小标宋_GBK" w:hAnsi="方正小标宋_GBK" w:eastAsia="方正小标宋_GBK"/>
          <w:color w:val="auto"/>
          <w:spacing w:val="5"/>
          <w:highlight w:val="none"/>
        </w:rPr>
        <w:t xml:space="preserve"> </w:t>
      </w:r>
    </w:p>
    <w:p w14:paraId="087AE218">
      <w:pPr>
        <w:pStyle w:val="13"/>
        <w:spacing w:before="0" w:beforeLines="0" w:line="360" w:lineRule="auto"/>
        <w:ind w:left="0" w:leftChars="0" w:right="0" w:rightChars="0" w:firstLine="64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尊重自然资源本底条件、遵循乡镇发展规律，</w:t>
      </w:r>
      <w:r>
        <w:rPr>
          <w:rFonts w:hint="eastAsia" w:ascii="仿宋_GB2312" w:hAnsi="仿宋_GB2312" w:eastAsia="仿宋_GB2312" w:cs="仿宋_GB2312"/>
          <w:color w:val="auto"/>
          <w:highlight w:val="none"/>
        </w:rPr>
        <w:t>以第三次全国国土调查数据为基础，落实上位规划耕地和永久基本农田、生态 保护红线和城镇开发边界，落实县级主体功能区布局，优化农业、 生态、城镇三大空间，构建</w:t>
      </w:r>
      <w:r>
        <w:rPr>
          <w:rFonts w:hint="eastAsia" w:ascii="Times New Roman" w:hAnsi="Times New Roman" w:eastAsia="仿宋_GB2312" w:cs="Times New Roman"/>
          <w:color w:val="auto"/>
          <w:lang w:val="en-US" w:eastAsia="zh-CN"/>
        </w:rPr>
        <w:t>“一心两轴两区多点”</w:t>
      </w:r>
      <w:r>
        <w:rPr>
          <w:rFonts w:hint="eastAsia" w:ascii="仿宋_GB2312" w:hAnsi="仿宋_GB2312" w:eastAsia="仿宋_GB2312" w:cs="仿宋_GB2312"/>
          <w:color w:val="auto"/>
          <w:highlight w:val="none"/>
        </w:rPr>
        <w:t>的镇域国土空间总体格局。</w:t>
      </w:r>
    </w:p>
    <w:p w14:paraId="6D406B96">
      <w:pPr>
        <w:pStyle w:val="3"/>
        <w:numPr>
          <w:ilvl w:val="0"/>
          <w:numId w:val="5"/>
        </w:numPr>
        <w:spacing w:before="240" w:after="240"/>
        <w:ind w:left="0" w:firstLine="0"/>
        <w:jc w:val="center"/>
        <w:rPr>
          <w:rFonts w:ascii="黑体" w:hAnsi="黑体" w:eastAsia="黑体"/>
          <w:color w:val="auto"/>
          <w:highlight w:val="none"/>
          <w:lang w:eastAsia="zh-CN"/>
        </w:rPr>
      </w:pPr>
      <w:bookmarkStart w:id="10" w:name="_bookmark6"/>
      <w:bookmarkEnd w:id="10"/>
      <w:bookmarkStart w:id="11" w:name="_Toc29050"/>
      <w:r>
        <w:rPr>
          <w:rFonts w:hint="eastAsia" w:ascii="黑体" w:hAnsi="黑体" w:eastAsia="黑体"/>
          <w:color w:val="auto"/>
          <w:highlight w:val="none"/>
          <w:lang w:val="en-US" w:eastAsia="zh-CN"/>
        </w:rPr>
        <w:t>高标准高质量</w:t>
      </w:r>
      <w:r>
        <w:rPr>
          <w:rFonts w:hint="eastAsia" w:ascii="黑体" w:hAnsi="黑体" w:eastAsia="黑体"/>
          <w:color w:val="auto"/>
          <w:highlight w:val="none"/>
          <w:lang w:eastAsia="zh-CN"/>
        </w:rPr>
        <w:t>落实“三</w:t>
      </w:r>
      <w:r>
        <w:rPr>
          <w:rFonts w:hint="eastAsia" w:ascii="黑体" w:hAnsi="黑体" w:eastAsia="黑体"/>
          <w:color w:val="auto"/>
          <w:highlight w:val="none"/>
          <w:lang w:val="en-US" w:eastAsia="zh-CN"/>
        </w:rPr>
        <w:t>区三</w:t>
      </w:r>
      <w:r>
        <w:rPr>
          <w:rFonts w:hint="eastAsia" w:ascii="黑体" w:hAnsi="黑体" w:eastAsia="黑体"/>
          <w:color w:val="auto"/>
          <w:highlight w:val="none"/>
          <w:lang w:eastAsia="zh-CN"/>
        </w:rPr>
        <w:t>线”</w:t>
      </w:r>
      <w:bookmarkEnd w:id="11"/>
    </w:p>
    <w:p w14:paraId="5B6C5486">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优先落实耕地和</w:t>
      </w:r>
      <w:r>
        <w:rPr>
          <w:rFonts w:hint="eastAsia" w:eastAsia="仿宋"/>
          <w:color w:val="auto"/>
          <w:w w:val="105"/>
          <w:sz w:val="32"/>
          <w:highlight w:val="none"/>
        </w:rPr>
        <w:t>永久基本农田</w:t>
      </w:r>
      <w:r>
        <w:rPr>
          <w:rFonts w:hint="eastAsia" w:eastAsia="仿宋"/>
          <w:color w:val="auto"/>
          <w:w w:val="105"/>
          <w:sz w:val="32"/>
          <w:highlight w:val="none"/>
          <w:lang w:val="en-US" w:eastAsia="zh-CN"/>
        </w:rPr>
        <w:t>保护红线</w:t>
      </w:r>
    </w:p>
    <w:p w14:paraId="65F37C6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u w:val="single"/>
          <w:lang w:val="en-US" w:eastAsia="zh-CN"/>
        </w:rPr>
      </w:pPr>
      <w:r>
        <w:rPr>
          <w:rFonts w:hint="eastAsia" w:ascii="Times New Roman" w:hAnsi="Times New Roman" w:eastAsia="仿宋_GB2312" w:cs="Times New Roman"/>
          <w:color w:val="auto"/>
          <w:highlight w:val="none"/>
          <w:lang w:val="en-US" w:eastAsia="zh-CN"/>
        </w:rPr>
        <w:t>坚持耕地数量和质量保护并重的原则，在保证青龙集镇经济社会稳步发展，粮食安全和生态安全得到保障的前提下，守牢耕地保护红线和粮食安全底线</w:t>
      </w:r>
      <w:r>
        <w:rPr>
          <w:rFonts w:hint="eastAsia" w:ascii="Times New Roman" w:hAnsi="Times New Roman" w:eastAsia="仿宋_GB2312" w:cs="Times New Roman"/>
          <w:color w:val="auto"/>
          <w:highlight w:val="none"/>
          <w:u w:val="none"/>
          <w:lang w:val="en-US" w:eastAsia="zh-CN"/>
        </w:rPr>
        <w:t>。</w:t>
      </w:r>
    </w:p>
    <w:p w14:paraId="1D5E94B2">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衔接落实城镇开发边界</w:t>
      </w:r>
    </w:p>
    <w:p w14:paraId="507B2E2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落实上位规划要求，在优先划定耕地和永久基本农田保护红线的基础上，顺应自然地理格局，</w:t>
      </w:r>
      <w:bookmarkStart w:id="103" w:name="_GoBack"/>
      <w:bookmarkEnd w:id="103"/>
      <w:r>
        <w:rPr>
          <w:rFonts w:hint="eastAsia" w:ascii="Times New Roman" w:hAnsi="Times New Roman" w:eastAsia="仿宋_GB2312" w:cs="Times New Roman"/>
          <w:color w:val="auto"/>
          <w:highlight w:val="none"/>
          <w:lang w:val="en-US" w:eastAsia="zh-CN"/>
        </w:rPr>
        <w:t>避让自然灾害高风险区域等，按照集约适度、绿色发展要求划定城镇开发边界。严控新增建设用地，防止城镇无序建设与蔓延发展，推动城镇紧凑发展和节约集约用地。</w:t>
      </w:r>
    </w:p>
    <w:p w14:paraId="67E5DFCB">
      <w:pPr>
        <w:pStyle w:val="3"/>
        <w:numPr>
          <w:ilvl w:val="0"/>
          <w:numId w:val="5"/>
        </w:numPr>
        <w:spacing w:before="240" w:after="240"/>
        <w:ind w:left="0" w:firstLine="0"/>
        <w:jc w:val="center"/>
        <w:rPr>
          <w:rFonts w:ascii="黑体" w:hAnsi="黑体" w:eastAsia="黑体"/>
          <w:color w:val="auto"/>
          <w:lang w:eastAsia="zh-CN"/>
        </w:rPr>
      </w:pPr>
      <w:bookmarkStart w:id="12" w:name="_Toc6786"/>
      <w:r>
        <w:rPr>
          <w:rFonts w:hint="eastAsia" w:ascii="黑体" w:hAnsi="黑体" w:eastAsia="黑体"/>
          <w:color w:val="auto"/>
          <w:lang w:eastAsia="zh-CN"/>
        </w:rPr>
        <w:t>塑造镇域发展新格局</w:t>
      </w:r>
      <w:bookmarkEnd w:id="12"/>
    </w:p>
    <w:p w14:paraId="78C76475">
      <w:pPr>
        <w:pStyle w:val="46"/>
        <w:spacing w:before="0" w:line="360" w:lineRule="auto"/>
        <w:ind w:left="0" w:right="108" w:firstLine="718" w:firstLineChars="213"/>
        <w:rPr>
          <w:rFonts w:eastAsia="仿宋"/>
          <w:color w:val="auto"/>
          <w:w w:val="105"/>
          <w:sz w:val="32"/>
        </w:rPr>
      </w:pPr>
      <w:r>
        <w:rPr>
          <w:rFonts w:hint="eastAsia" w:eastAsia="仿宋"/>
          <w:color w:val="auto"/>
          <w:w w:val="105"/>
          <w:sz w:val="32"/>
          <w:lang w:val="en-US" w:eastAsia="zh-CN"/>
        </w:rPr>
        <w:t>构建</w:t>
      </w:r>
      <w:r>
        <w:rPr>
          <w:rFonts w:hint="eastAsia" w:eastAsia="仿宋"/>
          <w:color w:val="auto"/>
          <w:w w:val="105"/>
          <w:sz w:val="32"/>
        </w:rPr>
        <w:t>国土空间总体格局</w:t>
      </w:r>
    </w:p>
    <w:p w14:paraId="1465C40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传承生态人文空间格局，塑造“一心两轴两区多点”的镇域空间发展格局。</w:t>
      </w:r>
    </w:p>
    <w:p w14:paraId="29134FAF">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明确</w:t>
      </w:r>
      <w:r>
        <w:rPr>
          <w:rFonts w:hint="eastAsia" w:eastAsia="仿宋"/>
          <w:color w:val="auto"/>
          <w:w w:val="105"/>
          <w:sz w:val="32"/>
          <w:highlight w:val="none"/>
        </w:rPr>
        <w:t>国土空间规划分区</w:t>
      </w:r>
    </w:p>
    <w:p w14:paraId="64E4ABBD">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bookmarkStart w:id="13" w:name="_Hlk150604824"/>
      <w:r>
        <w:rPr>
          <w:rFonts w:hint="eastAsia" w:ascii="Times New Roman" w:hAnsi="Times New Roman" w:eastAsia="仿宋_GB2312" w:cs="Times New Roman"/>
          <w:color w:val="auto"/>
          <w:highlight w:val="none"/>
          <w:lang w:val="en-US" w:eastAsia="zh-CN"/>
        </w:rPr>
        <w:t>落实县级规划下达的城镇开发边界、永久基本农田和生态保护红线，将镇域空间划分为农田保护区、城镇发展区和乡村发展区三类，实现全域空间管制，促进集约高效有序发展。</w:t>
      </w:r>
    </w:p>
    <w:bookmarkEnd w:id="13"/>
    <w:p w14:paraId="5C4BBD43">
      <w:pPr>
        <w:pStyle w:val="3"/>
        <w:numPr>
          <w:ilvl w:val="0"/>
          <w:numId w:val="5"/>
        </w:numPr>
        <w:spacing w:before="240" w:after="240"/>
        <w:ind w:left="0" w:firstLine="0"/>
        <w:jc w:val="center"/>
        <w:rPr>
          <w:rFonts w:ascii="黑体" w:hAnsi="黑体" w:eastAsia="黑体"/>
          <w:color w:val="auto"/>
          <w:highlight w:val="none"/>
          <w:lang w:eastAsia="zh-CN"/>
        </w:rPr>
      </w:pPr>
      <w:bookmarkStart w:id="14" w:name="_bookmark7"/>
      <w:bookmarkEnd w:id="14"/>
      <w:bookmarkStart w:id="15" w:name="_bookmark8"/>
      <w:bookmarkEnd w:id="15"/>
      <w:bookmarkStart w:id="16" w:name="_Toc25665"/>
      <w:r>
        <w:rPr>
          <w:rFonts w:hint="eastAsia" w:ascii="黑体" w:hAnsi="黑体" w:eastAsia="黑体"/>
          <w:color w:val="auto"/>
          <w:highlight w:val="none"/>
          <w:lang w:eastAsia="zh-CN"/>
        </w:rPr>
        <w:t>优化国土空间功能结构</w:t>
      </w:r>
      <w:bookmarkEnd w:id="16"/>
    </w:p>
    <w:p w14:paraId="60A8A48E">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合理优化国土空间用</w:t>
      </w:r>
      <w:r>
        <w:rPr>
          <w:rFonts w:hint="eastAsia" w:eastAsia="仿宋"/>
          <w:color w:val="auto"/>
          <w:w w:val="105"/>
          <w:sz w:val="32"/>
          <w:highlight w:val="none"/>
          <w:lang w:val="en-US" w:eastAsia="zh-CN"/>
        </w:rPr>
        <w:t>地结构</w:t>
      </w:r>
    </w:p>
    <w:p w14:paraId="48ECE00E">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优先保护耕地和生态用地。全面落实生态保护红线、耕地和永久基本农田任务，严格控制耕地转为其他农用地以及建设占用耕地，合理安排农业设施建设用地，稳定河流和林地面积。优化农用地结构，适度开发具有耕种和灌溉条件的其他草地、沙地，引导农业结构调整向耕地增产、提效的方向转变。</w:t>
      </w:r>
    </w:p>
    <w:p w14:paraId="2222BBCC">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科学优化建设用地结构。按照保主保重的原则，优先保障镇政府驻地和产业集聚区用地需求，严格按照城镇开发边界范围限制城镇无序扩张，推进村庄建设用地集约化发展，逐步增加城乡建设用地增减挂钩、工矿废弃地复垦利用和城乡低效用地再开发，引导建设用地由“增量扩张”向“增存并举”转型，消化批而未供土地，盘活利用闲置土地，释放存量建设用地空间。</w:t>
      </w:r>
    </w:p>
    <w:p w14:paraId="7B838E60">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科学设置</w:t>
      </w:r>
      <w:r>
        <w:rPr>
          <w:rFonts w:hint="eastAsia" w:eastAsia="仿宋"/>
          <w:color w:val="auto"/>
          <w:w w:val="105"/>
          <w:sz w:val="32"/>
          <w:highlight w:val="none"/>
        </w:rPr>
        <w:t>留白</w:t>
      </w:r>
      <w:r>
        <w:rPr>
          <w:rFonts w:hint="eastAsia" w:eastAsia="仿宋"/>
          <w:color w:val="auto"/>
          <w:w w:val="105"/>
          <w:sz w:val="32"/>
          <w:highlight w:val="none"/>
          <w:lang w:val="en-US" w:eastAsia="zh-CN"/>
        </w:rPr>
        <w:t>用地</w:t>
      </w:r>
    </w:p>
    <w:p w14:paraId="113141E1">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sectPr>
          <w:pgSz w:w="11910" w:h="16850"/>
          <w:pgMar w:top="1360" w:right="1380" w:bottom="1640" w:left="1560" w:header="645" w:footer="1443" w:gutter="0"/>
          <w:pgBorders>
            <w:top w:val="none" w:sz="0" w:space="0"/>
            <w:left w:val="none" w:sz="0" w:space="0"/>
            <w:bottom w:val="none" w:sz="0" w:space="0"/>
            <w:right w:val="none" w:sz="0" w:space="0"/>
          </w:pgBorders>
          <w:cols w:space="720" w:num="1"/>
        </w:sectPr>
      </w:pPr>
      <w:r>
        <w:rPr>
          <w:rFonts w:hint="eastAsia" w:ascii="Times New Roman" w:hAnsi="Times New Roman" w:eastAsia="仿宋_GB2312" w:cs="Times New Roman"/>
          <w:color w:val="auto"/>
          <w:highlight w:val="none"/>
          <w:lang w:val="en-US" w:eastAsia="zh-CN"/>
        </w:rPr>
        <w:t>指标留白。</w:t>
      </w:r>
      <w:bookmarkStart w:id="17" w:name="_bookmark9"/>
      <w:bookmarkEnd w:id="17"/>
      <w:r>
        <w:rPr>
          <w:rFonts w:hint="eastAsia" w:ascii="Times New Roman" w:hAnsi="Times New Roman" w:eastAsia="仿宋_GB2312" w:cs="Times New Roman"/>
          <w:color w:val="auto"/>
          <w:highlight w:val="none"/>
          <w:lang w:val="en-US" w:eastAsia="zh-CN"/>
        </w:rPr>
        <w:t>在不突破规划建设用地总规模、不占用耕地和永久基本农田保护红线、生态保护红线的前提下，村庄可预留不超过5%的建设用地机动指标，用于保障暂时难以精准落位的乡村建设需求，包括农民建房、农村公共公益设施、零星分散的文旅设施及农村新产业新业态等用地可申请使用。</w:t>
      </w:r>
      <w:r>
        <w:rPr>
          <w:rFonts w:hint="eastAsia" w:ascii="Times New Roman" w:hAnsi="Times New Roman" w:eastAsia="仿宋_GB2312" w:cs="Times New Roman"/>
          <w:color w:val="auto"/>
          <w:highlight w:val="none"/>
          <w:lang w:val="zh-TW" w:eastAsia="zh-CN"/>
        </w:rPr>
        <w:t>加强重点地块图则管控，</w:t>
      </w:r>
      <w:r>
        <w:rPr>
          <w:rFonts w:hint="eastAsia" w:ascii="Times New Roman" w:hAnsi="Times New Roman" w:eastAsia="仿宋_GB2312" w:cs="Times New Roman"/>
          <w:color w:val="auto"/>
          <w:highlight w:val="none"/>
          <w:lang w:val="en-US" w:eastAsia="zh-CN"/>
        </w:rPr>
        <w:t>因公共服务设施、基础设施、文旅设施、农村一二三产业融合发展等需要使用机动指标的村庄，可采取编制重点地块图则的方式，对土地用途、用地规模、容积率等建设控制指标予以明确，切实加强对具体建设行为的指导约束。</w:t>
      </w:r>
    </w:p>
    <w:p w14:paraId="29B8FDF4">
      <w:pPr>
        <w:pStyle w:val="2"/>
        <w:spacing w:before="0" w:line="360" w:lineRule="auto"/>
        <w:ind w:left="0" w:firstLine="0"/>
        <w:jc w:val="center"/>
        <w:rPr>
          <w:rFonts w:ascii="方正小标宋_GBK" w:hAnsi="方正小标宋_GBK" w:eastAsia="方正小标宋_GBK"/>
          <w:color w:val="auto"/>
          <w:spacing w:val="5"/>
          <w:highlight w:val="none"/>
        </w:rPr>
      </w:pPr>
      <w:bookmarkStart w:id="18" w:name="_bookmark10"/>
      <w:bookmarkEnd w:id="18"/>
      <w:bookmarkStart w:id="19" w:name="_Toc23660"/>
      <w:bookmarkStart w:id="20" w:name="_Hlk150606517"/>
      <w:r>
        <w:rPr>
          <w:rFonts w:hint="eastAsia" w:ascii="方正小标宋_GBK" w:hAnsi="方正小标宋_GBK" w:eastAsia="方正小标宋_GBK"/>
          <w:color w:val="auto"/>
          <w:spacing w:val="5"/>
          <w:highlight w:val="none"/>
        </w:rPr>
        <w:t>塑造绿色高效农业空间，保障现代化农业发展</w:t>
      </w:r>
      <w:bookmarkEnd w:id="19"/>
    </w:p>
    <w:p w14:paraId="38F334DF">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以耕地和永久基本农田保护红线为基础，立足青龙集镇资源禀赋、区位优势，全方位夯实粮食安全根基， 严格保护耕地资源。优化农业空间格局、稳定农业种植生产空间。合理开展农村土地综合整治，支撑实现农业农村现代化，保障宜居宜业和美乡村空间需求。</w:t>
      </w:r>
    </w:p>
    <w:p w14:paraId="65402C2F">
      <w:pPr>
        <w:pStyle w:val="3"/>
        <w:numPr>
          <w:ilvl w:val="0"/>
          <w:numId w:val="6"/>
        </w:numPr>
        <w:spacing w:before="240" w:after="240"/>
        <w:ind w:left="0" w:firstLine="0"/>
        <w:jc w:val="center"/>
        <w:rPr>
          <w:rFonts w:ascii="黑体" w:hAnsi="黑体" w:eastAsia="黑体"/>
          <w:color w:val="auto"/>
          <w:highlight w:val="none"/>
          <w:lang w:eastAsia="zh-CN"/>
        </w:rPr>
      </w:pPr>
      <w:bookmarkStart w:id="21" w:name="_bookmark11"/>
      <w:bookmarkEnd w:id="21"/>
      <w:bookmarkStart w:id="22" w:name="_Toc18405"/>
      <w:r>
        <w:rPr>
          <w:rFonts w:hint="eastAsia" w:ascii="黑体" w:hAnsi="黑体" w:eastAsia="黑体"/>
          <w:color w:val="auto"/>
          <w:highlight w:val="none"/>
          <w:lang w:eastAsia="zh-CN"/>
        </w:rPr>
        <w:t>加强耕地“三位一体”保护</w:t>
      </w:r>
      <w:bookmarkEnd w:id="22"/>
    </w:p>
    <w:p w14:paraId="69EBEF13">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强</w:t>
      </w:r>
      <w:r>
        <w:rPr>
          <w:rFonts w:hint="eastAsia" w:eastAsia="仿宋"/>
          <w:color w:val="auto"/>
          <w:w w:val="105"/>
          <w:sz w:val="32"/>
          <w:highlight w:val="none"/>
          <w:lang w:val="en-US" w:eastAsia="zh-CN"/>
        </w:rPr>
        <w:t>化</w:t>
      </w:r>
      <w:r>
        <w:rPr>
          <w:rFonts w:hint="eastAsia" w:eastAsia="仿宋"/>
          <w:color w:val="auto"/>
          <w:w w:val="105"/>
          <w:sz w:val="32"/>
          <w:highlight w:val="none"/>
        </w:rPr>
        <w:t>耕地资源保护</w:t>
      </w:r>
    </w:p>
    <w:p w14:paraId="1DC374EC">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多途径补充耕地，落实耕地保护政策。严守耕地和永久基本农田保护红线，落实耕地保护和粮食安全责任制。将每个永久基本农田图斑落地块、明责任、设标志、建表册、入图库。通过土地综合整治、宜耕后备土地资源开发等措施，有效补充耕地。梳理“即可恢复”“工程恢复”地类和流失耕地情况，在不破坏生态、尊重农民意愿、确保经营者合法权益的前提下，稳妥有序推进耕地恢复工作，多措并举找回流失耕地。</w:t>
      </w:r>
    </w:p>
    <w:p w14:paraId="60FA77C9">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以高标准农田建设为重点，提升耕地质量。落实“两强一增”行动计划，统筹农田交通水利设施配套建设，积极开展低效耕地提质改造、“旱改水”工程、农田水利“最后一米”、高效节水灌溉建设等重大工程，推进高标准农田建设，提高耕地综合生产能力，逐步把具备条件的永久基本农田建设成为旱涝保收的高标准农田。结合中低产田的改造、土壤培肥改良等措施，提升耕地质量。</w:t>
      </w:r>
    </w:p>
    <w:p w14:paraId="57B21106">
      <w:pPr>
        <w:pStyle w:val="13"/>
        <w:autoSpaceDE/>
        <w:autoSpaceDN/>
        <w:spacing w:before="0" w:beforeLines="0" w:line="360" w:lineRule="auto"/>
        <w:ind w:left="0" w:leftChars="0" w:right="0" w:rightChars="0" w:firstLine="640"/>
        <w:contextualSpacing/>
        <w:rPr>
          <w:rFonts w:hint="default"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因地制宜，改善耕地生态环境。因地制宜，合理布局耕地防护与生态环境保护工程，与田块整治、林网栽植、灌排工程建设、土壤改良等工程相结合，加强耕地防护林网建设，加强水土保持、水源涵养工程建设，以沟道治理等措施，调整优化耕地生态格局，增强农田生态防护能力，完善耕地防护与生态环境保护体系。通过科学布局项目工程，加强生态工程建设，保护耕地质量，优化农村田园景观，为乡村宜居提供绿色屏障，拓展农田传承农耕文化、生态涵养、科普教育、乡村旅游等多重功能。</w:t>
      </w:r>
    </w:p>
    <w:p w14:paraId="2FB12710">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优化耕地空间布局</w:t>
      </w:r>
    </w:p>
    <w:p w14:paraId="3A34620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以耕地集中连片整治为方向，推动耕地集中连片保护。结合高标准农田建设、耕地提质改造、优质耕地恢复补充和全域土地综合整治等项目，通过田块置换合并，破碎化田块整合，开展耕地集体连片整治，实现耕地地力保持或质量等别持续提高。按照“宜耕则耕、宜村则村、宜水则水、宜林则林”原则，优化耕地布局，提升耕地质量。全面推进建设占用耕地耕作层土壤剥离利用制度，剥离土壤用于新增耕地后期客土改良。优化田间道路布局，完善农田输配电等基础设施建设。推进智慧农业、测土配方施肥等新技术应用，夯实和提升耕地综合生产能力。</w:t>
      </w:r>
    </w:p>
    <w:p w14:paraId="07B10393">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严格落实耕地</w:t>
      </w:r>
      <w:r>
        <w:rPr>
          <w:rFonts w:hint="eastAsia" w:eastAsia="仿宋"/>
          <w:color w:val="auto"/>
          <w:w w:val="105"/>
          <w:sz w:val="32"/>
          <w:highlight w:val="none"/>
          <w:lang w:eastAsia="zh-CN"/>
        </w:rPr>
        <w:t>“</w:t>
      </w:r>
      <w:r>
        <w:rPr>
          <w:rFonts w:hint="eastAsia" w:eastAsia="仿宋"/>
          <w:color w:val="auto"/>
          <w:w w:val="105"/>
          <w:sz w:val="32"/>
          <w:highlight w:val="none"/>
        </w:rPr>
        <w:t>占补平衡</w:t>
      </w:r>
      <w:r>
        <w:rPr>
          <w:rFonts w:hint="eastAsia" w:eastAsia="仿宋"/>
          <w:color w:val="auto"/>
          <w:w w:val="105"/>
          <w:sz w:val="32"/>
          <w:highlight w:val="none"/>
          <w:lang w:eastAsia="zh-CN"/>
        </w:rPr>
        <w:t>”</w:t>
      </w:r>
    </w:p>
    <w:p w14:paraId="2CE2C18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严格落实建设占用耕地的源头管控，改进占补平衡落实方式，各类实施主体将非耕地垦造、恢复为耕地的，符合规定的可作为补充耕地，各类非农建设选址和布局应尽量不占或少占耕地，避让永久基本农田。非农建设、造林种树等各类占用耕地行为统一纳入耕地占补平衡管理，坚持“以补定占”，非农业建设占用耕地，必须严格落实“先补后占”和“占一补一、占优补优”，积极拓宽补充耕地途径，补充可以长期稳定利用的耕地。</w:t>
      </w:r>
    </w:p>
    <w:p w14:paraId="1227D29B">
      <w:pPr>
        <w:pStyle w:val="3"/>
        <w:numPr>
          <w:ilvl w:val="0"/>
          <w:numId w:val="6"/>
        </w:numPr>
        <w:spacing w:before="240" w:after="240"/>
        <w:ind w:left="0" w:firstLine="0"/>
        <w:jc w:val="center"/>
        <w:rPr>
          <w:rFonts w:ascii="黑体" w:hAnsi="黑体" w:eastAsia="黑体"/>
          <w:color w:val="auto"/>
          <w:highlight w:val="none"/>
          <w:lang w:eastAsia="zh-CN"/>
        </w:rPr>
      </w:pPr>
      <w:bookmarkStart w:id="23" w:name="_bookmark12"/>
      <w:bookmarkEnd w:id="23"/>
      <w:bookmarkStart w:id="24" w:name="_Toc19708"/>
      <w:r>
        <w:rPr>
          <w:rFonts w:hint="eastAsia" w:ascii="黑体" w:hAnsi="黑体" w:eastAsia="黑体"/>
          <w:color w:val="auto"/>
          <w:highlight w:val="none"/>
          <w:lang w:val="en-US" w:eastAsia="zh-CN"/>
        </w:rPr>
        <w:t>保障特色农产品生产空间</w:t>
      </w:r>
      <w:bookmarkEnd w:id="24"/>
    </w:p>
    <w:p w14:paraId="1CC7475F">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优化农业设施建设用地布局</w:t>
      </w:r>
    </w:p>
    <w:p w14:paraId="2409D0C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完善农田水网、路网，因地制宜布局设施农业用地，保障蔬菜、胡萝卜、黄花菜、中草药等特色农业设施用地，合理安排农业生产中直接用于作物种植和畜禽水产养殖的生产、辅助设施用地。预留农业生产服务用地空间，保障农产品产地冷藏保鲜设施、各类农事服务中心、粮食烘干中心的用地需求。设施农业用地应优先利用废弃地和荒山荒坡等未利用地、尽可能不占或少占耕地，严禁新增占用永久基本农田建设畜禽养殖设施、水产养殖设施和破坏耕作层的种植业设施。</w:t>
      </w:r>
    </w:p>
    <w:p w14:paraId="279BC7F3">
      <w:pPr>
        <w:pStyle w:val="3"/>
        <w:numPr>
          <w:ilvl w:val="0"/>
          <w:numId w:val="6"/>
        </w:numPr>
        <w:spacing w:before="240" w:after="240"/>
        <w:ind w:left="0" w:firstLine="0"/>
        <w:jc w:val="center"/>
        <w:rPr>
          <w:rFonts w:ascii="黑体" w:hAnsi="黑体" w:eastAsia="黑体"/>
          <w:color w:val="auto"/>
          <w:highlight w:val="none"/>
          <w:lang w:eastAsia="zh-CN"/>
        </w:rPr>
      </w:pPr>
      <w:bookmarkStart w:id="25" w:name="_Toc23777"/>
      <w:r>
        <w:rPr>
          <w:rFonts w:hint="eastAsia" w:ascii="黑体" w:hAnsi="黑体" w:eastAsia="黑体"/>
          <w:color w:val="auto"/>
          <w:highlight w:val="none"/>
          <w:lang w:eastAsia="zh-CN"/>
        </w:rPr>
        <w:t>加强国土空间综合整治</w:t>
      </w:r>
      <w:bookmarkEnd w:id="25"/>
    </w:p>
    <w:p w14:paraId="1E5284B4">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推进高标准农田建设</w:t>
      </w:r>
    </w:p>
    <w:p w14:paraId="5EB9B58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始终坚持“藏粮于地、藏粮于技”战略，推进耕地和永久基本农田的集中连片保护，保障高标准农田建设规模。以永久基本农田为基础，优先在粮食生产功能区、重要农产品生产保护区实施高标准农田建设，逐步把具备条件的永久基本农田全部建成旱涝保收的高标准农田。</w:t>
      </w:r>
    </w:p>
    <w:p w14:paraId="157692A1">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加强农用地综合整治</w:t>
      </w:r>
    </w:p>
    <w:p w14:paraId="00E3EB01">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统筹推进低效园地、沟渠和坑塘水面整理，加强高标准农田建设、耕地质量提升、宜耕后备资源开发、农田基础设施和配套设施建设，在优化耕地布局、增加耕地面积的同时，提高耕地连片度，加强耕地地力培育，全面提升耕地质量。</w:t>
      </w:r>
    </w:p>
    <w:p w14:paraId="42BB47E6">
      <w:pPr>
        <w:pStyle w:val="46"/>
        <w:spacing w:before="0" w:line="360" w:lineRule="auto"/>
        <w:ind w:left="0" w:right="108" w:firstLine="718" w:firstLineChars="213"/>
        <w:rPr>
          <w:rFonts w:eastAsia="仿宋"/>
          <w:color w:val="auto"/>
          <w:w w:val="105"/>
          <w:sz w:val="32"/>
          <w:highlight w:val="none"/>
        </w:rPr>
      </w:pPr>
      <w:r>
        <w:rPr>
          <w:rFonts w:eastAsia="仿宋"/>
          <w:color w:val="auto"/>
          <w:w w:val="105"/>
          <w:sz w:val="32"/>
          <w:highlight w:val="none"/>
        </w:rPr>
        <w:t>开展</w:t>
      </w:r>
      <w:bookmarkStart w:id="26" w:name="_Hlk143970244"/>
      <w:r>
        <w:rPr>
          <w:rFonts w:eastAsia="仿宋"/>
          <w:color w:val="auto"/>
          <w:w w:val="105"/>
          <w:sz w:val="32"/>
          <w:highlight w:val="none"/>
        </w:rPr>
        <w:t>农村居民点综合整治</w:t>
      </w:r>
      <w:bookmarkEnd w:id="26"/>
    </w:p>
    <w:p w14:paraId="25C227C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以乡村振兴、新型城镇化及城乡融合发展为导向，以镇域城乡建设用地增减挂钩为系统抓手，通过地类调整、用途转换等方式动态调整国土利用结构，系统推进农村宅基地的腾退与盘活，统筹城乡用地布局，优化镇域国土空间功能结构，促进国土功能复合开发、国土资源集约高效利用。按照“政府引导、公众参与、先易后难，逐步实施”的原则，优先选择农村建设用地整理工作基础较好的村庄实施增减挂钩。合理安排城乡建设用地增减挂钩项目，通过城乡建设用地增减挂钩新增补充耕地面积97.58公顷。</w:t>
      </w:r>
    </w:p>
    <w:p w14:paraId="247D182C">
      <w:pPr>
        <w:pStyle w:val="46"/>
        <w:spacing w:before="0" w:line="360" w:lineRule="auto"/>
        <w:ind w:left="0" w:right="108" w:firstLine="718" w:firstLineChars="213"/>
        <w:rPr>
          <w:rFonts w:eastAsia="仿宋"/>
          <w:color w:val="auto"/>
          <w:w w:val="105"/>
          <w:sz w:val="32"/>
          <w:highlight w:val="none"/>
        </w:rPr>
      </w:pPr>
      <w:r>
        <w:rPr>
          <w:rFonts w:eastAsia="仿宋"/>
          <w:color w:val="auto"/>
          <w:w w:val="105"/>
          <w:sz w:val="32"/>
          <w:highlight w:val="none"/>
        </w:rPr>
        <w:t>推进低效用地综合整治</w:t>
      </w:r>
    </w:p>
    <w:p w14:paraId="1723237B">
      <w:pPr>
        <w:pStyle w:val="13"/>
        <w:autoSpaceDE/>
        <w:autoSpaceDN/>
        <w:spacing w:before="0" w:beforeLines="0" w:line="360" w:lineRule="auto"/>
        <w:ind w:left="0" w:leftChars="0" w:right="0" w:rightChars="0" w:firstLine="640"/>
        <w:contextualSpacing/>
        <w:rPr>
          <w:rFonts w:ascii="方正小标宋_GBK" w:hAnsi="方正小标宋_GBK" w:eastAsia="方正小标宋_GBK"/>
          <w:color w:val="auto"/>
          <w:spacing w:val="5"/>
          <w:highlight w:val="none"/>
          <w:lang w:eastAsia="zh-CN"/>
        </w:rPr>
      </w:pPr>
      <w:r>
        <w:rPr>
          <w:rFonts w:hint="eastAsia" w:ascii="Times New Roman" w:hAnsi="Times New Roman" w:eastAsia="仿宋_GB2312" w:cs="Times New Roman"/>
          <w:color w:val="auto"/>
          <w:highlight w:val="none"/>
          <w:lang w:val="en-US" w:eastAsia="zh-CN"/>
        </w:rPr>
        <w:t>开展低效闲置用地整治，盘活存量建设用地，提高土地利用效率，重点用于支持乡村新产业新业态发展。开展建设用地整治更新，对镇域范围内闲置、低效利用等用地进行功能置换。优先保障产业发展、公共服务、基础设施等各类建设用地的需求，实现土地资源的优化配置和合理利用。</w:t>
      </w:r>
      <w:r>
        <w:rPr>
          <w:rFonts w:hint="eastAsia" w:ascii="方正小标宋_GBK" w:hAnsi="方正小标宋_GBK" w:eastAsia="方正小标宋_GBK"/>
          <w:color w:val="auto"/>
          <w:spacing w:val="5"/>
          <w:highlight w:val="none"/>
        </w:rPr>
        <w:br w:type="page"/>
      </w:r>
    </w:p>
    <w:p w14:paraId="196978D0">
      <w:pPr>
        <w:pStyle w:val="2"/>
        <w:spacing w:before="0" w:line="360" w:lineRule="auto"/>
        <w:ind w:left="0" w:firstLine="0"/>
        <w:jc w:val="center"/>
        <w:rPr>
          <w:rFonts w:ascii="方正小标宋_GBK" w:hAnsi="方正小标宋_GBK" w:eastAsia="方正小标宋_GBK"/>
          <w:color w:val="auto"/>
          <w:spacing w:val="5"/>
          <w:highlight w:val="none"/>
          <w:lang w:eastAsia="zh-CN"/>
        </w:rPr>
      </w:pPr>
      <w:bookmarkStart w:id="27" w:name="_Toc11938"/>
      <w:r>
        <w:rPr>
          <w:rFonts w:hint="eastAsia" w:ascii="方正小标宋_GBK" w:hAnsi="方正小标宋_GBK" w:eastAsia="方正小标宋_GBK"/>
          <w:color w:val="auto"/>
          <w:spacing w:val="5"/>
          <w:highlight w:val="none"/>
        </w:rPr>
        <w:t>构筑蓝绿</w:t>
      </w:r>
      <w:r>
        <w:rPr>
          <w:rFonts w:hint="eastAsia" w:ascii="方正小标宋_GBK" w:hAnsi="方正小标宋_GBK" w:eastAsia="方正小标宋_GBK"/>
          <w:color w:val="auto"/>
          <w:spacing w:val="5"/>
          <w:highlight w:val="none"/>
          <w:lang w:val="en-US" w:eastAsia="zh-CN"/>
        </w:rPr>
        <w:t>交织、</w:t>
      </w:r>
      <w:r>
        <w:rPr>
          <w:rFonts w:hint="eastAsia" w:ascii="方正小标宋_GBK" w:hAnsi="方正小标宋_GBK" w:eastAsia="方正小标宋_GBK"/>
          <w:color w:val="auto"/>
          <w:spacing w:val="5"/>
          <w:highlight w:val="none"/>
        </w:rPr>
        <w:t>田</w:t>
      </w:r>
      <w:r>
        <w:rPr>
          <w:rFonts w:hint="eastAsia" w:ascii="方正小标宋_GBK" w:hAnsi="方正小标宋_GBK" w:eastAsia="方正小标宋_GBK"/>
          <w:color w:val="auto"/>
          <w:spacing w:val="5"/>
          <w:highlight w:val="none"/>
          <w:lang w:val="en-US" w:eastAsia="zh-CN"/>
        </w:rPr>
        <w:t>城</w:t>
      </w:r>
      <w:r>
        <w:rPr>
          <w:rFonts w:hint="eastAsia" w:ascii="方正小标宋_GBK" w:hAnsi="方正小标宋_GBK" w:eastAsia="方正小标宋_GBK"/>
          <w:color w:val="auto"/>
          <w:spacing w:val="5"/>
          <w:highlight w:val="none"/>
        </w:rPr>
        <w:t>相</w:t>
      </w:r>
      <w:r>
        <w:rPr>
          <w:rFonts w:hint="eastAsia" w:ascii="方正小标宋_GBK" w:hAnsi="方正小标宋_GBK" w:eastAsia="方正小标宋_GBK"/>
          <w:color w:val="auto"/>
          <w:spacing w:val="5"/>
          <w:highlight w:val="none"/>
          <w:lang w:val="en-US" w:eastAsia="zh-CN"/>
        </w:rPr>
        <w:t>拥</w:t>
      </w:r>
      <w:r>
        <w:rPr>
          <w:rFonts w:hint="eastAsia" w:ascii="方正小标宋_GBK" w:hAnsi="方正小标宋_GBK" w:eastAsia="方正小标宋_GBK"/>
          <w:color w:val="auto"/>
          <w:spacing w:val="5"/>
          <w:highlight w:val="none"/>
        </w:rPr>
        <w:t>生态空间，促进人与自然和谐共生</w:t>
      </w:r>
      <w:bookmarkEnd w:id="27"/>
    </w:p>
    <w:p w14:paraId="26307ACB">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着力提升生态系统多样性、稳定性、持续性，加快实施重要 生态系统保护和修复重大工程，科学开展国土绿化。突出王引河等重要水系在维护区域生态安全中的重要作用。统筹林地资源、水环境、水生态治理，努力促进青龙集镇人与自然和谐共生。</w:t>
      </w:r>
    </w:p>
    <w:p w14:paraId="5606D1BC">
      <w:pPr>
        <w:pStyle w:val="3"/>
        <w:numPr>
          <w:ilvl w:val="0"/>
          <w:numId w:val="7"/>
        </w:numPr>
        <w:spacing w:before="240" w:after="240"/>
        <w:ind w:left="0" w:firstLine="0"/>
        <w:jc w:val="center"/>
        <w:rPr>
          <w:rFonts w:ascii="黑体" w:hAnsi="黑体" w:eastAsia="黑体"/>
          <w:color w:val="auto"/>
          <w:highlight w:val="none"/>
          <w:lang w:eastAsia="zh-CN"/>
        </w:rPr>
      </w:pPr>
      <w:bookmarkStart w:id="28" w:name="_Toc22593"/>
      <w:r>
        <w:rPr>
          <w:rFonts w:hint="eastAsia" w:ascii="黑体" w:hAnsi="黑体" w:eastAsia="黑体"/>
          <w:color w:val="auto"/>
          <w:highlight w:val="none"/>
          <w:lang w:eastAsia="zh-CN"/>
        </w:rPr>
        <w:t>加强河湖生态管控</w:t>
      </w:r>
      <w:bookmarkEnd w:id="28"/>
    </w:p>
    <w:p w14:paraId="5EA90651">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强化水资源刚性约束</w:t>
      </w:r>
    </w:p>
    <w:p w14:paraId="1564364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b/>
          <w:bCs/>
          <w:color w:val="auto"/>
          <w:highlight w:val="none"/>
          <w:lang w:val="en-US" w:eastAsia="zh-CN"/>
        </w:rPr>
        <w:t>落实用水总量控制指标。</w:t>
      </w:r>
      <w:r>
        <w:rPr>
          <w:rFonts w:hint="eastAsia" w:ascii="Times New Roman" w:hAnsi="Times New Roman" w:eastAsia="仿宋_GB2312" w:cs="Times New Roman"/>
          <w:color w:val="auto"/>
          <w:highlight w:val="none"/>
          <w:lang w:val="en-US" w:eastAsia="zh-CN"/>
        </w:rPr>
        <w:t>坚持以水定城、以水定地、以水定人、以水定产的原则，严守用水总量控制，推进水资源总量管理、科学配置、全面节约、循环利用，推行规划水资源论证，严格建设项目水资源论证，强化取用水监管，守住取水红线，确保经济社会发展与水资源承载能力相适应。</w:t>
      </w:r>
    </w:p>
    <w:p w14:paraId="40832E5D">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实行最严格的水资源管理制度</w:t>
      </w:r>
    </w:p>
    <w:p w14:paraId="03968732">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bookmarkStart w:id="29" w:name="_Hlk150607084"/>
      <w:r>
        <w:rPr>
          <w:rFonts w:hint="eastAsia" w:ascii="Times New Roman" w:hAnsi="Times New Roman" w:eastAsia="仿宋_GB2312" w:cs="Times New Roman"/>
          <w:b/>
          <w:bCs/>
          <w:color w:val="auto"/>
          <w:highlight w:val="none"/>
          <w:lang w:val="en-US" w:eastAsia="zh-CN"/>
        </w:rPr>
        <w:t>加强河流和水库保护。</w:t>
      </w:r>
      <w:r>
        <w:rPr>
          <w:rFonts w:hint="eastAsia" w:ascii="Times New Roman" w:hAnsi="Times New Roman" w:eastAsia="仿宋_GB2312" w:cs="Times New Roman"/>
          <w:color w:val="auto"/>
          <w:highlight w:val="none"/>
          <w:lang w:val="en-US" w:eastAsia="zh-CN"/>
        </w:rPr>
        <w:t>保护坑塘、河流水面等蓝色空间。严格落实“河长制”制度，坚持保护与防治相结合，以王引河等为主脉，加强水系连通。加强水域岸线生态空间管控，严格控制非生态用地边界，严禁侵占河流水体、入河口、缓冲带等重要生态用地和生态敏感区。严格管控各类水域岸线利用行为，保护水网肌理，依法依规审批涉河建设项目。</w:t>
      </w:r>
    </w:p>
    <w:bookmarkEnd w:id="29"/>
    <w:p w14:paraId="40CD41BC">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落实河</w:t>
      </w:r>
      <w:r>
        <w:rPr>
          <w:rFonts w:hint="eastAsia" w:eastAsia="仿宋"/>
          <w:color w:val="auto"/>
          <w:w w:val="105"/>
          <w:sz w:val="32"/>
          <w:highlight w:val="none"/>
          <w:lang w:val="en-US" w:eastAsia="zh-CN"/>
        </w:rPr>
        <w:t>道</w:t>
      </w:r>
      <w:r>
        <w:rPr>
          <w:rFonts w:hint="eastAsia" w:eastAsia="仿宋"/>
          <w:color w:val="auto"/>
          <w:w w:val="105"/>
          <w:sz w:val="32"/>
          <w:highlight w:val="none"/>
        </w:rPr>
        <w:t>管理范围线</w:t>
      </w:r>
    </w:p>
    <w:p w14:paraId="1D5FA875">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加强河道管理范围线管控。对河道等水域空间及其防护空间进行重点保护，</w:t>
      </w:r>
      <w:r>
        <w:rPr>
          <w:rFonts w:hint="eastAsia" w:ascii="Times New Roman" w:hAnsi="Times New Roman" w:eastAsia="仿宋_GB2312" w:cs="Times New Roman"/>
          <w:color w:val="auto"/>
          <w:highlight w:val="none"/>
          <w:lang w:val="zh-TW" w:eastAsia="zh-CN"/>
        </w:rPr>
        <w:t>明确管控边界，统筹用途管制、功能布局，合理划分生产、生活和生态岸线，</w:t>
      </w:r>
      <w:r>
        <w:rPr>
          <w:rFonts w:hint="eastAsia" w:ascii="Times New Roman" w:hAnsi="Times New Roman" w:eastAsia="仿宋_GB2312" w:cs="Times New Roman"/>
          <w:color w:val="auto"/>
          <w:highlight w:val="none"/>
          <w:lang w:val="en-US" w:eastAsia="zh-CN"/>
        </w:rPr>
        <w:t>严格建设管控。参照《中华人民共和国河道管理条例》的相关要求进行严格管控，确保区域行洪安全。禁止开展除必要的跨河交通、市政设施之外的城镇集中建设活动，水体保护控制线内的现状居民点应有序搬迁至两侧的安全地带。</w:t>
      </w:r>
    </w:p>
    <w:p w14:paraId="79CE5E34">
      <w:pPr>
        <w:pStyle w:val="3"/>
        <w:numPr>
          <w:ilvl w:val="0"/>
          <w:numId w:val="7"/>
        </w:numPr>
        <w:spacing w:before="240" w:after="240"/>
        <w:ind w:left="0" w:firstLine="0"/>
        <w:jc w:val="center"/>
        <w:rPr>
          <w:rFonts w:ascii="黑体" w:hAnsi="黑体" w:eastAsia="黑体"/>
          <w:color w:val="auto"/>
          <w:highlight w:val="none"/>
          <w:lang w:eastAsia="zh-CN"/>
        </w:rPr>
      </w:pPr>
      <w:bookmarkStart w:id="30" w:name="_bookmark13"/>
      <w:bookmarkEnd w:id="30"/>
      <w:bookmarkStart w:id="31" w:name="_Toc21803"/>
      <w:r>
        <w:rPr>
          <w:rFonts w:hint="eastAsia" w:ascii="黑体" w:hAnsi="黑体" w:eastAsia="黑体"/>
          <w:color w:val="auto"/>
          <w:highlight w:val="none"/>
          <w:lang w:eastAsia="zh-CN"/>
        </w:rPr>
        <w:t>构建绿色生态屏障</w:t>
      </w:r>
      <w:bookmarkEnd w:id="31"/>
    </w:p>
    <w:p w14:paraId="7D00D897">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优化调整林地结构</w:t>
      </w:r>
    </w:p>
    <w:p w14:paraId="248201A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优化林地资源配置。保障以生产林产品为主体功能的商品林面积，科学调整林地结构，生态脆弱区林地采用封育等近自然培育技术措施，重点加强镇域林地资源保护，保障优质林地资源面积不减少。</w:t>
      </w:r>
    </w:p>
    <w:p w14:paraId="4745A205">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加强林地资源保护</w:t>
      </w:r>
    </w:p>
    <w:p w14:paraId="55657873">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bookmarkStart w:id="32" w:name="_Hlk150610266"/>
      <w:r>
        <w:rPr>
          <w:rFonts w:hint="eastAsia" w:ascii="Times New Roman" w:hAnsi="Times New Roman" w:eastAsia="仿宋_GB2312" w:cs="Times New Roman"/>
          <w:color w:val="auto"/>
          <w:highlight w:val="none"/>
          <w:lang w:val="en-US" w:eastAsia="zh-CN"/>
        </w:rPr>
        <w:t>加强林地资源保护管理。统筹安排和合理使用林地定额，严把项目关口，严格审批制度，严管林地使用，除必须且经审批的工程建设外，严格控制占用林地。严禁毁林开垦，实行占用林地总量控制。在不影响整体森林生态系统功能发挥的前提下，可以按照相关技术规程的规定开展抚育和更新性质的采伐，在不破坏森林植被的前提下，可以合理利用其林地资源，适度开展林下种植、养殖和森林游憩等非木质资源开发与利用，科学发展林下经济。</w:t>
      </w:r>
      <w:bookmarkEnd w:id="32"/>
    </w:p>
    <w:p w14:paraId="69D08BD9">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强化林地管控</w:t>
      </w:r>
    </w:p>
    <w:p w14:paraId="37377D68">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强化林地管理，对区域内各类林地实行“总量控制、区域稳定、动态管理、增减平衡”的管理机制。规范林地保护，除必需的工程建设外，严格控制占用森林，不得以其他任何方式改变林地用途。推行集约经营、农林复合经营，在法律允许范围内合理安排各类生产活动，最大限度挖掘林地生产力。</w:t>
      </w:r>
    </w:p>
    <w:p w14:paraId="30CABD6D">
      <w:pPr>
        <w:pStyle w:val="3"/>
        <w:numPr>
          <w:ilvl w:val="0"/>
          <w:numId w:val="7"/>
        </w:numPr>
        <w:spacing w:before="240" w:after="240"/>
        <w:ind w:left="0" w:firstLine="0"/>
        <w:jc w:val="center"/>
        <w:rPr>
          <w:rFonts w:ascii="黑体" w:hAnsi="黑体" w:eastAsia="黑体"/>
          <w:color w:val="auto"/>
          <w:highlight w:val="none"/>
          <w:lang w:eastAsia="zh-CN"/>
        </w:rPr>
      </w:pPr>
      <w:bookmarkStart w:id="33" w:name="_Toc11719"/>
      <w:r>
        <w:rPr>
          <w:rFonts w:hint="eastAsia" w:ascii="黑体" w:hAnsi="黑体" w:eastAsia="黑体"/>
          <w:color w:val="auto"/>
          <w:highlight w:val="none"/>
          <w:lang w:eastAsia="zh-CN"/>
        </w:rPr>
        <w:t>系统实施生态修复</w:t>
      </w:r>
      <w:bookmarkEnd w:id="33"/>
    </w:p>
    <w:p w14:paraId="6CD1DCC8">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实施矿山生态修复工程</w:t>
      </w:r>
    </w:p>
    <w:p w14:paraId="4A0FCAD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全面推进“萧县废弃矿山修复工程”，重点实施位于青龙集镇张鲁庄村的矿山生态修复项目。通过采取地形整治、植被恢复、水土保持等综合治理措施，有效改善矿区生态环境。重点开展危岩清理、边坡加固、土地复垦等工程，恢复矿区生态功能，防治水土流失，提升区域生态系统稳定性。建立矿山生态修复长效机制，加强修复后区域的管护与监测，确保修复成效持续巩固。</w:t>
      </w:r>
    </w:p>
    <w:p w14:paraId="240E1879">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开展农村黑臭水体综合治理</w:t>
      </w:r>
    </w:p>
    <w:p w14:paraId="41C78186">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sz w:val="32"/>
          <w:szCs w:val="32"/>
          <w:highlight w:val="none"/>
          <w:lang w:val="en-US" w:eastAsia="zh-CN" w:bidi="zh-TW"/>
        </w:rPr>
        <w:t>按照上位规划要求，扎实推进宿州市农村黑臭水体治理试点项目，重点实施位于青龙集镇路口村的治理工程。采取控源截污、内源治理、生态修复等综合措施，建设集中式污水处理设施及配套管网系统，实施河道清淤疏浚，清理水面及岸线垃圾。通过建设生态护坡、种植水生植物、构建生态拦截带等方式，恢复水体自净能力。加强水系连通，完善长效管护机制，持续改善农村水环境质量，建设生态宜居美丽乡村</w:t>
      </w:r>
      <w:r>
        <w:rPr>
          <w:rFonts w:hint="eastAsia" w:ascii="Times New Roman" w:hAnsi="Times New Roman" w:eastAsia="仿宋_GB2312" w:cs="Times New Roman"/>
          <w:color w:val="auto"/>
          <w:highlight w:val="none"/>
          <w:lang w:val="en-US" w:eastAsia="zh-CN"/>
        </w:rPr>
        <w:t>。</w:t>
      </w:r>
    </w:p>
    <w:p w14:paraId="2C2BDD8A">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br w:type="page"/>
      </w:r>
    </w:p>
    <w:p w14:paraId="29DEBD44">
      <w:pPr>
        <w:pStyle w:val="2"/>
        <w:spacing w:before="0" w:line="360" w:lineRule="auto"/>
        <w:ind w:left="0" w:firstLine="0"/>
        <w:jc w:val="center"/>
        <w:rPr>
          <w:rFonts w:ascii="方正小标宋_GBK" w:hAnsi="方正小标宋_GBK" w:eastAsia="方正小标宋_GBK"/>
          <w:color w:val="auto"/>
          <w:spacing w:val="5"/>
        </w:rPr>
      </w:pPr>
      <w:bookmarkStart w:id="34" w:name="_Toc16344"/>
      <w:r>
        <w:rPr>
          <w:rFonts w:hint="eastAsia" w:ascii="方正小标宋_GBK" w:hAnsi="方正小标宋_GBK" w:eastAsia="方正小标宋_GBK"/>
          <w:color w:val="auto"/>
          <w:spacing w:val="5"/>
        </w:rPr>
        <w:t>促进城乡统筹，建设乡村振兴高地</w:t>
      </w:r>
      <w:bookmarkEnd w:id="34"/>
    </w:p>
    <w:p w14:paraId="610FB424">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优化农业农村生产空间、生活空间和生态空间格局，强化村庄规划管控引领，统筹镇域村庄布局，支撑青龙集镇基本实现农业农村现代化，建设宜居宜业和美乡村。</w:t>
      </w:r>
    </w:p>
    <w:p w14:paraId="42F083E9">
      <w:pPr>
        <w:pStyle w:val="3"/>
        <w:numPr>
          <w:ilvl w:val="0"/>
          <w:numId w:val="8"/>
        </w:numPr>
        <w:spacing w:before="240" w:after="240"/>
        <w:ind w:left="0" w:firstLine="0"/>
        <w:jc w:val="center"/>
        <w:rPr>
          <w:rFonts w:ascii="黑体" w:hAnsi="黑体" w:eastAsia="黑体"/>
          <w:color w:val="auto"/>
          <w:lang w:eastAsia="zh-CN"/>
        </w:rPr>
      </w:pPr>
      <w:bookmarkStart w:id="35" w:name="_bookmark17"/>
      <w:bookmarkEnd w:id="35"/>
      <w:bookmarkStart w:id="36" w:name="_Toc22571"/>
      <w:r>
        <w:rPr>
          <w:rFonts w:hint="eastAsia" w:ascii="黑体" w:hAnsi="黑体" w:eastAsia="黑体"/>
          <w:color w:val="auto"/>
          <w:lang w:eastAsia="zh-CN"/>
        </w:rPr>
        <w:t>优化村庄布局</w:t>
      </w:r>
      <w:bookmarkEnd w:id="36"/>
    </w:p>
    <w:p w14:paraId="20015B69">
      <w:pPr>
        <w:pStyle w:val="46"/>
        <w:spacing w:before="0" w:line="360" w:lineRule="auto"/>
        <w:ind w:left="0" w:right="108" w:firstLine="718" w:firstLineChars="213"/>
        <w:rPr>
          <w:rFonts w:eastAsia="仿宋"/>
          <w:color w:val="auto"/>
          <w:w w:val="105"/>
          <w:sz w:val="32"/>
        </w:rPr>
      </w:pPr>
      <w:bookmarkStart w:id="37" w:name="_Hlk150612554"/>
      <w:r>
        <w:rPr>
          <w:rFonts w:hint="eastAsia" w:eastAsia="仿宋"/>
          <w:color w:val="auto"/>
          <w:w w:val="105"/>
          <w:sz w:val="32"/>
        </w:rPr>
        <w:t>完善镇村体系</w:t>
      </w:r>
      <w:bookmarkEnd w:id="37"/>
    </w:p>
    <w:p w14:paraId="6F1C95D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bookmarkStart w:id="38" w:name="_Hlk150612547"/>
      <w:r>
        <w:rPr>
          <w:rFonts w:hint="eastAsia" w:ascii="Times New Roman" w:hAnsi="Times New Roman" w:eastAsia="仿宋_GB2312" w:cs="Times New Roman"/>
          <w:color w:val="auto"/>
          <w:lang w:val="en-US" w:eastAsia="zh-CN"/>
        </w:rPr>
        <w:t>构建“镇政府驻地—中心村—自然村”的村庄居民点布局体系。</w:t>
      </w:r>
      <w:bookmarkEnd w:id="38"/>
      <w:r>
        <w:rPr>
          <w:rFonts w:hint="eastAsia" w:ascii="Times New Roman" w:hAnsi="Times New Roman" w:eastAsia="仿宋_GB2312" w:cs="Times New Roman"/>
          <w:color w:val="auto"/>
          <w:lang w:val="en-US" w:eastAsia="zh-CN"/>
        </w:rPr>
        <w:t>发挥镇区在城镇化中的带动作用，以青龙集镇区为引领，全面提升城乡生活圈公共服务水平。</w:t>
      </w:r>
    </w:p>
    <w:p w14:paraId="55EC82E0">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严格控制村庄建设用地规模</w:t>
      </w:r>
    </w:p>
    <w:p w14:paraId="7F240D25">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以上位国土空间总体规划确定的乡镇建设用地规模为依据，结合现状用地规模、乡镇发展目标、产业用地需求，合理分解镇政府驻地、各行政村村庄建设用地规模。根据不同类型村庄发展用地需求，科学确定村庄建设用地增量和减量空间布局，划定村庄建设边界，合理分解确定村庄建设用地规模，做好建设和复垦等实施时序安排。</w:t>
      </w:r>
    </w:p>
    <w:p w14:paraId="4FEBBE65">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合理划定村庄建设边界</w:t>
      </w:r>
    </w:p>
    <w:p w14:paraId="21F415B7">
      <w:pPr>
        <w:pStyle w:val="13"/>
        <w:spacing w:before="0" w:beforeLines="0" w:line="360" w:lineRule="auto"/>
        <w:ind w:left="0" w:leftChars="0" w:right="11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规划期内镇域新增用地的农民建房、农村基本公共服务设施，不应超出村庄建设边界。确需选址在村庄建设边界外的少量乡村基础设施、零星乡村产业用地，所涉用地规模纳入村庄建设边界新增潜力空间统筹核算，并相应调整或缩减村庄建设边界。未划入村庄建设边界的现状建设用地，应以保留和缩减为主，严格控制翻建、改建、扩建等行为。在落实“三区三线”等管控要求、不改变本规划确定村庄分类、村庄建设边界规模的前提下，可在村庄规划编制中实事求是细化、优化村庄建设边界和村庄用地布局，在村庄规划依法批准后，相应更新校正国土空间规划“一张图”。</w:t>
      </w:r>
    </w:p>
    <w:p w14:paraId="24D114F6">
      <w:pPr>
        <w:pStyle w:val="3"/>
        <w:numPr>
          <w:ilvl w:val="0"/>
          <w:numId w:val="8"/>
        </w:numPr>
        <w:spacing w:before="240" w:after="240"/>
        <w:ind w:left="0" w:firstLine="0"/>
        <w:jc w:val="center"/>
        <w:rPr>
          <w:rFonts w:ascii="黑体" w:hAnsi="黑体" w:eastAsia="黑体"/>
          <w:color w:val="auto"/>
          <w:lang w:eastAsia="zh-CN"/>
        </w:rPr>
      </w:pPr>
      <w:bookmarkStart w:id="39" w:name="_Toc32010"/>
      <w:r>
        <w:rPr>
          <w:rFonts w:hint="eastAsia" w:ascii="黑体" w:hAnsi="黑体" w:eastAsia="黑体"/>
          <w:color w:val="auto"/>
          <w:lang w:eastAsia="zh-CN"/>
        </w:rPr>
        <w:t>优化城乡公共服务设施配置</w:t>
      </w:r>
      <w:bookmarkEnd w:id="39"/>
    </w:p>
    <w:p w14:paraId="041DEF39">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合理配置城乡</w:t>
      </w:r>
      <w:r>
        <w:rPr>
          <w:rFonts w:eastAsia="仿宋"/>
          <w:color w:val="auto"/>
          <w:w w:val="105"/>
          <w:sz w:val="32"/>
        </w:rPr>
        <w:t>公共服务设施</w:t>
      </w:r>
    </w:p>
    <w:p w14:paraId="0B6F069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建立“乡镇—中心村—自然村”三级公共服务体系，构建10—15分钟生活圈，重点加强镇级和社区级公共服务设施的建设，提高设施服务水平。公共设施适度集中布局，功能混合，形成可识别的组团中心和社区中心，为居民提供一站式综合服务。满足日常生活需求，促进邻里交往，着力将镇区、农村社区营造成为生活便利、温馨和谐的美丽家园。</w:t>
      </w:r>
    </w:p>
    <w:p w14:paraId="3D5DBBFB">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优化</w:t>
      </w:r>
      <w:r>
        <w:rPr>
          <w:rFonts w:eastAsia="仿宋"/>
          <w:color w:val="auto"/>
          <w:w w:val="105"/>
          <w:sz w:val="32"/>
        </w:rPr>
        <w:t>各类公共服务设施布局</w:t>
      </w:r>
    </w:p>
    <w:p w14:paraId="50016B31">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1、教育服务设施</w:t>
      </w:r>
    </w:p>
    <w:p w14:paraId="617A1CED">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普及学前三年教育，采用部门、集体、民办多种方式发展幼儿教育。合并改造现有小学，实现校校达标，小学布局控制在合理半径内，适当考虑规模效益，根据生源供给情况增设教学点。镇区初中设置不仅考虑人口规模，而且要考虑服务本镇及周边乡镇，可以结合小学设置九年一贯制学校。</w:t>
      </w:r>
    </w:p>
    <w:p w14:paraId="24B4A00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2、文化娱乐设施</w:t>
      </w:r>
    </w:p>
    <w:p w14:paraId="406C87B5">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建立健全“乡镇级—（社区）村级”两级城乡文化服务体系。镇区配置建筑面积不低于1500平方米的综合文化站，中心村配置建筑面积不低于150平方米的小型文化站。</w:t>
      </w:r>
    </w:p>
    <w:p w14:paraId="1E9F100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3、体育设施</w:t>
      </w:r>
    </w:p>
    <w:p w14:paraId="5737D91A">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构建完善的全民健身公共服务体系，构建“乡镇级—社区（村）级”两级公共体育设施体系，形成层级完善、布局均衡的体育设施服务网络。结合社区公共绿地建设健身活动广场，中心村配置占地面积不得小于500平方米的体育健身场地。</w:t>
      </w:r>
    </w:p>
    <w:p w14:paraId="1490A97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4、医疗卫生设施</w:t>
      </w:r>
    </w:p>
    <w:p w14:paraId="0CC3019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不断推进医疗卫生服务和管理方式创新，逐步形成医院提供急危重症诊疗服务，基层医疗卫生机构提供稳定期、康复期等非急性期患者健康管理、随访服务和健康教育等服务。规划建设“乡镇级—社区（村）级”二级医疗卫生网络设施体系，推进标准化乡镇卫生院，以乡镇（中心）卫生院为基础，发展农村社区卫生服务，持续推进社区卫生服务中心、社区卫生站、村卫生室建设，各中心村设置面积不小于150平方米的村卫生室。</w:t>
      </w:r>
    </w:p>
    <w:p w14:paraId="3020EE4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5、社会福利和社会救助设施</w:t>
      </w:r>
    </w:p>
    <w:p w14:paraId="7A60D26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完善社会救助和服务体系，健全困难群众救助体系，完善基本生活救助、临时救助和专项救助制度体系，健全救助标准动态调整机制，创新社会救助模式。为应对人口老龄化加剧的趋势，规划健全医疗保健及养老设施，结合镇政府配建面积不小于400平方米的社区养老服务站，中心村配置面积不小于300平方米的老年人日间照料中心。</w:t>
      </w:r>
    </w:p>
    <w:p w14:paraId="6F74D2B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6、殡葬服务设施</w:t>
      </w:r>
    </w:p>
    <w:p w14:paraId="6FC4CF42">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建设生态化、高品质殡葬设施。至2035年，镇域公益性公墓服务覆盖率达到100%；新增骨灰安置量中的生态节地化比例达到60%以上，科学合理做好殡葬设施布局规划。</w:t>
      </w:r>
    </w:p>
    <w:p w14:paraId="6C4FFEE6">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合理布局镇村商业网点体系</w:t>
      </w:r>
    </w:p>
    <w:p w14:paraId="53F2BB5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落实上级商业体系建设要求，按照“乡镇商贸中心、村村通快递”的目标要求，立足实际，完善乡村商业网点和村级商业网点体系。</w:t>
      </w:r>
    </w:p>
    <w:p w14:paraId="220A915D">
      <w:pPr>
        <w:pStyle w:val="3"/>
        <w:numPr>
          <w:ilvl w:val="0"/>
          <w:numId w:val="8"/>
        </w:numPr>
        <w:spacing w:before="240" w:after="240"/>
        <w:ind w:left="0" w:firstLine="0"/>
        <w:jc w:val="center"/>
        <w:rPr>
          <w:rFonts w:ascii="黑体" w:hAnsi="黑体" w:eastAsia="黑体"/>
          <w:color w:val="auto"/>
          <w:lang w:eastAsia="zh-CN"/>
        </w:rPr>
      </w:pPr>
      <w:bookmarkStart w:id="40" w:name="_Toc30866"/>
      <w:bookmarkStart w:id="41" w:name="_Hlk150606426"/>
      <w:r>
        <w:rPr>
          <w:rFonts w:hint="eastAsia" w:ascii="黑体" w:hAnsi="黑体" w:eastAsia="黑体"/>
          <w:color w:val="auto"/>
          <w:lang w:eastAsia="zh-CN"/>
        </w:rPr>
        <w:t>构建区域协同的产业发展格局</w:t>
      </w:r>
      <w:bookmarkEnd w:id="40"/>
    </w:p>
    <w:bookmarkEnd w:id="41"/>
    <w:p w14:paraId="0A776791">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镇域产业空间总体格局</w:t>
      </w:r>
    </w:p>
    <w:p w14:paraId="21CCE3C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构建“一心两区”的镇域产业布局。依托资源禀赋和农业产业基础，进一步加强基础现代高效农业发展，同步推进特色乡村旅游业高质量发展，规划形成区域协同，片区特色发展的镇域产业总体格局。</w:t>
      </w:r>
    </w:p>
    <w:p w14:paraId="3A6BBFB5">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科技赋能农业发展</w:t>
      </w:r>
    </w:p>
    <w:p w14:paraId="25976179">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大力发展智慧农业。推动科技特派员与农技人员深入田间地头，为蔬菜大棚种植、果树种植等开展技术培训和现场指导，解决群众生产发展的“疑难杂症”。推广化肥农药减量增效及绿色农业发展模式，引导农户发展绿色产业。以张鲁庄村果蔬采摘园（草莓、火龙果等）为载体，发展现代休闲农业，通过农事体验、果蔬采摘等方式，丰富公共活动体验，打造乡村振兴示范。</w:t>
      </w:r>
    </w:p>
    <w:p w14:paraId="4FD9CBD1">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支持建设特色</w:t>
      </w:r>
      <w:r>
        <w:rPr>
          <w:rFonts w:hint="eastAsia" w:eastAsia="仿宋"/>
          <w:color w:val="auto"/>
          <w:w w:val="105"/>
          <w:sz w:val="32"/>
          <w:highlight w:val="none"/>
        </w:rPr>
        <w:t>旅游目的地</w:t>
      </w:r>
    </w:p>
    <w:p w14:paraId="72C96F0B">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sz w:val="32"/>
          <w:szCs w:val="32"/>
          <w:highlight w:val="none"/>
          <w:lang w:val="en-US" w:eastAsia="zh-CN" w:bidi="zh-TW"/>
        </w:rPr>
        <w:t>整合青龙集镇及周边旅游资源，积极推进现代休闲农业和乡村旅游融合发展。可参考青龙驿家庭农场田园综合体项目（融合农耕体验、生态住宿、餐饮接待等）的思路，鼓励社会资本参与，建设集自然观光、农业体验、文化研学、休闲度假于一体的旅游目的地。</w:t>
      </w:r>
    </w:p>
    <w:p w14:paraId="0B059B79">
      <w:pPr>
        <w:rPr>
          <w:rFonts w:hint="eastAsia" w:ascii="Times New Roman" w:hAnsi="Times New Roman" w:eastAsia="仿宋_GB2312" w:cs="Times New Roman"/>
          <w:color w:val="auto"/>
          <w:highlight w:val="none"/>
          <w:lang w:val="en-US" w:eastAsia="zh-CN"/>
        </w:rPr>
      </w:pPr>
    </w:p>
    <w:p w14:paraId="7C517D88">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保障</w:t>
      </w:r>
      <w:r>
        <w:rPr>
          <w:rFonts w:hint="eastAsia" w:eastAsia="仿宋"/>
          <w:color w:val="auto"/>
          <w:w w:val="105"/>
          <w:sz w:val="32"/>
          <w:highlight w:val="none"/>
          <w:lang w:val="en-US" w:eastAsia="zh-CN"/>
        </w:rPr>
        <w:t>乡村</w:t>
      </w:r>
      <w:r>
        <w:rPr>
          <w:rFonts w:hint="eastAsia" w:eastAsia="仿宋"/>
          <w:color w:val="auto"/>
          <w:w w:val="105"/>
          <w:sz w:val="32"/>
          <w:highlight w:val="none"/>
        </w:rPr>
        <w:t>一二三产融合发展用地空间</w:t>
      </w:r>
    </w:p>
    <w:bookmarkEnd w:id="20"/>
    <w:p w14:paraId="53E6CCD5">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sz w:val="32"/>
          <w:szCs w:val="32"/>
          <w:highlight w:val="none"/>
          <w:lang w:val="en-US" w:eastAsia="zh-CN" w:bidi="zh-TW"/>
        </w:rPr>
      </w:pPr>
      <w:bookmarkStart w:id="42" w:name="_bookmark18"/>
      <w:bookmarkEnd w:id="42"/>
      <w:r>
        <w:rPr>
          <w:rFonts w:hint="eastAsia" w:ascii="Times New Roman" w:hAnsi="Times New Roman" w:eastAsia="仿宋_GB2312" w:cs="Times New Roman"/>
          <w:color w:val="auto"/>
          <w:highlight w:val="none"/>
          <w:lang w:val="en-US" w:eastAsia="zh-CN"/>
        </w:rPr>
        <w:t>规划安排一定的建设用地指标重点保障乡村振兴产业发展用地，对暂时无法明确具体用途的地块留白，预留一定的建设用地规模。积极盘活农村老旧房屋与闲置宅基地，支撑乡村文旅文创、电子商务、冷链物流等新业态发展，引导不适宜农村产业发展的零散工业用地退出或向城镇集聚。鼓励集体经营性建设用地以出让、出租等方式兴办乡村企业，零星、分散的乡村产业项目及其配套的基础设施和公共服务设施建设的，按照“用多少、转（征）多少、供多少”的原则，实施点状供地。</w:t>
      </w:r>
    </w:p>
    <w:p w14:paraId="747582D4">
      <w:pPr>
        <w:widowControl/>
        <w:autoSpaceDE/>
        <w:autoSpaceDN/>
        <w:spacing w:line="360" w:lineRule="auto"/>
        <w:ind w:firstLine="681" w:firstLineChars="213"/>
        <w:rPr>
          <w:rFonts w:hint="eastAsia" w:ascii="Times New Roman" w:hAnsi="Times New Roman" w:eastAsia="仿宋_GB2312" w:cs="Times New Roman"/>
          <w:color w:val="auto"/>
          <w:sz w:val="32"/>
          <w:szCs w:val="32"/>
          <w:highlight w:val="yellow"/>
          <w:lang w:val="en-US" w:eastAsia="zh-CN" w:bidi="zh-TW"/>
        </w:rPr>
      </w:pPr>
      <w:r>
        <w:rPr>
          <w:rFonts w:hint="eastAsia" w:ascii="Times New Roman" w:hAnsi="Times New Roman" w:eastAsia="仿宋_GB2312" w:cs="Times New Roman"/>
          <w:color w:val="auto"/>
          <w:sz w:val="32"/>
          <w:szCs w:val="32"/>
          <w:highlight w:val="yellow"/>
          <w:lang w:val="en-US" w:eastAsia="zh-CN" w:bidi="zh-TW"/>
        </w:rPr>
        <w:br w:type="page"/>
      </w:r>
    </w:p>
    <w:p w14:paraId="5B28EE5C">
      <w:pPr>
        <w:pStyle w:val="2"/>
        <w:spacing w:before="0" w:line="360" w:lineRule="auto"/>
        <w:ind w:left="0" w:firstLine="0"/>
        <w:jc w:val="center"/>
        <w:rPr>
          <w:rFonts w:ascii="方正小标宋_GBK" w:hAnsi="方正小标宋_GBK" w:eastAsia="方正小标宋_GBK"/>
          <w:color w:val="auto"/>
          <w:spacing w:val="5"/>
        </w:rPr>
      </w:pPr>
      <w:bookmarkStart w:id="43" w:name="_Toc166340624"/>
      <w:bookmarkStart w:id="44" w:name="_Toc27773"/>
      <w:r>
        <w:rPr>
          <w:rFonts w:hint="eastAsia" w:ascii="方正小标宋_GBK" w:hAnsi="方正小标宋_GBK" w:eastAsia="方正小标宋_GBK"/>
          <w:color w:val="auto"/>
          <w:spacing w:val="5"/>
        </w:rPr>
        <w:t>统筹基础设施布局，</w:t>
      </w:r>
      <w:bookmarkEnd w:id="43"/>
      <w:r>
        <w:rPr>
          <w:rFonts w:hint="eastAsia" w:ascii="方正小标宋_GBK" w:hAnsi="方正小标宋_GBK" w:eastAsia="方正小标宋_GBK"/>
          <w:color w:val="auto"/>
          <w:spacing w:val="5"/>
        </w:rPr>
        <w:t>提升设施保障能力</w:t>
      </w:r>
      <w:bookmarkEnd w:id="44"/>
      <w:r>
        <w:rPr>
          <w:rFonts w:hint="eastAsia" w:ascii="方正小标宋_GBK" w:hAnsi="方正小标宋_GBK" w:eastAsia="方正小标宋_GBK"/>
          <w:color w:val="auto"/>
          <w:spacing w:val="5"/>
        </w:rPr>
        <w:t xml:space="preserve"> </w:t>
      </w:r>
    </w:p>
    <w:p w14:paraId="4C4D1643">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bookmarkStart w:id="45" w:name="_bookmark22"/>
      <w:bookmarkEnd w:id="45"/>
      <w:r>
        <w:rPr>
          <w:rFonts w:hint="eastAsia" w:ascii="Times New Roman" w:hAnsi="Times New Roman" w:eastAsia="仿宋_GB2312" w:cs="Times New Roman"/>
          <w:color w:val="auto"/>
          <w:lang w:val="en-US" w:eastAsia="zh-CN"/>
        </w:rPr>
        <w:t>构建“外通内联、快速畅通、绿色智慧、安全便捷”的现代化综合交通运输体系。坚持生态优先、绿色发展，建设更高水平、更有效率的基础设施系统。鼓励提升安全保障能力，提高城镇综合应急保障水平。</w:t>
      </w:r>
    </w:p>
    <w:p w14:paraId="445BF62F">
      <w:pPr>
        <w:pStyle w:val="3"/>
        <w:numPr>
          <w:ilvl w:val="0"/>
          <w:numId w:val="9"/>
        </w:numPr>
        <w:spacing w:before="240" w:after="240"/>
        <w:ind w:left="0" w:firstLine="0"/>
        <w:jc w:val="center"/>
        <w:rPr>
          <w:rFonts w:ascii="黑体" w:hAnsi="黑体" w:eastAsia="黑体"/>
          <w:color w:val="auto"/>
          <w:lang w:eastAsia="zh-CN"/>
        </w:rPr>
      </w:pPr>
      <w:bookmarkStart w:id="46" w:name="_bookmark19"/>
      <w:bookmarkEnd w:id="46"/>
      <w:bookmarkStart w:id="47" w:name="_Toc11876"/>
      <w:bookmarkStart w:id="48" w:name="_Toc152782109"/>
      <w:r>
        <w:rPr>
          <w:rFonts w:hint="eastAsia" w:ascii="黑体" w:hAnsi="黑体" w:eastAsia="黑体"/>
          <w:color w:val="auto"/>
          <w:lang w:eastAsia="zh-CN"/>
        </w:rPr>
        <w:t>发展绿色低碳智慧交通</w:t>
      </w:r>
      <w:bookmarkEnd w:id="47"/>
      <w:bookmarkEnd w:id="48"/>
    </w:p>
    <w:p w14:paraId="17004DDB">
      <w:pPr>
        <w:pStyle w:val="46"/>
        <w:spacing w:before="0" w:line="360" w:lineRule="auto"/>
        <w:ind w:left="0" w:right="108" w:firstLine="675" w:firstLineChars="200"/>
        <w:rPr>
          <w:rFonts w:eastAsia="仿宋"/>
          <w:color w:val="auto"/>
          <w:w w:val="105"/>
          <w:sz w:val="32"/>
        </w:rPr>
      </w:pPr>
      <w:bookmarkStart w:id="49" w:name="_Hlk150612789"/>
      <w:r>
        <w:rPr>
          <w:rFonts w:hint="eastAsia" w:eastAsia="仿宋"/>
          <w:color w:val="auto"/>
          <w:w w:val="105"/>
          <w:sz w:val="32"/>
        </w:rPr>
        <w:t>落实区域性交通设施线</w:t>
      </w:r>
    </w:p>
    <w:bookmarkEnd w:id="49"/>
    <w:p w14:paraId="01B789CD">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依托国道、城镇主干路打造多通道复合快速衔接系统，提升镇域干线公路服务水平，构建便捷通畅的乡村骨干公路网络和普惠公平的乡村基础公路网络。</w:t>
      </w:r>
    </w:p>
    <w:p w14:paraId="792E3CA2">
      <w:pPr>
        <w:pStyle w:val="13"/>
        <w:spacing w:before="0" w:beforeLines="0" w:line="360" w:lineRule="auto"/>
        <w:ind w:left="110" w:right="110" w:firstLine="80"/>
        <w:rPr>
          <w:color w:val="auto"/>
          <w:sz w:val="4"/>
        </w:rPr>
      </w:pPr>
    </w:p>
    <w:p w14:paraId="7DD917C6">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完善城乡道路交通系统</w:t>
      </w:r>
    </w:p>
    <w:p w14:paraId="0C7200B1">
      <w:pPr>
        <w:pStyle w:val="13"/>
        <w:autoSpaceDE/>
        <w:autoSpaceDN/>
        <w:spacing w:before="0" w:beforeLines="0" w:line="360" w:lineRule="auto"/>
        <w:ind w:left="0" w:leftChars="0" w:right="0" w:rightChars="0" w:firstLine="640"/>
        <w:contextualSpacing/>
        <w:rPr>
          <w:rFonts w:hint="default"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在镇域范围内构建“一横一纵”的主干道路交通体系。“一横”为G311，连接永城市和萧县县城；“一纵”为G237，连接张庄寨镇和淮北市。</w:t>
      </w:r>
    </w:p>
    <w:p w14:paraId="0C91403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依据各项相关法律法规依据各项相关法律法规，综合确定国道控制区范围应不少于27.5米，省道控制区范围应不少于22.5米。</w:t>
      </w:r>
    </w:p>
    <w:p w14:paraId="3B598DD8">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优化镇域公共交通系统</w:t>
      </w:r>
    </w:p>
    <w:p w14:paraId="75A367B7">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打造“枢纽站—普通站”两级公交服务站点，结合枢纽站设置慢行接驳设施。规划加强公交枢纽站与下辖各村的交通联系，在镇域范围内补充完善各村的停靠站点，方便居民出行。</w:t>
      </w:r>
    </w:p>
    <w:p w14:paraId="18CEC5ED">
      <w:pPr>
        <w:pStyle w:val="3"/>
        <w:numPr>
          <w:ilvl w:val="0"/>
          <w:numId w:val="9"/>
        </w:numPr>
        <w:spacing w:before="240" w:after="240"/>
        <w:ind w:left="0" w:firstLine="0"/>
        <w:jc w:val="center"/>
        <w:rPr>
          <w:rFonts w:ascii="黑体" w:hAnsi="黑体" w:eastAsia="黑体"/>
          <w:color w:val="auto"/>
          <w:lang w:eastAsia="zh-CN"/>
        </w:rPr>
      </w:pPr>
      <w:bookmarkStart w:id="50" w:name="_bookmark21"/>
      <w:bookmarkEnd w:id="50"/>
      <w:bookmarkStart w:id="51" w:name="_bookmark20"/>
      <w:bookmarkEnd w:id="51"/>
      <w:bookmarkStart w:id="52" w:name="_Toc152782110"/>
      <w:bookmarkStart w:id="53" w:name="_Toc23591"/>
      <w:r>
        <w:rPr>
          <w:rFonts w:hint="eastAsia" w:ascii="黑体" w:hAnsi="黑体" w:eastAsia="黑体"/>
          <w:color w:val="auto"/>
          <w:lang w:eastAsia="zh-CN"/>
        </w:rPr>
        <w:t>建设绿色韧性市政基础设施</w:t>
      </w:r>
      <w:bookmarkEnd w:id="52"/>
      <w:bookmarkEnd w:id="53"/>
    </w:p>
    <w:p w14:paraId="4F8BE50C">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打造全域覆盖的供水网络</w:t>
      </w:r>
    </w:p>
    <w:p w14:paraId="44DECFE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坚持以水定城、以水定地、以水定人、以水定产，实行最严格水资源管理制度，优化农业用水结构，完善更新供水设施，公共供水普及率达到100%，逐步提高再生水、雨洪水等非常规水源的利用水平，构建安全、稳定、高效的供水系统。</w:t>
      </w:r>
    </w:p>
    <w:p w14:paraId="25F5F197">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b w:val="0"/>
          <w:bCs w:val="0"/>
          <w:color w:val="auto"/>
          <w:highlight w:val="none"/>
          <w:lang w:val="en-US" w:eastAsia="zh-CN"/>
        </w:rPr>
        <w:t>建设互联互通的供水网络。落实区域供水一体化工程，置换地下水源，</w:t>
      </w:r>
      <w:r>
        <w:rPr>
          <w:rFonts w:hint="eastAsia" w:ascii="Times New Roman" w:hAnsi="Times New Roman" w:eastAsia="仿宋_GB2312" w:cs="Times New Roman"/>
          <w:bCs w:val="0"/>
          <w:color w:val="auto"/>
          <w:szCs w:val="32"/>
          <w:highlight w:val="none"/>
          <w:lang w:val="en-US" w:eastAsia="zh-CN"/>
        </w:rPr>
        <w:t>由新庄水厂统一供水</w:t>
      </w:r>
      <w:r>
        <w:rPr>
          <w:rFonts w:hint="eastAsia" w:ascii="Times New Roman" w:hAnsi="Times New Roman" w:eastAsia="仿宋_GB2312" w:cs="Times New Roman"/>
          <w:color w:val="auto"/>
          <w:highlight w:val="none"/>
          <w:lang w:val="en-US" w:eastAsia="zh-CN"/>
        </w:rPr>
        <w:t>，保障乡域生活用水和生产用水。</w:t>
      </w:r>
    </w:p>
    <w:p w14:paraId="3410D3B7">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b w:val="0"/>
          <w:bCs w:val="0"/>
          <w:color w:val="auto"/>
          <w:lang w:val="en-US" w:eastAsia="zh-CN"/>
        </w:rPr>
        <w:t>加强地下水保护。</w:t>
      </w:r>
      <w:r>
        <w:rPr>
          <w:rFonts w:hint="eastAsia" w:ascii="Times New Roman" w:hAnsi="Times New Roman" w:eastAsia="仿宋_GB2312" w:cs="Times New Roman"/>
          <w:color w:val="auto"/>
          <w:lang w:val="en-US" w:eastAsia="zh-CN"/>
        </w:rPr>
        <w:t>严格控制地下水开采，加强农业点源、面源污染控制，保护地下水生态环境。</w:t>
      </w:r>
    </w:p>
    <w:p w14:paraId="49C5E3ED">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完善供水管网建设。按照城乡统筹、资源共享的规划原则，随着新型农村社区建设的深入，村庄规模的集聚，将逐步实现全镇统一供水。</w:t>
      </w:r>
    </w:p>
    <w:p w14:paraId="47C5E98B">
      <w:pPr>
        <w:pStyle w:val="46"/>
        <w:spacing w:before="0" w:line="360" w:lineRule="auto"/>
        <w:ind w:left="0" w:right="108" w:firstLine="675" w:firstLineChars="200"/>
        <w:rPr>
          <w:rFonts w:eastAsia="仿宋"/>
          <w:color w:val="auto"/>
          <w:w w:val="105"/>
          <w:sz w:val="32"/>
          <w:lang w:val="en-US" w:eastAsia="zh-CN"/>
        </w:rPr>
      </w:pPr>
      <w:r>
        <w:rPr>
          <w:rFonts w:hint="eastAsia" w:eastAsia="仿宋"/>
          <w:color w:val="auto"/>
          <w:w w:val="105"/>
          <w:sz w:val="32"/>
          <w:lang w:val="en-US" w:eastAsia="zh-CN"/>
        </w:rPr>
        <w:t>建设完善雨污排放系统</w:t>
      </w:r>
    </w:p>
    <w:p w14:paraId="0E9D494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加快污水处理设施及配套管网建设，提高再生水利用率，污水处理率达到99%以上，污水管网覆盖率达到100%。</w:t>
      </w:r>
    </w:p>
    <w:p w14:paraId="4311AD3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靠近镇区的中心村和基层村的生活污水，可一并纳入城镇污水处理系统。远离镇区的中心村的和基层村，应尽可能集中分片地解决污水处理问题。</w:t>
      </w:r>
    </w:p>
    <w:p w14:paraId="18300C0D">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构建全域覆盖的</w:t>
      </w:r>
      <w:r>
        <w:rPr>
          <w:rFonts w:hint="eastAsia" w:eastAsia="仿宋"/>
          <w:color w:val="auto"/>
          <w:w w:val="105"/>
          <w:sz w:val="32"/>
        </w:rPr>
        <w:t>环卫系统</w:t>
      </w:r>
    </w:p>
    <w:p w14:paraId="064B111D">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到2035年，全镇垃圾无害化处理率达到100%，垃圾资源化回收利用率大于40%。生活垃圾实行源头分类收集，可回收垃圾应进行资源化利用，不可回收垃圾经统一收集后，转运至县</w:t>
      </w:r>
      <w:r>
        <w:rPr>
          <w:rFonts w:hint="eastAsia" w:ascii="Times New Roman" w:hAnsi="Times New Roman" w:eastAsia="仿宋_GB2312" w:cs="Times New Roman"/>
          <w:color w:val="auto"/>
          <w:kern w:val="0"/>
          <w:sz w:val="32"/>
          <w:szCs w:val="32"/>
          <w:lang w:val="en-US" w:eastAsia="zh-CN"/>
        </w:rPr>
        <w:t>垃圾焚烧场</w:t>
      </w:r>
      <w:r>
        <w:rPr>
          <w:rFonts w:hint="eastAsia" w:ascii="Times New Roman" w:hAnsi="Times New Roman" w:eastAsia="仿宋_GB2312" w:cs="Times New Roman"/>
          <w:color w:val="auto"/>
          <w:lang w:val="en-US" w:eastAsia="zh-CN"/>
        </w:rPr>
        <w:t>统一处理。</w:t>
      </w:r>
    </w:p>
    <w:p w14:paraId="08DC367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厨余垃圾和有害垃圾统一进行无害化处理。结合城镇功能布局合理设置转运站、基层环卫机构、环卫车队等环卫设施。农村居民点按60～100米的服务半径布置垃圾收集点。</w:t>
      </w:r>
    </w:p>
    <w:p w14:paraId="03223E2A">
      <w:pPr>
        <w:pStyle w:val="46"/>
        <w:spacing w:before="0" w:line="360" w:lineRule="auto"/>
        <w:ind w:left="0" w:right="108" w:firstLine="675" w:firstLineChars="200"/>
        <w:rPr>
          <w:rFonts w:eastAsia="仿宋"/>
          <w:color w:val="auto"/>
          <w:w w:val="105"/>
          <w:sz w:val="32"/>
          <w:lang w:val="en-US" w:eastAsia="zh-CN"/>
        </w:rPr>
      </w:pPr>
      <w:r>
        <w:rPr>
          <w:rFonts w:hint="eastAsia" w:eastAsia="仿宋"/>
          <w:color w:val="auto"/>
          <w:w w:val="105"/>
          <w:sz w:val="32"/>
          <w:lang w:val="en-US" w:eastAsia="zh-CN"/>
        </w:rPr>
        <w:t>建设多源保障的供电网络</w:t>
      </w:r>
    </w:p>
    <w:p w14:paraId="53B776F2">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聚焦“新基建”，拉高标杆，构建多元多向、坚强可靠、调度灵活、运行经济的高质量绿色智能电网系统，构建“多能互补”的电力供给新格局。以保证乡镇、中心村及各基层村的电力供给。各中心村设10千伏开闭所，基层村设变配电房，以减少线损，并保证产业生产、居民生活和抗旱排涝的需要。</w:t>
      </w:r>
    </w:p>
    <w:p w14:paraId="405B09C4">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进一步加强电力建设和电网改造，保持电力线沿主要公路架线的方式，在部分路段对现有电力线进行改造或增设，使电网布局更加合理可靠，进一步提高供电能力。</w:t>
      </w:r>
    </w:p>
    <w:p w14:paraId="7F928B9A">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加强高压廊道建设与管控。新建高压线路宜结合现状高压线路并廊建设，对镇域内500kV、220kV和35kV线路廊道进行控制，边导线防护距离分别不小于20米、15米和10米。镇区线路沿镇区内主次道路布置，村供电线路沿公路、村庄道路布置，采用同杆并架的架设方式，减少交叉、跨越、避免对弱电的干扰。</w:t>
      </w:r>
    </w:p>
    <w:p w14:paraId="34028643">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构建区域一体的天然气供应保障体系</w:t>
      </w:r>
    </w:p>
    <w:p w14:paraId="5FE580C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贯彻“多站连线，各线成环，多环并网”策略，落实区域高压集输管网“一张网”、气源“资源共享”理念，形成以天然气为主，液化石油气为补充的多气源格局，提高燃气供应保障能力。农村居民点积极推广使用罐装液化石油气，加强对液化石油气储存、充装、运输过程中的管理，规范操作，消除安全隐患。</w:t>
      </w:r>
    </w:p>
    <w:p w14:paraId="028ADE64">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支持智慧高效的</w:t>
      </w:r>
      <w:r>
        <w:rPr>
          <w:rFonts w:hint="eastAsia" w:eastAsia="仿宋"/>
          <w:color w:val="auto"/>
          <w:w w:val="105"/>
          <w:sz w:val="32"/>
        </w:rPr>
        <w:t>通</w:t>
      </w:r>
      <w:r>
        <w:rPr>
          <w:rFonts w:hint="eastAsia" w:eastAsia="仿宋"/>
          <w:color w:val="auto"/>
          <w:w w:val="105"/>
          <w:sz w:val="32"/>
          <w:lang w:val="en-US" w:eastAsia="zh-CN"/>
        </w:rPr>
        <w:t>讯设施建设</w:t>
      </w:r>
    </w:p>
    <w:p w14:paraId="2482525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规划采取“高起点、高层次”的建设方针，扩大镇区电信支局规模和服务能力，以适应社会和经济发展。加强邮政设施建设，逐步采用先进的邮政处理手段。</w:t>
      </w:r>
    </w:p>
    <w:p w14:paraId="369E5776">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完善邮政网点设施布局。在镇区设邮政所，在中心村设邮政代办点，保证服务覆盖整个镇域。</w:t>
      </w:r>
    </w:p>
    <w:p w14:paraId="738E11A5">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推进5G和宽带网络建设，加快新一代光传输网、新一代小（微）基站建设，增加5G基站布局，实现重点区域5G网络全覆盖，到2035年，家庭千兆光纤网络覆盖率达到100%。</w:t>
      </w:r>
    </w:p>
    <w:p w14:paraId="2C47E798">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加快有线电视的建设，同时实现村村通有线电视，拓宽农民获取致富信息的渠道，为广大群众提供全方位、多层次信息服务。</w:t>
      </w:r>
    </w:p>
    <w:p w14:paraId="5D8C8769">
      <w:pPr>
        <w:pStyle w:val="3"/>
        <w:numPr>
          <w:ilvl w:val="0"/>
          <w:numId w:val="9"/>
        </w:numPr>
        <w:spacing w:before="240" w:after="240"/>
        <w:ind w:left="0" w:firstLine="0"/>
        <w:jc w:val="center"/>
        <w:rPr>
          <w:rFonts w:ascii="黑体" w:hAnsi="黑体" w:eastAsia="黑体"/>
          <w:color w:val="auto"/>
          <w:lang w:eastAsia="zh-CN"/>
        </w:rPr>
      </w:pPr>
      <w:bookmarkStart w:id="54" w:name="_bookmark23"/>
      <w:bookmarkEnd w:id="54"/>
      <w:bookmarkStart w:id="55" w:name="_Toc152782111"/>
      <w:bookmarkStart w:id="56" w:name="_Toc21290"/>
      <w:r>
        <w:rPr>
          <w:rFonts w:hint="eastAsia" w:ascii="黑体" w:hAnsi="黑体" w:eastAsia="黑体"/>
          <w:color w:val="auto"/>
          <w:lang w:eastAsia="zh-CN"/>
        </w:rPr>
        <w:t>构建综合防灾设施体系</w:t>
      </w:r>
      <w:bookmarkEnd w:id="55"/>
      <w:bookmarkEnd w:id="56"/>
    </w:p>
    <w:p w14:paraId="7333B523">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建设综合应急管理体系</w:t>
      </w:r>
    </w:p>
    <w:p w14:paraId="21B8F26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坚持政府主导与社会参与相结合，坚持以防为主、防抗救相结合，坚持常态减灾和非常态救灾相统一，针对自然灾害和城镇运行安全、公共安全领域的突发事件，高标准规划建设重大防灾减灾基础设施，全面提升监测预警、预防救援、应急处置、危机管理等综合防范能力，形成全天候、系统性、现代化的城镇安全保障体系。</w:t>
      </w:r>
    </w:p>
    <w:p w14:paraId="4F394365">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加强抗震设防体系建设</w:t>
      </w:r>
    </w:p>
    <w:p w14:paraId="62DB66E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u w:val="single"/>
          <w:lang w:val="en-US" w:eastAsia="zh-CN"/>
        </w:rPr>
        <w:t>按地震基本烈度Ⅶ度要求设防。</w:t>
      </w:r>
      <w:r>
        <w:rPr>
          <w:rFonts w:hint="eastAsia" w:ascii="Times New Roman" w:hAnsi="Times New Roman" w:eastAsia="仿宋_GB2312" w:cs="Times New Roman"/>
          <w:color w:val="auto"/>
          <w:lang w:val="en-US" w:eastAsia="zh-CN"/>
        </w:rPr>
        <w:t>新建、改建、扩建工程严格执行抗震设防标准。重大建设工程、可能发生严重次生灾害的建设工程，应当进行地震安全性评价，并按照经审定的地震安全性评价报告确定的抗震设防要求进行抗震设防。重点科研单位、学校、医院、生命线系统等关键设施以及避难建筑、应急指挥中心等城镇要害系统，应当在本地抗震设防标准的基础上提高一档进行抗震设防。</w:t>
      </w:r>
    </w:p>
    <w:p w14:paraId="1608D896">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逐步开展对现状尚未采取抗震设防措施或抗震设防措施未达到抗震设防要求的建设工程的抗震性能鉴定，对镇区抗震性能不达标建筑逐步进行抗震加固，采取措施提高抗震能力。</w:t>
      </w:r>
    </w:p>
    <w:p w14:paraId="6C69AC56">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应急避难场所。绿地、广场、学校的开敞地带、较宽的道路应作为灾害时期的疏散场地。集中成片的居住区，规划建设中应留出一定的小区绿地，以作为应急避难场所。</w:t>
      </w:r>
    </w:p>
    <w:p w14:paraId="2D0541C6">
      <w:pPr>
        <w:pStyle w:val="46"/>
        <w:spacing w:before="0" w:line="360" w:lineRule="auto"/>
        <w:ind w:left="0" w:right="108" w:firstLine="675" w:firstLineChars="200"/>
        <w:rPr>
          <w:rFonts w:eastAsia="仿宋"/>
          <w:color w:val="auto"/>
          <w:w w:val="105"/>
          <w:sz w:val="32"/>
          <w:lang w:val="en-US" w:eastAsia="zh-CN"/>
        </w:rPr>
      </w:pPr>
      <w:r>
        <w:rPr>
          <w:rFonts w:hint="eastAsia" w:eastAsia="仿宋"/>
          <w:color w:val="auto"/>
          <w:w w:val="105"/>
          <w:sz w:val="32"/>
          <w:lang w:val="en-US" w:eastAsia="zh-CN"/>
        </w:rPr>
        <w:t>区域统筹防洪设施建设</w:t>
      </w:r>
    </w:p>
    <w:p w14:paraId="3DB91D6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u w:val="single"/>
          <w:lang w:val="en-US" w:eastAsia="zh-CN"/>
        </w:rPr>
        <w:t>乡镇防洪标准为20年一遇设防。</w:t>
      </w:r>
      <w:r>
        <w:rPr>
          <w:rFonts w:hint="eastAsia" w:ascii="Times New Roman" w:hAnsi="Times New Roman" w:eastAsia="仿宋_GB2312" w:cs="Times New Roman"/>
          <w:color w:val="auto"/>
          <w:lang w:val="en-US" w:eastAsia="zh-CN"/>
        </w:rPr>
        <w:t>在河道水系基本保持现状的情况下，对骨干河道进行梳理和整治，使镇域内河道疏通，并按近期防洪要求进行加固。河道按照内河湖水库管理范围线进行管控，防洪堤的设计可以与防护绿廊相结合，以美化环境。定期疏竣河道，提高河道蓄洪和排涝能力。</w:t>
      </w:r>
    </w:p>
    <w:p w14:paraId="01A8BA8E">
      <w:pPr>
        <w:pStyle w:val="46"/>
        <w:spacing w:before="0" w:line="360" w:lineRule="auto"/>
        <w:ind w:left="0" w:right="108" w:firstLine="675" w:firstLineChars="200"/>
        <w:rPr>
          <w:rFonts w:eastAsia="仿宋"/>
          <w:color w:val="auto"/>
          <w:w w:val="105"/>
          <w:sz w:val="32"/>
          <w:lang w:val="en-US" w:eastAsia="zh-CN"/>
        </w:rPr>
      </w:pPr>
      <w:r>
        <w:rPr>
          <w:rFonts w:hint="eastAsia" w:eastAsia="仿宋"/>
          <w:color w:val="auto"/>
          <w:w w:val="105"/>
          <w:sz w:val="32"/>
          <w:lang w:val="en-US" w:eastAsia="zh-CN"/>
        </w:rPr>
        <w:t>打造全域覆盖的消防体系</w:t>
      </w:r>
    </w:p>
    <w:p w14:paraId="4109826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贯彻预防为主、防消结合的方针，构建“立体综合、覆盖全域”的消防安全体系和应急救援体系。提升区域消防安全和应急救援保障能力，加强消防供水、消防通信等消防公共基础设施建设，并依托消防部门成立综合应急救援队伍，提高公众消防安全素质，营造高质量的消防安全环境。</w:t>
      </w:r>
    </w:p>
    <w:p w14:paraId="24DD42DA">
      <w:pPr>
        <w:pStyle w:val="3"/>
        <w:numPr>
          <w:ilvl w:val="0"/>
          <w:numId w:val="9"/>
        </w:numPr>
        <w:spacing w:before="240" w:after="240"/>
        <w:ind w:left="0" w:firstLine="0"/>
        <w:jc w:val="center"/>
        <w:rPr>
          <w:rFonts w:ascii="黑体" w:hAnsi="黑体" w:eastAsia="黑体"/>
          <w:color w:val="auto"/>
          <w:lang w:eastAsia="zh-CN"/>
        </w:rPr>
      </w:pPr>
      <w:bookmarkStart w:id="57" w:name="_Toc7471"/>
      <w:r>
        <w:rPr>
          <w:rFonts w:hint="eastAsia" w:ascii="黑体" w:hAnsi="黑体" w:eastAsia="黑体"/>
          <w:color w:val="auto"/>
          <w:lang w:eastAsia="zh-CN"/>
        </w:rPr>
        <w:t>提升应对重大疫情风险能力</w:t>
      </w:r>
      <w:bookmarkEnd w:id="57"/>
    </w:p>
    <w:p w14:paraId="575A6D6D">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完善完善疾病预防控制体系</w:t>
      </w:r>
    </w:p>
    <w:p w14:paraId="4324CC55">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在现有社会治理、医疗和公共卫生设施布局基础上，依托镇区和社区网格化管理，参照防灾分区和行政管理单元，结合公共卫生风险和健康影响评估，科学划定防疫分区和防疫单元，分区分级分类统筹资源配置。</w:t>
      </w:r>
    </w:p>
    <w:p w14:paraId="75BFBBA2">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提升重大疫情救治能力</w:t>
      </w:r>
    </w:p>
    <w:p w14:paraId="578E1F20">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夯实网底，提升基层卫生机构防治能力。按照人口规模，查漏补缺，补齐基层卫生机构缺口。通过加强标准化建设等方式，在加强防控能力前提下，提高基层卫生机构的救治能力。</w:t>
      </w:r>
    </w:p>
    <w:p w14:paraId="024CF069">
      <w:pPr>
        <w:pStyle w:val="46"/>
        <w:spacing w:before="0" w:line="360" w:lineRule="auto"/>
        <w:ind w:left="0" w:right="108" w:firstLine="675" w:firstLineChars="200"/>
        <w:rPr>
          <w:rFonts w:eastAsia="仿宋"/>
          <w:color w:val="auto"/>
          <w:w w:val="105"/>
          <w:sz w:val="32"/>
          <w:lang w:val="en-US" w:eastAsia="zh-CN"/>
        </w:rPr>
      </w:pPr>
      <w:r>
        <w:rPr>
          <w:rFonts w:hint="eastAsia" w:eastAsia="仿宋"/>
          <w:color w:val="auto"/>
          <w:w w:val="105"/>
          <w:sz w:val="32"/>
          <w:lang w:val="en-US" w:eastAsia="zh-CN"/>
        </w:rPr>
        <w:t>科学谋划重大“平急两用”设施布局</w:t>
      </w:r>
    </w:p>
    <w:p w14:paraId="5CAFA131">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依托社区服务中心、广场、公园、文旅设施和党群服务中心组成平急应急空间。根据不同响应等级、在不同空间范围内配置不同规模的设施，同时考虑设施的平灾结合性、个体可达性与共享性。</w:t>
      </w:r>
    </w:p>
    <w:p w14:paraId="58C7C5B8">
      <w:pPr>
        <w:pStyle w:val="13"/>
        <w:autoSpaceDE/>
        <w:autoSpaceDN/>
        <w:spacing w:beforeLines="0"/>
        <w:ind w:left="110" w:right="110" w:firstLine="681" w:firstLineChars="213"/>
        <w:contextualSpacing/>
        <w:rPr>
          <w:rFonts w:ascii="Times New Roman" w:hAnsi="Times New Roman" w:eastAsia="仿宋_GB2312" w:cs="Times New Roman"/>
          <w:color w:val="auto"/>
          <w:lang w:val="en-US" w:eastAsia="zh-CN"/>
        </w:rPr>
        <w:sectPr>
          <w:pgSz w:w="11910" w:h="16850"/>
          <w:pgMar w:top="1360" w:right="1380" w:bottom="1640" w:left="1560" w:header="645" w:footer="1443" w:gutter="0"/>
          <w:pgBorders>
            <w:top w:val="none" w:sz="0" w:space="0"/>
            <w:left w:val="none" w:sz="0" w:space="0"/>
            <w:bottom w:val="none" w:sz="0" w:space="0"/>
            <w:right w:val="none" w:sz="0" w:space="0"/>
          </w:pgBorders>
          <w:cols w:space="720" w:num="1"/>
        </w:sectPr>
      </w:pPr>
    </w:p>
    <w:p w14:paraId="02F90A6D">
      <w:pPr>
        <w:pStyle w:val="2"/>
        <w:spacing w:before="0" w:line="360" w:lineRule="auto"/>
        <w:ind w:left="0" w:firstLine="0"/>
        <w:jc w:val="center"/>
        <w:rPr>
          <w:rFonts w:ascii="方正小标宋_GBK" w:hAnsi="方正小标宋_GBK" w:eastAsia="方正小标宋_GBK"/>
          <w:color w:val="auto"/>
          <w:spacing w:val="5"/>
          <w:lang w:eastAsia="zh-CN"/>
        </w:rPr>
      </w:pPr>
      <w:bookmarkStart w:id="58" w:name="_bookmark25"/>
      <w:bookmarkEnd w:id="58"/>
      <w:bookmarkStart w:id="59" w:name="_Toc25124"/>
      <w:r>
        <w:rPr>
          <w:rFonts w:hint="eastAsia" w:ascii="方正小标宋_GBK" w:hAnsi="方正小标宋_GBK" w:eastAsia="方正小标宋_GBK"/>
          <w:color w:val="auto"/>
          <w:spacing w:val="5"/>
        </w:rPr>
        <w:t>传承历史文化</w:t>
      </w:r>
      <w:r>
        <w:rPr>
          <w:rFonts w:ascii="方正小标宋_GBK" w:hAnsi="方正小标宋_GBK" w:eastAsia="方正小标宋_GBK"/>
          <w:color w:val="auto"/>
          <w:spacing w:val="5"/>
        </w:rPr>
        <w:t>，塑造特色风貌</w:t>
      </w:r>
      <w:bookmarkEnd w:id="59"/>
    </w:p>
    <w:p w14:paraId="27119E43">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加大青龙集镇文物和文化遗产保护力度，加强历史文化保护传承，构建覆盖全域的历史文化保护体系。</w:t>
      </w:r>
    </w:p>
    <w:p w14:paraId="69F13FB0">
      <w:pPr>
        <w:pStyle w:val="3"/>
        <w:numPr>
          <w:ilvl w:val="0"/>
          <w:numId w:val="10"/>
        </w:numPr>
        <w:spacing w:before="240" w:after="240"/>
        <w:ind w:left="0" w:firstLine="0"/>
        <w:jc w:val="center"/>
        <w:rPr>
          <w:rFonts w:ascii="黑体" w:hAnsi="黑体" w:eastAsia="黑体"/>
          <w:color w:val="auto"/>
          <w:lang w:eastAsia="zh-CN"/>
        </w:rPr>
      </w:pPr>
      <w:bookmarkStart w:id="60" w:name="_Toc22950"/>
      <w:r>
        <w:rPr>
          <w:rFonts w:hint="eastAsia" w:ascii="黑体" w:hAnsi="黑体" w:eastAsia="黑体"/>
          <w:color w:val="auto"/>
          <w:lang w:eastAsia="zh-CN"/>
        </w:rPr>
        <w:t>保护利用历史文化遗产</w:t>
      </w:r>
      <w:bookmarkEnd w:id="60"/>
    </w:p>
    <w:p w14:paraId="6725417D">
      <w:pPr>
        <w:pStyle w:val="46"/>
        <w:spacing w:before="0" w:line="360" w:lineRule="auto"/>
        <w:ind w:left="0" w:right="108" w:firstLine="675" w:firstLineChars="200"/>
        <w:rPr>
          <w:rFonts w:eastAsia="仿宋"/>
          <w:color w:val="auto"/>
          <w:w w:val="105"/>
          <w:sz w:val="32"/>
          <w:lang w:val="en-US" w:eastAsia="zh-CN"/>
        </w:rPr>
      </w:pPr>
      <w:bookmarkStart w:id="61" w:name="_Hlk171686827"/>
      <w:r>
        <w:rPr>
          <w:rFonts w:hint="eastAsia" w:eastAsia="仿宋"/>
          <w:color w:val="auto"/>
          <w:w w:val="105"/>
          <w:sz w:val="32"/>
          <w:lang w:val="en-US" w:eastAsia="zh-CN"/>
        </w:rPr>
        <w:t>完善城乡历史文化保护传承体系</w:t>
      </w:r>
    </w:p>
    <w:p w14:paraId="1B4E5099">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尊重历史文化要素分布规律，全面保护镇域文物保护单位、历史建筑等历史文化遗产，建立各类历史文化保护对象全域普查、定期评估机制，加快认定公布保护对象，编制城乡历史文化保护传承方案和管理办法，划定保护范围，明确建设控制要求。构建以文物保护单位、历史建筑、一般文物保护点为核心的历史文化保护传承体系，系统保护和活化利用好历史文化遗产、自然遗产和丰富多样的景观资源，保障文化产业发展空间，在保证历史文化遗存的真实性和完整性的提前下适当发展文化旅游功能。</w:t>
      </w:r>
    </w:p>
    <w:bookmarkEnd w:id="61"/>
    <w:p w14:paraId="2676BE8C">
      <w:pPr>
        <w:pStyle w:val="46"/>
        <w:spacing w:before="0" w:line="360" w:lineRule="auto"/>
        <w:ind w:left="0" w:right="108" w:firstLine="675" w:firstLineChars="200"/>
        <w:rPr>
          <w:rFonts w:eastAsia="仿宋"/>
          <w:color w:val="auto"/>
          <w:w w:val="105"/>
          <w:sz w:val="32"/>
          <w:lang w:val="en-US" w:eastAsia="zh-CN"/>
        </w:rPr>
      </w:pPr>
      <w:r>
        <w:rPr>
          <w:rFonts w:hint="eastAsia" w:eastAsia="仿宋"/>
          <w:color w:val="auto"/>
          <w:w w:val="105"/>
          <w:sz w:val="32"/>
          <w:lang w:val="en-US" w:eastAsia="zh-CN"/>
        </w:rPr>
        <w:t>划定历史文化保护线</w:t>
      </w:r>
    </w:p>
    <w:p w14:paraId="3478C6D8">
      <w:pPr>
        <w:pStyle w:val="13"/>
        <w:autoSpaceDE/>
        <w:autoSpaceDN/>
        <w:spacing w:before="0" w:beforeLines="0" w:line="360" w:lineRule="auto"/>
        <w:ind w:left="0" w:leftChars="0" w:right="0" w:rightChars="0" w:firstLine="640" w:firstLineChars="0"/>
        <w:contextualSpacing/>
        <w:rPr>
          <w:color w:val="auto"/>
          <w:lang w:val="en-US" w:eastAsia="zh-CN"/>
        </w:rPr>
      </w:pPr>
      <w:r>
        <w:rPr>
          <w:rFonts w:hint="eastAsia" w:ascii="Times New Roman" w:hAnsi="Times New Roman" w:eastAsia="仿宋_GB2312" w:cs="Times New Roman"/>
          <w:color w:val="auto"/>
          <w:lang w:val="en-US" w:eastAsia="zh-CN"/>
        </w:rPr>
        <w:t>青龙集镇暂无文保单位、历史建筑等资源。</w:t>
      </w:r>
      <w:r>
        <w:rPr>
          <w:rFonts w:hint="eastAsia" w:ascii="Times New Roman" w:hAnsi="Times New Roman" w:eastAsia="仿宋_GB2312" w:cs="Times New Roman"/>
          <w:color w:val="auto"/>
          <w:highlight w:val="none"/>
          <w:lang w:val="en-US" w:eastAsia="zh-CN"/>
        </w:rPr>
        <w:t>规划挖掘“青龙”文化故事、淮海战役军事文化等非物质文化资源，</w:t>
      </w:r>
      <w:r>
        <w:rPr>
          <w:rFonts w:hint="eastAsia" w:ascii="Times New Roman" w:hAnsi="Times New Roman" w:eastAsia="仿宋_GB2312" w:cs="Times New Roman"/>
          <w:color w:val="auto"/>
          <w:lang w:val="en-US" w:eastAsia="zh-CN"/>
        </w:rPr>
        <w:t>规划期限内公布且划定保护范围的文物保护单位、历史建筑，逐步纳入历史文化保护线。落实保护责任主体，明确管理保护要求，对各类保护对象进行定期体检，同时对历史名录进行长期动态维护，对保护范围和建设控制地带进行严格管理。</w:t>
      </w:r>
    </w:p>
    <w:p w14:paraId="187118F9">
      <w:pPr>
        <w:pStyle w:val="3"/>
        <w:numPr>
          <w:ilvl w:val="0"/>
          <w:numId w:val="10"/>
        </w:numPr>
        <w:spacing w:before="240" w:after="240"/>
        <w:ind w:left="0" w:firstLine="0"/>
        <w:jc w:val="center"/>
        <w:rPr>
          <w:rFonts w:ascii="黑体" w:hAnsi="黑体" w:eastAsia="黑体"/>
          <w:color w:val="auto"/>
          <w:lang w:eastAsia="zh-CN"/>
        </w:rPr>
      </w:pPr>
      <w:bookmarkStart w:id="62" w:name="_Toc166340631"/>
      <w:bookmarkStart w:id="63" w:name="_Hlk171686868"/>
      <w:bookmarkStart w:id="64" w:name="_Toc20910"/>
      <w:r>
        <w:rPr>
          <w:rFonts w:hint="eastAsia" w:ascii="黑体" w:hAnsi="黑体" w:eastAsia="黑体"/>
          <w:color w:val="auto"/>
          <w:lang w:eastAsia="zh-CN"/>
        </w:rPr>
        <w:t>塑造</w:t>
      </w:r>
      <w:bookmarkEnd w:id="62"/>
      <w:r>
        <w:rPr>
          <w:rFonts w:hint="eastAsia" w:ascii="黑体" w:hAnsi="黑体" w:eastAsia="黑体"/>
          <w:color w:val="auto"/>
          <w:lang w:eastAsia="zh-CN"/>
        </w:rPr>
        <w:t>自然生态魅力城镇</w:t>
      </w:r>
      <w:bookmarkEnd w:id="63"/>
      <w:bookmarkEnd w:id="64"/>
    </w:p>
    <w:p w14:paraId="45D7CD64">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塑造城乡特色风貌</w:t>
      </w:r>
    </w:p>
    <w:p w14:paraId="02EF535E">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结合青龙集风貌特征，挖掘特色产业发展与自身资源本底，依托自然本底要素，突出农田景观特色，构筑蓝绿生态骨架，强化自然生态格局。</w:t>
      </w:r>
    </w:p>
    <w:p w14:paraId="325DEF0D">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保护自然田园格局</w:t>
      </w:r>
    </w:p>
    <w:p w14:paraId="58A89E84">
      <w:pPr>
        <w:pStyle w:val="13"/>
        <w:autoSpaceDE/>
        <w:autoSpaceDN/>
        <w:spacing w:before="0" w:beforeLines="0" w:line="360" w:lineRule="auto"/>
        <w:ind w:left="0" w:leftChars="0" w:right="0" w:rightChars="0" w:firstLine="640" w:firstLineChars="0"/>
        <w:contextualSpacing/>
        <w:rPr>
          <w:color w:val="auto"/>
          <w:lang w:eastAsia="zh-CN"/>
        </w:rPr>
      </w:pPr>
      <w:r>
        <w:rPr>
          <w:rFonts w:hint="eastAsia" w:ascii="Times New Roman" w:hAnsi="Times New Roman" w:eastAsia="仿宋_GB2312" w:cs="Times New Roman"/>
          <w:color w:val="auto"/>
          <w:lang w:val="en-US" w:eastAsia="zh-CN"/>
        </w:rPr>
        <w:t>强化水网交错、林田交织的自然生态格局，塑造多样化的自然景观特色。依托区域生态格局划定生态廊道与景观轴线。梳理和构建蓝绿资源、生态廊道、绿地系统和开放空间组成的城镇生态网络，严格保护多样化的生态环境。</w:t>
      </w:r>
    </w:p>
    <w:p w14:paraId="57D601CC">
      <w:pPr>
        <w:pStyle w:val="3"/>
        <w:numPr>
          <w:ilvl w:val="0"/>
          <w:numId w:val="10"/>
        </w:numPr>
        <w:spacing w:before="240" w:after="240"/>
        <w:ind w:left="0" w:firstLine="0"/>
        <w:jc w:val="center"/>
        <w:rPr>
          <w:rFonts w:ascii="黑体" w:hAnsi="黑体" w:eastAsia="黑体"/>
          <w:color w:val="auto"/>
          <w:lang w:eastAsia="zh-CN"/>
        </w:rPr>
      </w:pPr>
      <w:bookmarkStart w:id="65" w:name="_Toc30940"/>
      <w:r>
        <w:rPr>
          <w:rFonts w:hint="eastAsia" w:ascii="黑体" w:hAnsi="黑体" w:eastAsia="黑体"/>
          <w:color w:val="auto"/>
          <w:lang w:eastAsia="zh-CN"/>
        </w:rPr>
        <w:t>凸显田园风光镇村特色</w:t>
      </w:r>
      <w:bookmarkEnd w:id="65"/>
    </w:p>
    <w:p w14:paraId="480FD2C4">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强化镇村高度管控</w:t>
      </w:r>
    </w:p>
    <w:p w14:paraId="22157302">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统筹考虑城乡空间管控的刚性要求，协调好新建建筑与生态环境、现状建筑的和谐关系，确保生态景观、人文景观视线通畅，科学引导高层建筑集中布局。镇区结合公共空间、骨架轴线、交通站点等重点区域，引导高层建筑集中布局，建筑高度宜控制在36米以内，镇区外的村庄建筑高度控制在12米以内。</w:t>
      </w:r>
    </w:p>
    <w:p w14:paraId="2BE9EA58">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保护乡村田园风光</w:t>
      </w:r>
    </w:p>
    <w:p w14:paraId="47D00AE9">
      <w:pPr>
        <w:pStyle w:val="13"/>
        <w:autoSpaceDE/>
        <w:autoSpaceDN/>
        <w:spacing w:before="0" w:beforeLines="0" w:line="360" w:lineRule="auto"/>
        <w:ind w:left="0" w:leftChars="0" w:right="0" w:rightChars="0" w:firstLine="640" w:firstLineChars="0"/>
        <w:contextualSpacing/>
        <w:jc w:val="left"/>
        <w:rPr>
          <w:rFonts w:ascii="Times New Roman" w:hAnsi="Times New Roman" w:eastAsia="仿宋_GB2312" w:cs="Times New Roman"/>
          <w:color w:val="auto"/>
          <w:lang w:val="en-US" w:eastAsia="zh-CN"/>
        </w:rPr>
      </w:pPr>
      <w:bookmarkStart w:id="66" w:name="_Hlk152692932"/>
      <w:r>
        <w:rPr>
          <w:rFonts w:hint="eastAsia" w:ascii="Times New Roman" w:hAnsi="Times New Roman" w:eastAsia="仿宋_GB2312" w:cs="Times New Roman"/>
          <w:color w:val="auto"/>
          <w:lang w:val="en-US" w:eastAsia="zh-CN"/>
        </w:rPr>
        <w:t>保护村庄聚落特征，尊重“水林田湖草渠”交融的村庄格局，促进村庄建设与历史文化、生态本底相融合，塑造青龙集镇整体乡村特色风貌。结合乡村地域文化本底与现代农业特色，营造与生态环境及传统文化内涵相得益彰的乡村田园生活风光，体现皖北韵味。</w:t>
      </w:r>
    </w:p>
    <w:p w14:paraId="133F576D">
      <w:pPr>
        <w:pStyle w:val="13"/>
        <w:autoSpaceDE/>
        <w:autoSpaceDN/>
        <w:spacing w:before="0" w:beforeLines="0" w:line="360" w:lineRule="auto"/>
        <w:ind w:left="0" w:leftChars="0" w:right="0" w:rightChars="0" w:firstLine="640" w:firstLineChars="0"/>
        <w:contextualSpacing/>
        <w:jc w:val="left"/>
        <w:rPr>
          <w:rFonts w:ascii="Times New Roman" w:hAnsi="Times New Roman" w:eastAsia="仿宋_GB2312" w:cs="Times New Roman"/>
          <w:color w:val="auto"/>
          <w:lang w:val="en-US" w:eastAsia="zh-CN"/>
        </w:rPr>
        <w:sectPr>
          <w:pgSz w:w="11906" w:h="16838"/>
          <w:pgMar w:top="1440" w:right="1800" w:bottom="1440" w:left="1800" w:header="720" w:footer="720" w:gutter="0"/>
          <w:pgBorders>
            <w:top w:val="none" w:sz="0" w:space="0"/>
            <w:left w:val="none" w:sz="0" w:space="0"/>
            <w:bottom w:val="none" w:sz="0" w:space="0"/>
            <w:right w:val="none" w:sz="0" w:space="0"/>
          </w:pgBorders>
          <w:cols w:space="720" w:num="1"/>
          <w:docGrid w:linePitch="299" w:charSpace="0"/>
        </w:sectPr>
      </w:pPr>
    </w:p>
    <w:bookmarkEnd w:id="66"/>
    <w:p w14:paraId="0009AEB8">
      <w:pPr>
        <w:pStyle w:val="2"/>
        <w:spacing w:before="0" w:line="360" w:lineRule="auto"/>
        <w:ind w:left="0" w:firstLine="0"/>
        <w:jc w:val="center"/>
        <w:rPr>
          <w:rFonts w:ascii="方正小标宋_GBK" w:hAnsi="方正小标宋_GBK" w:eastAsia="PMingLiU-ExtB"/>
          <w:color w:val="auto"/>
          <w:spacing w:val="5"/>
        </w:rPr>
      </w:pPr>
      <w:bookmarkStart w:id="67" w:name="_bookmark31"/>
      <w:bookmarkEnd w:id="67"/>
      <w:bookmarkStart w:id="68" w:name="_Toc5297"/>
      <w:r>
        <w:rPr>
          <w:rFonts w:hint="eastAsia" w:ascii="方正小标宋_GBK" w:hAnsi="方正小标宋_GBK" w:eastAsia="方正小标宋_GBK"/>
          <w:color w:val="auto"/>
          <w:spacing w:val="5"/>
        </w:rPr>
        <w:t>优化镇区</w:t>
      </w:r>
      <w:r>
        <w:rPr>
          <w:rFonts w:ascii="方正小标宋_GBK" w:hAnsi="方正小标宋_GBK" w:eastAsia="方正小标宋_GBK"/>
          <w:color w:val="auto"/>
          <w:spacing w:val="5"/>
        </w:rPr>
        <w:t>空间布局，提升乡镇宜居品质</w:t>
      </w:r>
      <w:bookmarkEnd w:id="68"/>
    </w:p>
    <w:p w14:paraId="0E806C37">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传承蓝绿交织的空间形态，彰显以水为魂、以绿为核的空间特色，构建“一心两轴两区”的空间结构。面向新时期人民对美好生活的向往，优化镇区用地布局，完善公共服务设施配置，优化市政基础设施布局，加强镇区空间形态管控，推动区域协同发展。</w:t>
      </w:r>
    </w:p>
    <w:p w14:paraId="6FC42344">
      <w:pPr>
        <w:pStyle w:val="3"/>
        <w:numPr>
          <w:ilvl w:val="0"/>
          <w:numId w:val="11"/>
        </w:numPr>
        <w:spacing w:before="240" w:after="240"/>
        <w:ind w:left="0" w:firstLine="0"/>
        <w:jc w:val="center"/>
        <w:rPr>
          <w:rFonts w:ascii="黑体" w:hAnsi="黑体" w:eastAsia="黑体"/>
          <w:color w:val="auto"/>
          <w:lang w:eastAsia="zh-CN"/>
        </w:rPr>
      </w:pPr>
      <w:bookmarkStart w:id="69" w:name="_bookmark32"/>
      <w:bookmarkEnd w:id="69"/>
      <w:bookmarkStart w:id="70" w:name="_Toc3976"/>
      <w:r>
        <w:rPr>
          <w:rFonts w:hint="eastAsia" w:ascii="黑体" w:hAnsi="黑体" w:eastAsia="黑体"/>
          <w:color w:val="auto"/>
          <w:lang w:eastAsia="zh-CN"/>
        </w:rPr>
        <w:t>优化镇区用地布局</w:t>
      </w:r>
      <w:bookmarkEnd w:id="70"/>
    </w:p>
    <w:p w14:paraId="6608FA45">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构建</w:t>
      </w:r>
      <w:r>
        <w:rPr>
          <w:rFonts w:hint="eastAsia" w:eastAsia="仿宋"/>
          <w:color w:val="auto"/>
          <w:w w:val="105"/>
          <w:sz w:val="32"/>
          <w:lang w:eastAsia="zh-CN"/>
        </w:rPr>
        <w:t>“</w:t>
      </w:r>
      <w:r>
        <w:rPr>
          <w:rFonts w:hint="eastAsia" w:eastAsia="仿宋"/>
          <w:color w:val="auto"/>
          <w:w w:val="105"/>
          <w:sz w:val="32"/>
          <w:lang w:val="en-US" w:eastAsia="zh-CN"/>
        </w:rPr>
        <w:t>一</w:t>
      </w:r>
      <w:r>
        <w:rPr>
          <w:rFonts w:hint="eastAsia" w:eastAsia="仿宋"/>
          <w:color w:val="auto"/>
          <w:w w:val="105"/>
          <w:sz w:val="32"/>
        </w:rPr>
        <w:t>心两轴</w:t>
      </w:r>
      <w:r>
        <w:rPr>
          <w:rFonts w:hint="eastAsia" w:eastAsia="仿宋"/>
          <w:color w:val="auto"/>
          <w:w w:val="105"/>
          <w:sz w:val="32"/>
          <w:lang w:val="en-US" w:eastAsia="zh-CN"/>
        </w:rPr>
        <w:t>两区</w:t>
      </w:r>
      <w:r>
        <w:rPr>
          <w:rFonts w:hint="eastAsia" w:eastAsia="仿宋"/>
          <w:color w:val="auto"/>
          <w:w w:val="105"/>
          <w:sz w:val="32"/>
          <w:lang w:eastAsia="zh-CN"/>
        </w:rPr>
        <w:t>”</w:t>
      </w:r>
      <w:r>
        <w:rPr>
          <w:rFonts w:hint="eastAsia" w:eastAsia="仿宋"/>
          <w:color w:val="auto"/>
          <w:w w:val="105"/>
          <w:sz w:val="32"/>
        </w:rPr>
        <w:t>的空间格局</w:t>
      </w:r>
    </w:p>
    <w:p w14:paraId="017616D7">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推进青龙集镇集约集聚发展，构建“一心两轴两区”的城镇空间结构。</w:t>
      </w:r>
    </w:p>
    <w:p w14:paraId="3598AB06">
      <w:pPr>
        <w:pStyle w:val="46"/>
        <w:spacing w:before="0" w:line="360" w:lineRule="auto"/>
        <w:ind w:left="0" w:right="108" w:firstLine="718" w:firstLineChars="213"/>
        <w:rPr>
          <w:rFonts w:eastAsia="仿宋"/>
          <w:color w:val="auto"/>
          <w:w w:val="105"/>
          <w:sz w:val="32"/>
        </w:rPr>
      </w:pPr>
      <w:r>
        <w:rPr>
          <w:rFonts w:eastAsia="仿宋"/>
          <w:color w:val="auto"/>
          <w:w w:val="105"/>
          <w:sz w:val="32"/>
        </w:rPr>
        <w:t>优化</w:t>
      </w:r>
      <w:r>
        <w:rPr>
          <w:rFonts w:hint="eastAsia" w:eastAsia="仿宋"/>
          <w:color w:val="auto"/>
          <w:w w:val="105"/>
          <w:sz w:val="32"/>
        </w:rPr>
        <w:t>镇</w:t>
      </w:r>
      <w:r>
        <w:rPr>
          <w:rFonts w:eastAsia="仿宋"/>
          <w:color w:val="auto"/>
          <w:w w:val="105"/>
          <w:sz w:val="32"/>
        </w:rPr>
        <w:t>区组团布局</w:t>
      </w:r>
    </w:p>
    <w:p w14:paraId="3CE5D115">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合理确定组团规模，将镇区划分为生态宜居组团、城镇活力组团。充分利用道路、干渠等自然地理要素等划分城镇组团。</w:t>
      </w:r>
    </w:p>
    <w:p w14:paraId="5792EC8B">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城镇活力组团位于镇区西部，突出商业、公共服务、居住等功能。着力完善公共服务设施配置，提升老镇区城镇风貌和生活品质。</w:t>
      </w:r>
    </w:p>
    <w:p w14:paraId="3A896923">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bookmarkStart w:id="71" w:name="OLE_LINK2"/>
      <w:r>
        <w:rPr>
          <w:rFonts w:hint="eastAsia" w:ascii="Times New Roman" w:hAnsi="Times New Roman" w:eastAsia="仿宋_GB2312" w:cs="Times New Roman"/>
          <w:color w:val="auto"/>
          <w:lang w:val="en-US" w:eastAsia="zh-CN"/>
        </w:rPr>
        <w:t>生态宜居组团位于镇区东部，突出居住、公共服务等功能。在社区居民15分钟步行可达范围内，配齐日常生活所需的基本公共服务设施与公共活动空间，构建多元完善的宜居社区</w:t>
      </w:r>
      <w:bookmarkEnd w:id="71"/>
      <w:r>
        <w:rPr>
          <w:rFonts w:hint="eastAsia" w:ascii="Times New Roman" w:hAnsi="Times New Roman" w:eastAsia="仿宋_GB2312" w:cs="Times New Roman"/>
          <w:color w:val="auto"/>
          <w:lang w:val="en-US" w:eastAsia="zh-CN"/>
        </w:rPr>
        <w:t>。</w:t>
      </w:r>
    </w:p>
    <w:p w14:paraId="1F06482D">
      <w:pPr>
        <w:pStyle w:val="3"/>
        <w:numPr>
          <w:ilvl w:val="0"/>
          <w:numId w:val="11"/>
        </w:numPr>
        <w:spacing w:before="240" w:after="240"/>
        <w:ind w:left="0" w:firstLine="0"/>
        <w:jc w:val="center"/>
        <w:rPr>
          <w:rFonts w:ascii="黑体" w:hAnsi="黑体" w:eastAsia="黑体"/>
          <w:color w:val="auto"/>
          <w:highlight w:val="none"/>
          <w:lang w:eastAsia="zh-CN"/>
        </w:rPr>
      </w:pPr>
      <w:bookmarkStart w:id="72" w:name="_Toc27822"/>
      <w:r>
        <w:rPr>
          <w:rFonts w:hint="eastAsia" w:ascii="黑体" w:hAnsi="黑体" w:eastAsia="黑体"/>
          <w:color w:val="auto"/>
          <w:highlight w:val="none"/>
          <w:lang w:eastAsia="zh-CN"/>
        </w:rPr>
        <w:t>构建绿色安全的交通网络</w:t>
      </w:r>
      <w:bookmarkEnd w:id="72"/>
    </w:p>
    <w:p w14:paraId="4F0BA1B1">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构建通达便捷的交通网络格局</w:t>
      </w:r>
    </w:p>
    <w:p w14:paraId="0C46D7C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对外提升道路等级，对内优化内部道路交通布局，增加路网密度，构建内畅外联的道路交通体系。</w:t>
      </w:r>
    </w:p>
    <w:p w14:paraId="14CF891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优化道路网布局。规划G237外绕镇区，避免过境交通干扰。提升现状道路网等级，增加主次干道数量，构建内畅外联的交通网络体系。</w:t>
      </w:r>
    </w:p>
    <w:p w14:paraId="78C9FA02">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增加道路网密度。增加次干路和支路网数量，按照“窄路密网”的要求进一步加密支路网系统。</w:t>
      </w:r>
    </w:p>
    <w:p w14:paraId="77891EB3">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布局以公共交通为引领的绿色出行体系</w:t>
      </w:r>
    </w:p>
    <w:p w14:paraId="626BC285">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构建高效完备的公交系统。打造“枢纽站-普通站”两级公交服务站点，结合枢纽站设置慢行接驳设施，形成城乡班车、常规公交、慢行交通“三位一体”的绿色交通服务体系。</w:t>
      </w:r>
    </w:p>
    <w:p w14:paraId="5B124E25">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打造全龄友好、生态共生的慢行交通环境</w:t>
      </w:r>
    </w:p>
    <w:p w14:paraId="684CB582">
      <w:pPr>
        <w:pStyle w:val="13"/>
        <w:autoSpaceDE/>
        <w:autoSpaceDN/>
        <w:spacing w:before="0" w:beforeLines="0" w:line="360" w:lineRule="auto"/>
        <w:ind w:left="0" w:leftChars="0" w:right="0" w:rightChars="0" w:firstLine="640"/>
        <w:contextualSpacing/>
        <w:rPr>
          <w:color w:val="auto"/>
          <w:lang w:eastAsia="zh-CN"/>
        </w:rPr>
      </w:pPr>
      <w:r>
        <w:rPr>
          <w:rFonts w:hint="eastAsia" w:ascii="Times New Roman" w:hAnsi="Times New Roman" w:eastAsia="仿宋_GB2312" w:cs="Times New Roman"/>
          <w:color w:val="auto"/>
          <w:lang w:val="en-US" w:eastAsia="zh-CN"/>
        </w:rPr>
        <w:t>沿镇区道路两侧布设人行道和自行车道和自行车廊道，共同构成青龙集镇的步行和自行车交通网络，形成通勤功能为主，集散、休闲、健身功能为辅的步行和自行车交通主体网络。</w:t>
      </w:r>
    </w:p>
    <w:p w14:paraId="61DC34C9">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差异化满足停车需求</w:t>
      </w:r>
    </w:p>
    <w:p w14:paraId="57E1E6D3">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分区确定建筑物配建标准，形成建筑物配建为主体、公共停车场为辅助、路内停车位为补充的停车位供给结构，差异化满足出行停车需求。鼓励停车场与其他用地结合布设，促进公共停车场用地的复合利用。</w:t>
      </w:r>
    </w:p>
    <w:p w14:paraId="10610466">
      <w:pPr>
        <w:pStyle w:val="3"/>
        <w:numPr>
          <w:ilvl w:val="0"/>
          <w:numId w:val="11"/>
        </w:numPr>
        <w:spacing w:before="240" w:after="240"/>
        <w:ind w:left="0" w:firstLine="0"/>
        <w:jc w:val="center"/>
        <w:rPr>
          <w:rFonts w:ascii="黑体" w:hAnsi="黑体" w:eastAsia="黑体"/>
          <w:color w:val="auto"/>
          <w:lang w:eastAsia="zh-CN"/>
        </w:rPr>
      </w:pPr>
      <w:bookmarkStart w:id="73" w:name="_Toc551"/>
      <w:r>
        <w:rPr>
          <w:rFonts w:hint="eastAsia" w:ascii="黑体" w:hAnsi="黑体" w:eastAsia="黑体"/>
          <w:color w:val="auto"/>
          <w:lang w:eastAsia="zh-CN"/>
        </w:rPr>
        <w:t>打造配套完善的公共服务设施</w:t>
      </w:r>
      <w:bookmarkEnd w:id="73"/>
    </w:p>
    <w:p w14:paraId="74F26510">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构建便捷完善的城镇生活圈配套设施</w:t>
      </w:r>
    </w:p>
    <w:p w14:paraId="121C16D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1、公共中心体系规划</w:t>
      </w:r>
    </w:p>
    <w:p w14:paraId="5AA60675">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公共服务设施形成“镇级—村级”公共服务体系。乡村社区生活圈，在社区居民15分钟步行可达范围内，配齐日常生活所需的基本公共服务设施与公共活动空间，构建多元完善的社区生活圈服务体系，实现便捷的社区生活圈空间布局，打造复合共享的社区生活圈模式，建设有归属感的现代乡村社区。</w:t>
      </w:r>
    </w:p>
    <w:p w14:paraId="2E529F1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2、文化设施用地规划</w:t>
      </w:r>
    </w:p>
    <w:p w14:paraId="32AE982A">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无独立占地文化设施，结合镇级党群服务中心设置阅览室、文化活动室等文化场所。</w:t>
      </w:r>
    </w:p>
    <w:p w14:paraId="6F10566D">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3、教育用地规划</w:t>
      </w:r>
    </w:p>
    <w:p w14:paraId="60D08543">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健全基本公共教育服务体系。高水平均衡发展九年义务教育，普及高中阶段教育和学前教育。完善托幼、幼儿园的300米服务半径布局。高标准、高质量普及九年义务教育，保障与人口增长趋势相匹配的学位规模。保留镇初级中学、平安小学及青龙小学，保障与人口增长趋势相匹配的学位规模。</w:t>
      </w:r>
    </w:p>
    <w:p w14:paraId="3A954A4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4、体育用地规划</w:t>
      </w:r>
    </w:p>
    <w:p w14:paraId="0C5092E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构建以镇级健身活动场地为支撑，村级公共活动场地为补充的公共体育服务体系，形成“15分钟全民健身圈”。在镇级层面，结合街头绿地、机关团体、教育设施等用地等建设运动公园、笼式健身场地、绿道、健身步道、“三大球”设施；在村级层面，结合村级党群服务中心公共绿地建设健身活动广场。</w:t>
      </w:r>
    </w:p>
    <w:p w14:paraId="0A20E92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5、医疗卫生用地规划</w:t>
      </w:r>
    </w:p>
    <w:p w14:paraId="2B9D8EA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保留镇区现状卫生院，对医院内部进行用地调整和设备更新工作，提高服务能力。依托村级党群服务中心完善基层医疗卫生机构服务能力，增强乡镇卫生院、村卫生站等基层医疗设施功能，适度提高规划用地标准。</w:t>
      </w:r>
      <w:bookmarkStart w:id="74" w:name="OLE_LINK3"/>
      <w:bookmarkStart w:id="75" w:name="_Hlk143441023"/>
    </w:p>
    <w:bookmarkEnd w:id="74"/>
    <w:p w14:paraId="5677794F">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6、社会福利用地规划</w:t>
      </w:r>
    </w:p>
    <w:p w14:paraId="4075AC35">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健全社会福利设施网络，统筹布局社会救助、养老服务、儿童福利、残疾人社会福利和其他社会福利设施。提升乡养老服务中心，加强村级幸福院建设，提升居家养老服务功能与社区养老服务供给能力。</w:t>
      </w:r>
    </w:p>
    <w:bookmarkEnd w:id="75"/>
    <w:p w14:paraId="7D5C454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7、商业服务业设施用地规划</w:t>
      </w:r>
    </w:p>
    <w:p w14:paraId="57DB387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规划形成“镇级—村级”二级服务体系。镇级：包括老镇片区商业中心、皮毛市场等。村级：结合各村党群服务中心周边设置便民商业销售点。</w:t>
      </w:r>
    </w:p>
    <w:p w14:paraId="1013297F">
      <w:pPr>
        <w:pStyle w:val="3"/>
        <w:numPr>
          <w:ilvl w:val="0"/>
          <w:numId w:val="11"/>
        </w:numPr>
        <w:spacing w:before="240" w:after="240"/>
        <w:ind w:left="0" w:firstLine="0"/>
        <w:jc w:val="center"/>
        <w:rPr>
          <w:rFonts w:ascii="黑体" w:hAnsi="黑体" w:eastAsia="黑体"/>
          <w:color w:val="auto"/>
          <w:lang w:eastAsia="zh-CN"/>
        </w:rPr>
      </w:pPr>
      <w:bookmarkStart w:id="76" w:name="_Toc14639"/>
      <w:r>
        <w:rPr>
          <w:rFonts w:hint="eastAsia" w:ascii="黑体" w:hAnsi="黑体" w:eastAsia="黑体"/>
          <w:color w:val="auto"/>
          <w:lang w:eastAsia="zh-CN"/>
        </w:rPr>
        <w:t>创建智慧绿色的城镇服务保障</w:t>
      </w:r>
      <w:bookmarkEnd w:id="76"/>
    </w:p>
    <w:p w14:paraId="4A2B99F2">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rPr>
        <w:t>构建多源多向的供水体系</w:t>
      </w:r>
    </w:p>
    <w:p w14:paraId="05BDA43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规划由新庄水厂统一供水。</w:t>
      </w:r>
    </w:p>
    <w:p w14:paraId="5751C0E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积极完善区域供水工程，结合现有水厂建设完善供水主干建设，强化供水分区间管网的互联互通，提高城乡供水系统应急调度及安全保障能力。加大城乡老旧管网改造力度，管网漏损率控制在9%以下。</w:t>
      </w:r>
    </w:p>
    <w:p w14:paraId="7661249E">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完善排水设施布局</w:t>
      </w:r>
    </w:p>
    <w:p w14:paraId="07C6BA0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采用雨污分流制排水系统，建立截流初期雨水的设施。规划采用分散排放布置雨水管渠系统，雨水管渠尽量沿市政道路顺坡布置，收集后雨水通过初雨湿地处理后，排入周边水体。建立雨水花园、绿化屋顶、雨水湿地等调蓄系统，合理收集并利用雨水资源，实现水资源综合利用。</w:t>
      </w:r>
    </w:p>
    <w:p w14:paraId="6DDBAFD4">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污水处理应以集中式污水处理模式为主，接入萧县污水处理厂，适度超前建设污水站及管网，实现城乡污水管网全覆盖，污水全收集、全处理。到2035年，镇区污水管道覆盖率达到100%，城镇污水处理率达到100%，污泥无害化处理处置率达100%，再生水利用率达到80%以上。</w:t>
      </w:r>
    </w:p>
    <w:p w14:paraId="1FF53993">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打造区域互联的电力网络</w:t>
      </w:r>
    </w:p>
    <w:p w14:paraId="1DAE831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镇区接入现状35千伏青龙变，严格控制高压廊道防护距离，保护线路安全，规划预留足够的站址及电力廊道，提升电网可靠度。到2035年，供电可靠率达到100.00%。</w:t>
      </w:r>
    </w:p>
    <w:p w14:paraId="4AE6BB4D">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统筹通信基础设施建设</w:t>
      </w:r>
    </w:p>
    <w:p w14:paraId="10AC658C">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推进电信基础共建共享，加强通信网络、重要信息系统和数据资源保护，增强信息基础设施可靠性，建设关键信息基础设施网络安全防护和监管平台。加强政务、金融、能源、交通等重点领域的重要网站、信息系统和云计算、大数据平台的安全保障，加强水、电、油、气、讯等城镇运行生命线的工程控制系统安全防护。构建覆盖全面、高速畅通、技术先进、安全稳定、富有弹性的通信网络基础设施体系，打造智慧城镇。</w:t>
      </w:r>
    </w:p>
    <w:p w14:paraId="40C066E7">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优化环卫设施布局</w:t>
      </w:r>
    </w:p>
    <w:p w14:paraId="30388ADA">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采用高效分类收运模式和集中资源化处理模式相结合的方式，落实垃圾分类制度，建立“源头削减、分类收集、分类运输、综合处理”的现代化固体废弃物处理系统，推进垃圾源头减量和资源化利用，减少垃圾填埋量、提高资源回收利用率与循环利用水平。到2035年，生活垃圾分类收集率100%，生活垃圾回收资源利用率达到40%以上。</w:t>
      </w:r>
    </w:p>
    <w:p w14:paraId="0433AC5C">
      <w:pPr>
        <w:pStyle w:val="3"/>
        <w:numPr>
          <w:ilvl w:val="0"/>
          <w:numId w:val="11"/>
        </w:numPr>
        <w:spacing w:before="240" w:after="240"/>
        <w:ind w:left="0" w:firstLine="0"/>
        <w:jc w:val="center"/>
        <w:rPr>
          <w:rFonts w:ascii="黑体" w:hAnsi="黑体" w:eastAsia="黑体"/>
          <w:color w:val="auto"/>
          <w:lang w:eastAsia="zh-CN"/>
        </w:rPr>
      </w:pPr>
      <w:bookmarkStart w:id="77" w:name="_Toc29486"/>
      <w:r>
        <w:rPr>
          <w:rFonts w:hint="eastAsia" w:ascii="黑体" w:hAnsi="黑体" w:eastAsia="黑体"/>
          <w:color w:val="auto"/>
          <w:lang w:eastAsia="zh-CN"/>
        </w:rPr>
        <w:t>提升防灾减灾和综合应急水平</w:t>
      </w:r>
      <w:bookmarkEnd w:id="77"/>
    </w:p>
    <w:p w14:paraId="4D67ECC2">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加强抗震设防体系建设</w:t>
      </w:r>
    </w:p>
    <w:p w14:paraId="26F2B62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加强抗震设防管理，</w:t>
      </w:r>
      <w:r>
        <w:rPr>
          <w:rFonts w:hint="eastAsia" w:ascii="Times New Roman" w:hAnsi="Times New Roman" w:eastAsia="仿宋_GB2312" w:cs="Times New Roman"/>
          <w:color w:val="auto"/>
          <w:u w:val="single"/>
          <w:lang w:val="en-US" w:eastAsia="zh-CN"/>
        </w:rPr>
        <w:t>镇区抗震设防烈度为Ⅶ度</w:t>
      </w:r>
      <w:r>
        <w:rPr>
          <w:rFonts w:hint="eastAsia" w:ascii="Times New Roman" w:hAnsi="Times New Roman" w:eastAsia="仿宋_GB2312" w:cs="Times New Roman"/>
          <w:color w:val="auto"/>
          <w:lang w:val="en-US" w:eastAsia="zh-CN"/>
        </w:rPr>
        <w:t>。新建、改建、扩建工程严格执行抗震设防标准。基础设施、避难建筑和应急指挥中心等镇区要害系统提高一度设防，并优先采取减隔震等先进抗震技术。逐步开展对现状尚未采取抗震设防措施或抗震设防措施未达到抗震设防要求的建设工程的抗震性能鉴定，对镇区抗震性能不达标建筑逐步进行抗震加固，采取措施提高抗震能力。</w:t>
      </w:r>
    </w:p>
    <w:p w14:paraId="4843C52C">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构建安全生态的防洪排涝体系</w:t>
      </w:r>
    </w:p>
    <w:p w14:paraId="6AF0073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u w:val="single"/>
          <w:lang w:val="en-US" w:eastAsia="zh-CN"/>
        </w:rPr>
      </w:pPr>
      <w:r>
        <w:rPr>
          <w:rFonts w:hint="eastAsia" w:ascii="Times New Roman" w:hAnsi="Times New Roman" w:eastAsia="仿宋_GB2312" w:cs="Times New Roman"/>
          <w:color w:val="auto"/>
          <w:lang w:val="en-US" w:eastAsia="zh-CN"/>
        </w:rPr>
        <w:t>完善河道、蓄滞洪区等工程与非工程防洪减灾体系。加强以干渠为主的防洪体系建设，强化骨干河道以及重点中小河道治理，保留河道行洪通道。</w:t>
      </w:r>
      <w:r>
        <w:rPr>
          <w:rFonts w:hint="eastAsia" w:ascii="Times New Roman" w:hAnsi="Times New Roman" w:eastAsia="仿宋_GB2312" w:cs="Times New Roman"/>
          <w:color w:val="auto"/>
          <w:u w:val="single"/>
          <w:lang w:val="en-US" w:eastAsia="zh-CN"/>
        </w:rPr>
        <w:t>镇区防洪标准达到20年一遇，排涝标准为有效抵御20年一遇24小时设计暴雨。</w:t>
      </w:r>
    </w:p>
    <w:p w14:paraId="1552C2B2">
      <w:pPr>
        <w:pStyle w:val="46"/>
        <w:spacing w:before="0" w:line="360" w:lineRule="auto"/>
        <w:ind w:left="0" w:right="108" w:firstLine="675" w:firstLineChars="200"/>
        <w:rPr>
          <w:rFonts w:eastAsia="仿宋"/>
          <w:color w:val="auto"/>
          <w:w w:val="105"/>
          <w:sz w:val="32"/>
          <w:lang w:val="en-US" w:eastAsia="zh-CN"/>
        </w:rPr>
      </w:pPr>
      <w:r>
        <w:rPr>
          <w:rFonts w:hint="eastAsia" w:eastAsia="仿宋"/>
          <w:color w:val="auto"/>
          <w:w w:val="105"/>
          <w:sz w:val="32"/>
          <w:lang w:val="en-US" w:eastAsia="zh-CN"/>
        </w:rPr>
        <w:t>健全救援疏散避难系统</w:t>
      </w:r>
    </w:p>
    <w:p w14:paraId="2303F32B">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持续推进应急避难场所建设，形成“固定—紧急”两层级应急避难场所体系。结合公园绿地、体育场地和学校等公共场所设置应急避难场所。</w:t>
      </w:r>
    </w:p>
    <w:p w14:paraId="69947D8E">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持续完善救援疏散通道建设。规划以G237、G311等作为一级疏散通道，其他县乡道作为二级疏散通道，疏散主通道有效宽度不低于7米；疏散次通道有效宽度不低于4米。</w:t>
      </w:r>
    </w:p>
    <w:p w14:paraId="00A18EA0">
      <w:pPr>
        <w:pStyle w:val="46"/>
        <w:spacing w:before="0" w:line="360" w:lineRule="auto"/>
        <w:ind w:left="0" w:right="108" w:firstLine="675" w:firstLineChars="200"/>
        <w:rPr>
          <w:rFonts w:eastAsia="仿宋"/>
          <w:color w:val="auto"/>
          <w:w w:val="105"/>
          <w:sz w:val="32"/>
        </w:rPr>
      </w:pPr>
      <w:r>
        <w:rPr>
          <w:rFonts w:hint="eastAsia" w:eastAsia="仿宋"/>
          <w:color w:val="auto"/>
          <w:w w:val="105"/>
          <w:sz w:val="32"/>
          <w:lang w:val="en-US" w:eastAsia="zh-CN"/>
        </w:rPr>
        <w:t>提升消防安全</w:t>
      </w:r>
    </w:p>
    <w:p w14:paraId="50E94207">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提升区域消防安全和应急救援保障能力，配置青龙集镇消防需求的专业灾害应急指挥队伍、防灾应急装备和储备库，加强消防供水、消防通信等消防公共基础设施建设，到2035年，实现消防站接到出动指令后5分钟内到达辖区边缘的目标。镇域内各类建筑应考虑防火要求，按《建筑设计防火规范》留出足够防火间距，易燃易爆的工厂、仓库四周要留足防护距离。</w:t>
      </w:r>
    </w:p>
    <w:p w14:paraId="1F96DF56">
      <w:pPr>
        <w:pStyle w:val="3"/>
        <w:numPr>
          <w:ilvl w:val="0"/>
          <w:numId w:val="11"/>
        </w:numPr>
        <w:spacing w:before="240" w:after="240"/>
        <w:ind w:left="0" w:firstLine="0"/>
        <w:jc w:val="center"/>
        <w:rPr>
          <w:rFonts w:ascii="黑体" w:hAnsi="黑体" w:eastAsia="黑体"/>
          <w:color w:val="auto"/>
          <w:lang w:eastAsia="zh-CN"/>
        </w:rPr>
      </w:pPr>
      <w:bookmarkStart w:id="78" w:name="_Toc6043"/>
      <w:r>
        <w:rPr>
          <w:rFonts w:hint="eastAsia" w:ascii="黑体" w:hAnsi="黑体" w:eastAsia="黑体"/>
          <w:color w:val="auto"/>
          <w:lang w:eastAsia="zh-CN"/>
        </w:rPr>
        <w:t>营造活力开放的特色空间</w:t>
      </w:r>
      <w:bookmarkEnd w:id="78"/>
    </w:p>
    <w:p w14:paraId="7A02AE8B">
      <w:pPr>
        <w:pStyle w:val="46"/>
        <w:spacing w:before="0" w:line="360" w:lineRule="auto"/>
        <w:ind w:left="0" w:right="108" w:firstLine="675" w:firstLineChars="200"/>
        <w:rPr>
          <w:rFonts w:eastAsia="仿宋"/>
          <w:color w:val="auto"/>
          <w:w w:val="105"/>
          <w:sz w:val="32"/>
        </w:rPr>
      </w:pPr>
      <w:r>
        <w:rPr>
          <w:rFonts w:hint="eastAsia" w:eastAsia="仿宋"/>
          <w:color w:val="auto"/>
          <w:w w:val="105"/>
          <w:sz w:val="32"/>
        </w:rPr>
        <w:t>构建宜人共享的绿地系统</w:t>
      </w:r>
    </w:p>
    <w:p w14:paraId="53EF159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结合生态本底及绿地布局，强化镇区周边农林景观对镇区的景观渗透，结合镇区内部坑塘整治，构建“一带一环多园”自然渗透式绿地系统结构。</w:t>
      </w:r>
    </w:p>
    <w:p w14:paraId="27D91491">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引导生态林地公园化、进一步提升庭院绿化、宅旁绿化建设，实现实现“300米见绿、500米见园”。</w:t>
      </w:r>
    </w:p>
    <w:p w14:paraId="4DF6B67F">
      <w:pPr>
        <w:pStyle w:val="3"/>
        <w:numPr>
          <w:ilvl w:val="0"/>
          <w:numId w:val="11"/>
        </w:numPr>
        <w:spacing w:before="240" w:after="240"/>
        <w:ind w:left="0" w:firstLine="0"/>
        <w:jc w:val="center"/>
        <w:rPr>
          <w:rFonts w:ascii="黑体" w:hAnsi="黑体" w:eastAsia="黑体"/>
          <w:color w:val="auto"/>
          <w:lang w:eastAsia="zh-CN"/>
        </w:rPr>
      </w:pPr>
      <w:bookmarkStart w:id="79" w:name="_Toc9229"/>
      <w:r>
        <w:rPr>
          <w:rFonts w:hint="eastAsia" w:ascii="黑体" w:hAnsi="黑体" w:eastAsia="黑体"/>
          <w:color w:val="auto"/>
          <w:lang w:eastAsia="zh-CN"/>
        </w:rPr>
        <w:t>塑造</w:t>
      </w:r>
      <w:r>
        <w:rPr>
          <w:rFonts w:hint="eastAsia" w:ascii="黑体" w:hAnsi="黑体" w:eastAsia="黑体"/>
          <w:color w:val="auto"/>
          <w:lang w:val="en-US" w:eastAsia="zh-CN"/>
        </w:rPr>
        <w:t>和美宜居</w:t>
      </w:r>
      <w:r>
        <w:rPr>
          <w:rFonts w:hint="eastAsia" w:ascii="黑体" w:hAnsi="黑体" w:eastAsia="黑体"/>
          <w:color w:val="auto"/>
          <w:lang w:eastAsia="zh-CN"/>
        </w:rPr>
        <w:t>的城镇风貌</w:t>
      </w:r>
      <w:bookmarkEnd w:id="79"/>
    </w:p>
    <w:p w14:paraId="0CC40C58">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科学划定用地留改拆建管控范围</w:t>
      </w:r>
    </w:p>
    <w:p w14:paraId="581A3627">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坚持“留改拆建控”并举，推进青龙集镇城镇风貌升级改造。将空间格局、街巷肌理保存较好，风貌特色明显的区域划定为肌理保留范围，保证区域空间肌理的整体保护、传承和演绎。确需改造地段，保留镇区文化积淀，对原有杂乱的建筑形态、色彩、风格等进行调整优化，协调新旧建筑关系。</w:t>
      </w:r>
    </w:p>
    <w:p w14:paraId="009C5A20">
      <w:pPr>
        <w:pStyle w:val="46"/>
        <w:spacing w:before="0" w:line="360" w:lineRule="auto"/>
        <w:ind w:left="0" w:right="108" w:firstLine="718" w:firstLineChars="213"/>
        <w:rPr>
          <w:rFonts w:eastAsia="仿宋"/>
          <w:color w:val="auto"/>
          <w:w w:val="105"/>
          <w:sz w:val="32"/>
        </w:rPr>
      </w:pPr>
      <w:r>
        <w:rPr>
          <w:rFonts w:eastAsia="仿宋"/>
          <w:color w:val="auto"/>
          <w:w w:val="105"/>
          <w:sz w:val="32"/>
        </w:rPr>
        <w:t>合理划定城市控制线</w:t>
      </w:r>
    </w:p>
    <w:p w14:paraId="093A3CF1">
      <w:pPr>
        <w:pStyle w:val="13"/>
        <w:autoSpaceDE/>
        <w:autoSpaceDN/>
        <w:spacing w:before="0" w:beforeLines="0" w:line="360" w:lineRule="auto"/>
        <w:ind w:left="0" w:leftChars="0" w:right="0" w:rightChars="0" w:firstLine="640" w:firstLineChars="0"/>
        <w:contextualSpacing/>
        <w:rPr>
          <w:rFonts w:hint="default"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镇区范围内不涉及绿线、紫线、蓝线。</w:t>
      </w:r>
    </w:p>
    <w:p w14:paraId="1A40AFB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划定城市黄线并加强管控。将镇区供水设施、环境卫生设施、供燃气设施、供电设施、通信设施、污水处理设施、防灾减灾设施，以及其它对镇区发展全局有影响的镇区基础设施实施黄线控制，保障镇区高效有序运转。在城市黄线范围内禁止进行违反国土空间总体规划要求，进行建筑物、构筑物及其他设施的建设；违反国家有关技术标准和规范进行建设；未经批准，改装、迁移或拆毁原有镇区基础设施；其他损坏镇区基础设施或影响镇区基础设施安全和正常运转的行为。</w:t>
      </w:r>
    </w:p>
    <w:p w14:paraId="3EA0B284">
      <w:pPr>
        <w:pStyle w:val="3"/>
        <w:numPr>
          <w:ilvl w:val="0"/>
          <w:numId w:val="11"/>
        </w:numPr>
        <w:spacing w:before="240" w:after="240"/>
        <w:ind w:left="0" w:firstLine="0"/>
        <w:jc w:val="center"/>
        <w:rPr>
          <w:rFonts w:ascii="黑体" w:hAnsi="黑体" w:eastAsia="黑体"/>
          <w:color w:val="auto"/>
          <w:lang w:eastAsia="zh-CN"/>
        </w:rPr>
      </w:pPr>
      <w:bookmarkStart w:id="80" w:name="_Toc32442"/>
      <w:r>
        <w:rPr>
          <w:rFonts w:hint="eastAsia" w:ascii="黑体" w:hAnsi="黑体" w:eastAsia="黑体"/>
          <w:color w:val="auto"/>
          <w:lang w:eastAsia="zh-CN"/>
        </w:rPr>
        <w:t>有序推进城镇更新</w:t>
      </w:r>
      <w:bookmarkEnd w:id="80"/>
    </w:p>
    <w:p w14:paraId="35ED3D4B">
      <w:pPr>
        <w:pStyle w:val="46"/>
        <w:spacing w:before="0" w:line="360" w:lineRule="auto"/>
        <w:ind w:left="0" w:right="108" w:firstLine="718" w:firstLineChars="213"/>
        <w:rPr>
          <w:rFonts w:eastAsia="仿宋"/>
          <w:color w:val="auto"/>
          <w:w w:val="105"/>
          <w:sz w:val="32"/>
        </w:rPr>
      </w:pPr>
      <w:r>
        <w:rPr>
          <w:rFonts w:eastAsia="仿宋"/>
          <w:color w:val="auto"/>
          <w:w w:val="105"/>
          <w:sz w:val="32"/>
        </w:rPr>
        <w:t>分类推进城市更新</w:t>
      </w:r>
    </w:p>
    <w:p w14:paraId="69554567">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采用以改造利用为主、拆除重建为辅的更新模式，对老镇区内旧住区、旧市场、旧村庄地块进行有序更新，通过盘活存量空间改善城镇空间品质，补齐城镇功能短板，助力产业转型升级。</w:t>
      </w:r>
    </w:p>
    <w:p w14:paraId="2F0E2EC1">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科学划定城市更新重点区域</w:t>
      </w:r>
    </w:p>
    <w:p w14:paraId="4E245DE8">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将皮毛市场及其周边区域划定为城市更新重点区域，结合公园绿地提升和商业设施进一步完善，促进生态景观复合利用。改造方式以保护修复、综合整治为主，鼓励小规模、渐进式有机更新，以微更新的理念，通过打通城镇道路、老旧建筑更新、增加公共空间和完善配套设施等方式对城镇综合功能片区进行更新改造。</w:t>
      </w:r>
    </w:p>
    <w:p w14:paraId="6433652C">
      <w:pPr>
        <w:widowControl/>
        <w:autoSpaceDE/>
        <w:autoSpaceDN/>
        <w:spacing w:line="360" w:lineRule="auto"/>
        <w:rPr>
          <w:color w:val="auto"/>
        </w:rPr>
      </w:pPr>
      <w:r>
        <w:rPr>
          <w:color w:val="auto"/>
        </w:rPr>
        <w:br w:type="page"/>
      </w:r>
    </w:p>
    <w:p w14:paraId="22BD254C">
      <w:pPr>
        <w:pStyle w:val="2"/>
        <w:spacing w:before="0" w:line="360" w:lineRule="auto"/>
        <w:ind w:left="0" w:firstLine="0"/>
        <w:jc w:val="center"/>
        <w:rPr>
          <w:rFonts w:ascii="方正小标宋_GBK" w:hAnsi="方正小标宋_GBK" w:eastAsia="方正小标宋_GBK"/>
          <w:color w:val="auto"/>
          <w:spacing w:val="5"/>
        </w:rPr>
      </w:pPr>
      <w:bookmarkStart w:id="81" w:name="_bookmark36"/>
      <w:bookmarkEnd w:id="81"/>
      <w:bookmarkStart w:id="82" w:name="_Toc26392"/>
      <w:r>
        <w:rPr>
          <w:rFonts w:ascii="方正小标宋_GBK" w:hAnsi="方正小标宋_GBK" w:eastAsia="方正小标宋_GBK"/>
          <w:color w:val="auto"/>
          <w:spacing w:val="5"/>
        </w:rPr>
        <w:t>规划传导实施与保障</w:t>
      </w:r>
      <w:bookmarkEnd w:id="82"/>
      <w:r>
        <w:rPr>
          <w:rFonts w:hint="eastAsia" w:ascii="方正小标宋_GBK" w:hAnsi="方正小标宋_GBK" w:eastAsia="方正小标宋_GBK"/>
          <w:color w:val="auto"/>
          <w:spacing w:val="5"/>
        </w:rPr>
        <w:t xml:space="preserve"> </w:t>
      </w:r>
    </w:p>
    <w:p w14:paraId="4D4CA60E">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按照“统一底图、统一标准、统一规划、统一平台”的要求，健全体制机制，完善相关政策，强化规划传导和用途管制，实施规划全生命周期管理，提升国土空间治理现代化水平，保障规划目标任务顺利完成。</w:t>
      </w:r>
    </w:p>
    <w:p w14:paraId="108B51F0">
      <w:pPr>
        <w:pStyle w:val="3"/>
        <w:numPr>
          <w:ilvl w:val="0"/>
          <w:numId w:val="12"/>
        </w:numPr>
        <w:spacing w:before="240" w:after="240"/>
        <w:ind w:left="0" w:firstLine="0"/>
        <w:jc w:val="center"/>
        <w:rPr>
          <w:rFonts w:ascii="黑体" w:hAnsi="黑体" w:eastAsia="黑体"/>
          <w:color w:val="auto"/>
          <w:lang w:eastAsia="zh-CN"/>
        </w:rPr>
      </w:pPr>
      <w:bookmarkStart w:id="83" w:name="_bookmark37"/>
      <w:bookmarkEnd w:id="83"/>
      <w:bookmarkStart w:id="84" w:name="_Toc7035"/>
      <w:r>
        <w:rPr>
          <w:rFonts w:hint="eastAsia" w:ascii="黑体" w:hAnsi="黑体" w:eastAsia="黑体"/>
          <w:color w:val="auto"/>
          <w:lang w:eastAsia="zh-CN"/>
        </w:rPr>
        <w:t>制定单元规划</w:t>
      </w:r>
      <w:bookmarkEnd w:id="84"/>
    </w:p>
    <w:p w14:paraId="4BD3186A">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单元划分</w:t>
      </w:r>
    </w:p>
    <w:p w14:paraId="7C5C6522">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城镇单元以青龙集镇区范围为边界，突出功能导向，根据 10-15 分钟生活圈、公共服务半径以及干道、河流等自然地理界线，结合管理和开发时序，划定形成1个城镇单元，镇区分为QLJ-C01单元。</w:t>
      </w:r>
    </w:p>
    <w:p w14:paraId="7FA0C641">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乡村单元以村级行政单元为划分依据，共分为6个乡村单元。</w:t>
      </w:r>
    </w:p>
    <w:p w14:paraId="55E2A406">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明确管制要求</w:t>
      </w:r>
    </w:p>
    <w:p w14:paraId="72BB501F">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城镇单元。明确单元四至边界、面积、功能定位、建设用地规模，以及单元内涉及的重要公共服务设施、市政基础设施、公园绿地面积、防灾避难场所等的配建标准或空间布局要求；落实重要控制线等内容；合理规划城镇建筑面积发展目标，严格管控高能耗公共建筑建设。</w:t>
      </w:r>
    </w:p>
    <w:p w14:paraId="16FD9C37">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乡村单元。明确单元四至边界、面积、功能定位、村庄人口、建设用地规模及重要设施配建标准或空间布局要求；落实耕地和永久基本农田保护红线等强制性内容，将指标规模和空间布局传导至村庄，划定保留村庄的村庄建设边界，明确规模控制要求。</w:t>
      </w:r>
    </w:p>
    <w:p w14:paraId="1A5EB3A3">
      <w:pPr>
        <w:pStyle w:val="3"/>
        <w:numPr>
          <w:ilvl w:val="0"/>
          <w:numId w:val="12"/>
        </w:numPr>
        <w:spacing w:before="240" w:after="240"/>
        <w:ind w:left="0" w:firstLine="0"/>
        <w:jc w:val="center"/>
        <w:rPr>
          <w:rFonts w:ascii="黑体" w:hAnsi="黑体" w:eastAsia="黑体"/>
          <w:color w:val="auto"/>
          <w:lang w:eastAsia="zh-CN"/>
        </w:rPr>
      </w:pPr>
      <w:bookmarkStart w:id="85" w:name="_Toc29128"/>
      <w:r>
        <w:rPr>
          <w:rFonts w:hint="eastAsia" w:ascii="黑体" w:hAnsi="黑体" w:eastAsia="黑体"/>
          <w:color w:val="auto"/>
          <w:lang w:eastAsia="zh-CN"/>
        </w:rPr>
        <w:t>近期行动计划</w:t>
      </w:r>
      <w:bookmarkEnd w:id="85"/>
    </w:p>
    <w:p w14:paraId="3E1E3CE5">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eastAsia="zh-CN"/>
        </w:rPr>
        <w:t>交通-公路</w:t>
      </w:r>
      <w:r>
        <w:rPr>
          <w:rFonts w:hint="eastAsia" w:eastAsia="仿宋"/>
          <w:color w:val="auto"/>
          <w:w w:val="105"/>
          <w:sz w:val="32"/>
          <w:highlight w:val="none"/>
        </w:rPr>
        <w:t>项目近期行动计划</w:t>
      </w:r>
    </w:p>
    <w:p w14:paraId="2912FE60">
      <w:pPr>
        <w:pStyle w:val="13"/>
        <w:autoSpaceDE/>
        <w:autoSpaceDN/>
        <w:spacing w:before="0" w:beforeLines="0" w:line="360" w:lineRule="auto"/>
        <w:ind w:left="0" w:leftChars="0" w:right="0" w:rightChars="0" w:firstLine="640" w:firstLineChars="0"/>
        <w:contextualSpacing/>
        <w:rPr>
          <w:color w:val="auto"/>
          <w:highlight w:val="none"/>
          <w:lang w:val="en-US" w:eastAsia="zh-CN"/>
        </w:rPr>
      </w:pPr>
      <w:r>
        <w:rPr>
          <w:rFonts w:hint="eastAsia" w:ascii="Times New Roman" w:hAnsi="Times New Roman" w:eastAsia="仿宋_GB2312" w:cs="Times New Roman"/>
          <w:color w:val="auto"/>
          <w:highlight w:val="none"/>
          <w:lang w:val="en-US" w:eastAsia="zh-CN"/>
        </w:rPr>
        <w:t>实施G311萧城至皖豫界改建、G237萧砀界至萧县淮北界段新建等工程。</w:t>
      </w:r>
    </w:p>
    <w:p w14:paraId="58B572E7">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rPr>
        <w:t>水利项目近期行动计划</w:t>
      </w:r>
    </w:p>
    <w:p w14:paraId="4405F371">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实施地下水源置换工程（含水厂改造为应急备用水厂）等工程。</w:t>
      </w:r>
    </w:p>
    <w:p w14:paraId="335902A1">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电力</w:t>
      </w:r>
      <w:r>
        <w:rPr>
          <w:rFonts w:hint="eastAsia" w:eastAsia="仿宋"/>
          <w:color w:val="auto"/>
          <w:w w:val="105"/>
          <w:sz w:val="32"/>
          <w:highlight w:val="none"/>
        </w:rPr>
        <w:t>项目近期行动计划</w:t>
      </w:r>
    </w:p>
    <w:p w14:paraId="78C6A663">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实施安徽宿州萧县张集～青龙35kV线路新建、安徽宿州萧县红庙～青龙35kV线路改造工程。</w:t>
      </w:r>
    </w:p>
    <w:p w14:paraId="77EA243D">
      <w:pPr>
        <w:pStyle w:val="46"/>
        <w:spacing w:before="0" w:line="360" w:lineRule="auto"/>
        <w:ind w:left="0" w:right="108" w:firstLine="718" w:firstLineChars="213"/>
        <w:rPr>
          <w:rFonts w:eastAsia="仿宋"/>
          <w:color w:val="auto"/>
          <w:w w:val="105"/>
          <w:sz w:val="32"/>
          <w:highlight w:val="none"/>
        </w:rPr>
      </w:pPr>
      <w:r>
        <w:rPr>
          <w:rFonts w:hint="eastAsia" w:eastAsia="仿宋"/>
          <w:color w:val="auto"/>
          <w:w w:val="105"/>
          <w:sz w:val="32"/>
          <w:highlight w:val="none"/>
          <w:lang w:val="en-US" w:eastAsia="zh-CN"/>
        </w:rPr>
        <w:t>产业</w:t>
      </w:r>
      <w:r>
        <w:rPr>
          <w:rFonts w:hint="eastAsia" w:eastAsia="仿宋"/>
          <w:color w:val="auto"/>
          <w:w w:val="105"/>
          <w:sz w:val="32"/>
          <w:highlight w:val="none"/>
        </w:rPr>
        <w:t>项目近期行动计划</w:t>
      </w:r>
    </w:p>
    <w:p w14:paraId="6C7D3729">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实施农产品冷链物流园建设。</w:t>
      </w:r>
    </w:p>
    <w:p w14:paraId="1ABA1B9B">
      <w:pPr>
        <w:pStyle w:val="3"/>
        <w:numPr>
          <w:ilvl w:val="0"/>
          <w:numId w:val="12"/>
        </w:numPr>
        <w:spacing w:before="240" w:after="240"/>
        <w:ind w:left="0" w:firstLine="0"/>
        <w:jc w:val="center"/>
        <w:rPr>
          <w:rFonts w:ascii="黑体" w:hAnsi="黑体" w:eastAsia="黑体"/>
          <w:color w:val="auto"/>
          <w:lang w:eastAsia="zh-CN"/>
        </w:rPr>
      </w:pPr>
      <w:bookmarkStart w:id="86" w:name="_bookmark39"/>
      <w:bookmarkEnd w:id="86"/>
      <w:bookmarkStart w:id="87" w:name="_bookmark38"/>
      <w:bookmarkEnd w:id="87"/>
      <w:bookmarkStart w:id="88" w:name="_Toc8370"/>
      <w:r>
        <w:rPr>
          <w:rFonts w:hint="eastAsia" w:ascii="黑体" w:hAnsi="黑体" w:eastAsia="黑体"/>
          <w:color w:val="auto"/>
          <w:lang w:eastAsia="zh-CN"/>
        </w:rPr>
        <w:t>规划实施保障</w:t>
      </w:r>
      <w:bookmarkEnd w:id="88"/>
    </w:p>
    <w:p w14:paraId="70C1B896">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加强组织保障</w:t>
      </w:r>
    </w:p>
    <w:p w14:paraId="52D343EF">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由青龙集镇人民政府负责规划实施，建立政府负责、部门协同、公众参与、上下联动的工作机制，制定推进规划的实施措施，按照项目计划制定年度工作安排，监督检查各年度工作的推进执行情况。完善规划决策体制和制度，建立重大问题的政策研究机制和专家论证制度，以及重大建设项目公示与听证制度，提高决策的科学性。健全乡村建设规划许可管理制度，按照先规划、后许可、再建设的原则，优化审批流程，简化管理措施，强化规划权威，确保建设符合规划不走样。充实规划管理力量，推行乡村规划师制度。</w:t>
      </w:r>
    </w:p>
    <w:p w14:paraId="0DE201F7">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落实配套政策</w:t>
      </w:r>
    </w:p>
    <w:p w14:paraId="327227EA">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建立更加完善的耕地与永久基本农田保护制度。探索建立区域统筹的耕地保护平衡机制。</w:t>
      </w:r>
      <w:r>
        <w:rPr>
          <w:rFonts w:hint="eastAsia" w:ascii="Times New Roman" w:hAnsi="Times New Roman" w:eastAsia="仿宋_GB2312" w:cs="Times New Roman"/>
          <w:color w:val="auto"/>
          <w:lang w:val="en-US" w:eastAsia="zh-CN" w:bidi="ar"/>
        </w:rPr>
        <w:t>占用永久基本农田需遵循“占一补一、先补后占”原则，确保补划耕地数量大于占用面积、质量大于原耕地等级、集中连片程度不降低</w:t>
      </w:r>
      <w:r>
        <w:rPr>
          <w:rFonts w:hint="eastAsia" w:ascii="Times New Roman" w:hAnsi="Times New Roman" w:eastAsia="仿宋_GB2312" w:cs="Times New Roman"/>
          <w:color w:val="auto"/>
          <w:lang w:val="en-US" w:eastAsia="zh-CN"/>
        </w:rPr>
        <w:t>。</w:t>
      </w:r>
    </w:p>
    <w:p w14:paraId="607204E9">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探索集体经营性建设用地入市配套政策。建立集体经营性建设用地入市相关配套制度，落实具体操作细则，明确相关利益分配机制，保障农村一二三产业融合发展。</w:t>
      </w:r>
    </w:p>
    <w:p w14:paraId="113354BC">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探索集中居住激励政策。为进一步优化城乡建设用地格局，集约节约用地。政府方面，通过基础设施建设、公共服务完善、经济补贴等方式鼓励村民搬迁到集中居民点聚居。村集体方面，在一户一宅的前提下，采用集中居住后腾退的宅基地面积作价入股等方式，保障集体经济组织成员对原有宅基地的财产权，鼓励集中居住。</w:t>
      </w:r>
    </w:p>
    <w:p w14:paraId="79466DF6">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探索宅基地有偿退出机制。放活宅基地使用权。在土地、财政、融资等方面出台对城镇集中居住、农村自愿退出宅基地配套支持政策。</w:t>
      </w:r>
    </w:p>
    <w:p w14:paraId="1DF56304">
      <w:pPr>
        <w:pStyle w:val="46"/>
        <w:spacing w:before="0" w:line="360" w:lineRule="auto"/>
        <w:ind w:left="0" w:right="108" w:firstLine="718" w:firstLineChars="213"/>
        <w:rPr>
          <w:rFonts w:eastAsia="仿宋"/>
          <w:color w:val="auto"/>
          <w:w w:val="105"/>
          <w:sz w:val="32"/>
        </w:rPr>
      </w:pPr>
      <w:r>
        <w:rPr>
          <w:rFonts w:hint="eastAsia" w:eastAsia="仿宋"/>
          <w:color w:val="auto"/>
          <w:w w:val="105"/>
          <w:sz w:val="32"/>
        </w:rPr>
        <w:t>健全监督机制</w:t>
      </w:r>
    </w:p>
    <w:p w14:paraId="69E4529D">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完善公众参与制度，建立贯穿规划编制、实施、监督及乡村治理全过程的公众参与机制。建立并用好国土空间规划“一张图”实施监督信息系统，数据库汇入上级国土空间基础信息平台和“一张图”实施监督信息系统。</w:t>
      </w:r>
    </w:p>
    <w:p w14:paraId="774239C8">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lang w:val="en-US" w:eastAsia="zh-CN"/>
        </w:rPr>
      </w:pPr>
      <w:r>
        <w:rPr>
          <w:rFonts w:hint="eastAsia" w:ascii="Times New Roman" w:hAnsi="Times New Roman" w:eastAsia="仿宋_GB2312" w:cs="Times New Roman"/>
          <w:color w:val="auto"/>
          <w:lang w:val="en-US" w:eastAsia="zh-CN"/>
        </w:rPr>
        <w:t>完善规划实施动态监测、评估、预警、考核机制，将国土空间规划执行情况纳入自然资源执法督查内容，建立规划实施考核制度，实行规划实施考核结果与实施主体责任、绩效挂的考核机制。</w:t>
      </w:r>
      <w:r>
        <w:rPr>
          <w:rFonts w:hint="eastAsia" w:ascii="Times New Roman" w:hAnsi="Times New Roman" w:eastAsia="仿宋_GB2312" w:cs="Times New Roman"/>
          <w:color w:val="auto"/>
          <w:lang w:val="en-US" w:eastAsia="zh-CN"/>
        </w:rPr>
        <w:br w:type="page"/>
      </w:r>
    </w:p>
    <w:p w14:paraId="42AFAB50">
      <w:pPr>
        <w:pStyle w:val="2"/>
        <w:spacing w:before="0" w:line="360" w:lineRule="auto"/>
        <w:ind w:left="0" w:firstLine="0"/>
        <w:jc w:val="center"/>
        <w:rPr>
          <w:rFonts w:ascii="方正小标宋_GBK" w:hAnsi="方正小标宋_GBK" w:eastAsia="方正小标宋_GBK"/>
          <w:color w:val="auto"/>
          <w:spacing w:val="5"/>
          <w:highlight w:val="none"/>
          <w:lang w:eastAsia="zh-CN"/>
        </w:rPr>
      </w:pPr>
      <w:bookmarkStart w:id="89" w:name="_Toc178169307"/>
      <w:bookmarkStart w:id="90" w:name="_Toc178247612"/>
      <w:bookmarkStart w:id="91" w:name="_Toc6643"/>
      <w:r>
        <w:rPr>
          <w:rFonts w:hint="eastAsia" w:ascii="方正小标宋_GBK" w:hAnsi="方正小标宋_GBK" w:eastAsia="方正小标宋_GBK"/>
          <w:color w:val="auto"/>
          <w:spacing w:val="5"/>
          <w:highlight w:val="none"/>
          <w:lang w:eastAsia="zh-CN"/>
        </w:rPr>
        <w:t>乡村地区“通则式”规划技术管理规定</w:t>
      </w:r>
      <w:bookmarkEnd w:id="89"/>
      <w:bookmarkEnd w:id="90"/>
      <w:bookmarkEnd w:id="91"/>
    </w:p>
    <w:p w14:paraId="684BE710">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青龙集镇国土空间总体规划经法定程序批准后将成为编制青龙集镇各级各类规划、指导青龙集镇集约集聚发展建设的基本依据。镇域各部门各单位应自觉接受规划约束，各项建设与管理按照规划有序组织实施。</w:t>
      </w:r>
    </w:p>
    <w:p w14:paraId="42EC4A32">
      <w:pPr>
        <w:pStyle w:val="3"/>
        <w:numPr>
          <w:ilvl w:val="0"/>
          <w:numId w:val="13"/>
        </w:numPr>
        <w:spacing w:before="240" w:after="240"/>
        <w:ind w:left="0" w:firstLine="0"/>
        <w:jc w:val="center"/>
        <w:rPr>
          <w:rFonts w:hint="eastAsia" w:ascii="黑体" w:hAnsi="黑体" w:eastAsia="黑体"/>
          <w:color w:val="auto"/>
          <w:lang w:eastAsia="zh-CN"/>
        </w:rPr>
      </w:pPr>
      <w:bookmarkStart w:id="92" w:name="_Toc2529"/>
      <w:r>
        <w:rPr>
          <w:rFonts w:hint="eastAsia" w:ascii="黑体" w:hAnsi="黑体" w:eastAsia="黑体"/>
          <w:color w:val="auto"/>
          <w:lang w:val="en-US" w:eastAsia="zh-CN"/>
        </w:rPr>
        <w:t>总则</w:t>
      </w:r>
      <w:bookmarkEnd w:id="92"/>
    </w:p>
    <w:p w14:paraId="1135D956">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本管理规定以规划引领，合理布局；底线思维，保护优先；存量挖潜，高效利用；以人为本，振兴乡村；因地制宜，突出特色为原则，以国家和地方相关法律法规、政策文件、标准规范等为依据，为加快乡村地区国土空间规划的编制和实施，实现乡村地区空间规划管理全覆盖，引导乡村地区开展不违反国土空间规划的各类开发建设活动。</w:t>
      </w:r>
    </w:p>
    <w:p w14:paraId="7DE743E4">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适用范围</w:t>
      </w:r>
    </w:p>
    <w:p w14:paraId="3DEFE7A2">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本规定适用于青龙集镇城镇开发边界外、无需编制村庄规划（详细规划）的乡村地区建设项目的规划管控。符合国土空间规划和“三区三线”管控规则以及相关用地政策、条件的村民住宅建设（新建、改建、扩建）、公共服务设施和基础设施建设、产业和公益事业建设的规划管理，可将“通则式”规定或在“通则式”规定基础上补充编制地块图则作为申请办理乡村集体建设用地审批与规划许可手续的依据。其中，若本规定内容无法满足具体项目建设管控要求的，需在本规定基础上补充编制乡村地区重点地块图则，细化明确用地位置、面积、土地用途、容积率、建筑密度、建筑高度、主要出入口等项目控制内容，作为核发规划许可的依据。</w:t>
      </w:r>
    </w:p>
    <w:p w14:paraId="6EED9BAD">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已编制审批村庄规划（详细规划）的区域，以村庄规划（详细规划）作为用途管制及核发规划许可的依据。村域范围内、城镇开发边界外的国有建设用地的各类新建、改建、扩建项目，已编制村庄规划但未批复期间以及村庄规划批复后但未明确具体管控要求的乡村项目建设，在遵守相关法律法规、规范标准基础上，可参照本规定执行。</w:t>
      </w:r>
    </w:p>
    <w:p w14:paraId="128CF102">
      <w:pPr>
        <w:pStyle w:val="3"/>
        <w:numPr>
          <w:ilvl w:val="0"/>
          <w:numId w:val="13"/>
        </w:numPr>
        <w:spacing w:before="240" w:after="240"/>
        <w:ind w:left="0" w:firstLine="0"/>
        <w:jc w:val="center"/>
        <w:rPr>
          <w:rFonts w:hint="eastAsia" w:ascii="黑体" w:hAnsi="黑体" w:eastAsia="黑体"/>
          <w:color w:val="auto"/>
          <w:lang w:val="en-US" w:eastAsia="zh-CN"/>
        </w:rPr>
      </w:pPr>
      <w:bookmarkStart w:id="93" w:name="_Toc7667"/>
      <w:r>
        <w:rPr>
          <w:rFonts w:hint="eastAsia" w:ascii="黑体" w:hAnsi="黑体" w:eastAsia="黑体"/>
          <w:color w:val="auto"/>
          <w:lang w:val="en-US" w:eastAsia="zh-CN"/>
        </w:rPr>
        <w:t>镇村体系</w:t>
      </w:r>
      <w:bookmarkEnd w:id="93"/>
    </w:p>
    <w:p w14:paraId="44068410">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村庄体系</w:t>
      </w:r>
    </w:p>
    <w:p w14:paraId="49052557">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构建“镇区—行政村—自然村”的村庄居民点布局体系， 发挥镇区在城镇化中的带动作用，以县城为引领，全面提升城 乡生活圈公共服务水平。</w:t>
      </w:r>
    </w:p>
    <w:p w14:paraId="6576580A">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村庄分类</w:t>
      </w:r>
    </w:p>
    <w:p w14:paraId="4676F1A8">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根据《青龙集镇国土空间总体规划（2021-2035 年）》，全镇6个行政村划分为集聚提升类、城郊融合类2种类型，深入学习运用“千万工程”经验，因地制宜分类推进乡村振兴。</w:t>
      </w:r>
    </w:p>
    <w:p w14:paraId="7CFCDDE0">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城郊融合类村庄1个，应加快城乡产业融合发展、基础设施互联互通、公共服务共建共享，在形态上保留乡村风貌，在治理上体现城市水平，逐步强化服务城市发展、承接城市功能外溢、满足城市消费需求的能力。</w:t>
      </w:r>
    </w:p>
    <w:p w14:paraId="4FC3266A">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集聚提升类村庄5个，应重点引导村庄在原有规模基础上有序推进改造提升，激活产业、优化环境、增添活力，建设宜居宜业的美丽村庄。鼓励发挥自身比较优势，强化主导产业支撑。</w:t>
      </w:r>
    </w:p>
    <w:p w14:paraId="22031667">
      <w:pPr>
        <w:pStyle w:val="3"/>
        <w:numPr>
          <w:ilvl w:val="0"/>
          <w:numId w:val="13"/>
        </w:numPr>
        <w:spacing w:before="240" w:after="240"/>
        <w:ind w:left="0" w:firstLine="0"/>
        <w:jc w:val="center"/>
        <w:rPr>
          <w:rFonts w:hint="eastAsia" w:ascii="黑体" w:hAnsi="黑体" w:eastAsia="黑体"/>
          <w:color w:val="auto"/>
          <w:lang w:val="en-US" w:eastAsia="zh-CN"/>
        </w:rPr>
      </w:pPr>
      <w:bookmarkStart w:id="94" w:name="_Toc4438"/>
      <w:r>
        <w:rPr>
          <w:rFonts w:hint="eastAsia" w:ascii="黑体" w:hAnsi="黑体" w:eastAsia="黑体"/>
          <w:color w:val="auto"/>
          <w:lang w:val="en-US" w:eastAsia="zh-CN"/>
        </w:rPr>
        <w:t>底线管控</w:t>
      </w:r>
      <w:bookmarkEnd w:id="94"/>
    </w:p>
    <w:p w14:paraId="383CD051">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严格落实“三区三线”划定成果，落实《青龙集镇国土空间总体规划（2021-2035 年）》划定的村庄建设边界成果，传导落实国土空间总体规划中其他重要控制线的管控要求。</w:t>
      </w:r>
    </w:p>
    <w:p w14:paraId="6B7F3559">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耕地和永久基本农田保护红线</w:t>
      </w:r>
    </w:p>
    <w:p w14:paraId="0A7554E2">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永久基本农田未经批准不得擅自调整，乡村建设不得擅自占用或改变用途。永久基本农田不得转为林地、草地、园地等其他农用地及农业设施建设用地，严禁新增占用永久基本农田建设畜禽养殖设施、水产养殖设施和破坏耕作层的种植业设施以及其他违反法律、行政法规和国务院规定的活动。</w:t>
      </w:r>
    </w:p>
    <w:p w14:paraId="1298C674">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严格落实全县耕地保护红线划定成果，严格执行耕地用途管制，全面落实耕地占补平衡制度，分期有序落实耕地补充任务。</w:t>
      </w:r>
    </w:p>
    <w:p w14:paraId="10466249">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青龙集镇永久基本农田具体分布情况以经依法批准的青龙集镇国土空间总体规划为依据。</w:t>
      </w:r>
    </w:p>
    <w:p w14:paraId="563EBEC7">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村庄建设边界</w:t>
      </w:r>
    </w:p>
    <w:p w14:paraId="254C0F30">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村庄建设边界是规划期内相对集中开展村庄建设的空间范围。村庄建设边界划定依法在乡镇级国土空间总体规划中开展。涉及新增用地的农民建房、农村基本公共服务设施，不应在村庄建设边界外选址。确需选址在村庄建设边界外的少量乡村基础设施、零星乡村产业用地，所涉用地规模纳入村庄建设边界新增潜力空间统筹核算，并相应调整或缩减村庄建设边界。</w:t>
      </w:r>
    </w:p>
    <w:p w14:paraId="71EF6EB0">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历史文化保护线</w:t>
      </w:r>
    </w:p>
    <w:p w14:paraId="0EE6CEB2">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落实青龙集镇国土空间总体规划划定的历史文化保护线。将文物保护单位保护范围和建设控制地带以及城市紫线等一并纳入历史文化保护线，并实施严格保护。历史文化保护线内各项地上、地下国土空间保护开发行为均应严格遵守历史文化遗产保护相关法律法规和保护规划管控要求，保护遗产本体、传统格局和历史环境。</w:t>
      </w:r>
    </w:p>
    <w:p w14:paraId="72E5B983">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洪涝风险控制线</w:t>
      </w:r>
    </w:p>
    <w:p w14:paraId="36258C4E">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落实青龙集镇国土空间总体规划划定的洪涝风险控制线。洪涝风险控制线主要按水利主管部门已公布的河道以及湖库范围为基础划定。</w:t>
      </w:r>
    </w:p>
    <w:p w14:paraId="0A6DBE92">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严禁在洪涝风险控制线内进行永久性的、不符合防洪排涝要求的建设活动。对于已有的违规建筑物和构筑物，应根据相关规划和政策逐步拆除或整改。在控制线内进行临时性建设项目时，需提前向相关部门申报，经严格审批后方可实施，且建设项目不得影响防洪安全和行洪通畅。</w:t>
      </w:r>
    </w:p>
    <w:p w14:paraId="34E9B7FF">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负面清单管控要求</w:t>
      </w:r>
    </w:p>
    <w:p w14:paraId="42A471D1">
      <w:pPr>
        <w:pStyle w:val="13"/>
        <w:autoSpaceDE/>
        <w:autoSpaceDN/>
        <w:spacing w:before="0" w:beforeLines="0" w:line="360" w:lineRule="auto"/>
        <w:ind w:left="0" w:leftChars="0" w:right="0" w:rightChars="0" w:firstLine="64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建设内容按照《安徽省自然资源厅关于乡村地区“通则式”规划技术管理规定编制要求的通知》（皖自然资规划〔2025〕1号）附件1乡村地区国土空间用途管制负面清单严格管控。</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14:paraId="410D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14:paraId="47CE1A61">
            <w:pPr>
              <w:jc w:val="center"/>
              <w:rPr>
                <w:rFonts w:hint="default" w:ascii="仿宋" w:hAnsi="仿宋" w:eastAsia="仿宋_GB2312" w:cs="仿宋"/>
                <w:color w:val="auto"/>
                <w:sz w:val="28"/>
                <w:szCs w:val="28"/>
                <w:highlight w:val="none"/>
                <w:lang w:val="en-US" w:eastAsia="zh-CN" w:bidi="zh-TW"/>
              </w:rPr>
            </w:pPr>
            <w:r>
              <w:rPr>
                <w:rFonts w:hint="eastAsia" w:ascii="仿宋" w:hAnsi="仿宋" w:eastAsia="仿宋_GB2312" w:cs="仿宋"/>
                <w:b/>
                <w:bCs/>
                <w:color w:val="auto"/>
                <w:sz w:val="28"/>
                <w:szCs w:val="28"/>
                <w:highlight w:val="none"/>
                <w:lang w:val="en-US" w:eastAsia="zh-CN" w:bidi="zh-TW"/>
              </w:rPr>
              <w:t>专栏：乡村地区国土空间用途管制负面清单</w:t>
            </w:r>
          </w:p>
        </w:tc>
      </w:tr>
      <w:tr w14:paraId="4AE2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14:paraId="3231225F">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仿宋" w:hAnsi="仿宋" w:eastAsia="仿宋_GB2312" w:cs="仿宋"/>
                <w:b/>
                <w:bCs/>
                <w:color w:val="auto"/>
                <w:sz w:val="28"/>
                <w:szCs w:val="28"/>
                <w:highlight w:val="none"/>
                <w:lang w:val="en-US" w:eastAsia="zh-CN" w:bidi="zh-TW"/>
              </w:rPr>
            </w:pPr>
            <w:r>
              <w:rPr>
                <w:rFonts w:hint="eastAsia" w:ascii="仿宋" w:hAnsi="仿宋" w:eastAsia="仿宋_GB2312" w:cs="仿宋"/>
                <w:b/>
                <w:bCs/>
                <w:color w:val="auto"/>
                <w:sz w:val="28"/>
                <w:szCs w:val="28"/>
                <w:highlight w:val="none"/>
                <w:lang w:val="en-US" w:eastAsia="zh-CN" w:bidi="zh-TW"/>
              </w:rPr>
              <w:t>一、永久基本农田占用负面清单</w:t>
            </w:r>
          </w:p>
          <w:p w14:paraId="143138C4">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1.永久基本农田不得转为林地、草地、园地等其他农用地及农业设施建设用地;</w:t>
            </w:r>
          </w:p>
          <w:p w14:paraId="00B71336">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2.严禁占用永久基本农田发展林果业和挖塘养鱼;</w:t>
            </w:r>
          </w:p>
          <w:p w14:paraId="79DBB2B4">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3.严禁占用永久基本农田种植苗木、草皮等用于绿化装饰以及其他破坏耕作层的植物;</w:t>
            </w:r>
          </w:p>
          <w:p w14:paraId="42A0109E">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4.严禁占用永久基本农田挖湖造景、建设绿化带;</w:t>
            </w:r>
          </w:p>
          <w:p w14:paraId="03C72B51">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5.严禁新增占用永久基本农田建设畜禽养殖设施、水产养殖设施和破坏耕作层的种植业设施;</w:t>
            </w:r>
          </w:p>
          <w:p w14:paraId="1279A03B">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6.严禁任何单位和个人在永久基本农田上建密、建房、建坟、挖砂、采石、取土、堆放固体废弃物或者进行其他破坏永久基本农田的活动;</w:t>
            </w:r>
          </w:p>
          <w:p w14:paraId="70282163">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7.严禁在城乡建设中以单个项目占用为目的擅自调整永久基本农田:</w:t>
            </w:r>
          </w:p>
          <w:p w14:paraId="31583547">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8.其他法律、法规、国家政策文件规定的限制和禁止情形</w:t>
            </w:r>
            <w:r>
              <w:rPr>
                <w:rFonts w:hint="eastAsia" w:eastAsia="仿宋_GB2312" w:cs="仿宋"/>
                <w:color w:val="auto"/>
                <w:sz w:val="28"/>
                <w:szCs w:val="28"/>
                <w:highlight w:val="none"/>
                <w:lang w:val="en-US" w:eastAsia="zh-CN" w:bidi="zh-TW"/>
              </w:rPr>
              <w:t>。</w:t>
            </w:r>
          </w:p>
          <w:p w14:paraId="5EFF41F2">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仿宋" w:hAnsi="仿宋" w:eastAsia="仿宋_GB2312" w:cs="仿宋"/>
                <w:b/>
                <w:bCs/>
                <w:color w:val="auto"/>
                <w:sz w:val="28"/>
                <w:szCs w:val="28"/>
                <w:highlight w:val="none"/>
                <w:lang w:val="en-US" w:eastAsia="zh-CN" w:bidi="zh-TW"/>
              </w:rPr>
            </w:pPr>
            <w:r>
              <w:rPr>
                <w:rFonts w:hint="eastAsia" w:ascii="仿宋" w:hAnsi="仿宋" w:eastAsia="仿宋_GB2312" w:cs="仿宋"/>
                <w:b/>
                <w:bCs/>
                <w:color w:val="auto"/>
                <w:sz w:val="28"/>
                <w:szCs w:val="28"/>
                <w:highlight w:val="none"/>
                <w:lang w:val="en-US" w:eastAsia="zh-CN" w:bidi="zh-TW"/>
              </w:rPr>
              <w:t>二、一般耕地占用负面清单</w:t>
            </w:r>
          </w:p>
          <w:p w14:paraId="52439DF4">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1.不得在一般耕地上挖湖造景、种植草皮;</w:t>
            </w:r>
          </w:p>
          <w:p w14:paraId="36B25893">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2.不得在国家批准的生态退耕规划和计划外擅自扩大退耕还林还草还湿还湖规模;</w:t>
            </w:r>
          </w:p>
          <w:p w14:paraId="6B76770B">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3.不得违规超标准在铁路、公路等用地红线外，以及河渠两侧、水库周边占用一般耕地种树建设绿化带;</w:t>
            </w:r>
          </w:p>
          <w:p w14:paraId="55ABB07C">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4.未经批准不得占用一般耕地实施国土绿化;</w:t>
            </w:r>
          </w:p>
          <w:p w14:paraId="61DBAD47">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5.未经批准工商企业等社会资本不得将通过流转获得土地经营权的一般耕地转为林地、园地等其他农用地;</w:t>
            </w:r>
          </w:p>
          <w:p w14:paraId="4BD25405">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6.禁止占用耕地建窑、建坟或者擅自在耕地上建房、挖砂、采石、采矿、取土等;</w:t>
            </w:r>
          </w:p>
          <w:p w14:paraId="1772EA61">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7.严禁以设施农业为名占用耕地违法违规建设与农业发展无关的设施;</w:t>
            </w:r>
          </w:p>
          <w:p w14:paraId="4354A1AC">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8.严禁在农业大棚内违法违规占用耕地建设住宅、餐饮、娱乐等非农设施;</w:t>
            </w:r>
          </w:p>
          <w:p w14:paraId="65C8AE31">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9.其他法律、法规、国家政策文件规定的限制和禁止情形</w:t>
            </w:r>
            <w:r>
              <w:rPr>
                <w:rFonts w:hint="eastAsia" w:eastAsia="仿宋_GB2312" w:cs="仿宋"/>
                <w:color w:val="auto"/>
                <w:sz w:val="28"/>
                <w:szCs w:val="28"/>
                <w:highlight w:val="none"/>
                <w:lang w:val="en-US" w:eastAsia="zh-CN" w:bidi="zh-TW"/>
              </w:rPr>
              <w:t>。</w:t>
            </w:r>
          </w:p>
          <w:p w14:paraId="79CA82CD">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仿宋" w:hAnsi="仿宋" w:eastAsia="仿宋_GB2312" w:cs="仿宋"/>
                <w:b/>
                <w:bCs/>
                <w:color w:val="auto"/>
                <w:sz w:val="28"/>
                <w:szCs w:val="28"/>
                <w:highlight w:val="none"/>
                <w:lang w:val="en-US" w:eastAsia="zh-CN" w:bidi="zh-TW"/>
              </w:rPr>
            </w:pPr>
            <w:r>
              <w:rPr>
                <w:rFonts w:hint="eastAsia" w:ascii="仿宋" w:hAnsi="仿宋" w:eastAsia="仿宋_GB2312" w:cs="仿宋"/>
                <w:b/>
                <w:bCs/>
                <w:color w:val="auto"/>
                <w:sz w:val="28"/>
                <w:szCs w:val="28"/>
                <w:highlight w:val="none"/>
                <w:lang w:val="en-US" w:eastAsia="zh-CN" w:bidi="zh-TW"/>
              </w:rPr>
              <w:t>三、生态空间管控负面清单</w:t>
            </w:r>
          </w:p>
          <w:p w14:paraId="7E632F82">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1.严禁以土地综合整治名义调整生态保护红线;</w:t>
            </w:r>
          </w:p>
          <w:p w14:paraId="04D60BF2">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2.严禁破坏生态环境砍树挖山填湖，严禁违法占用林地、湿地、草地，不得采伐古树名木，不得以整治名义擅自毁林开垦;3.禁止毁坏森林、草原开垦耕地，禁止围湖造田和侵占江河滩地;</w:t>
            </w:r>
          </w:p>
          <w:p w14:paraId="774412D5">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4.其他法律、法规、国家政策文件规定的限制和禁止情形</w:t>
            </w:r>
            <w:r>
              <w:rPr>
                <w:rFonts w:hint="eastAsia" w:eastAsia="仿宋_GB2312" w:cs="仿宋"/>
                <w:color w:val="auto"/>
                <w:sz w:val="28"/>
                <w:szCs w:val="28"/>
                <w:highlight w:val="none"/>
                <w:lang w:val="en-US" w:eastAsia="zh-CN" w:bidi="zh-TW"/>
              </w:rPr>
              <w:t>。</w:t>
            </w:r>
          </w:p>
          <w:p w14:paraId="5C0FE6CD">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仿宋" w:hAnsi="仿宋" w:eastAsia="仿宋_GB2312" w:cs="仿宋"/>
                <w:b/>
                <w:bCs/>
                <w:color w:val="auto"/>
                <w:sz w:val="28"/>
                <w:szCs w:val="28"/>
                <w:highlight w:val="none"/>
                <w:lang w:val="en-US" w:eastAsia="zh-CN" w:bidi="zh-TW"/>
              </w:rPr>
            </w:pPr>
            <w:r>
              <w:rPr>
                <w:rFonts w:hint="eastAsia" w:ascii="仿宋" w:hAnsi="仿宋" w:eastAsia="仿宋_GB2312" w:cs="仿宋"/>
                <w:b/>
                <w:bCs/>
                <w:color w:val="auto"/>
                <w:sz w:val="28"/>
                <w:szCs w:val="28"/>
                <w:highlight w:val="none"/>
                <w:lang w:val="en-US" w:eastAsia="zh-CN" w:bidi="zh-TW"/>
              </w:rPr>
              <w:t>四、农村建房负面清单</w:t>
            </w:r>
          </w:p>
          <w:p w14:paraId="535AD177">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1.不准占用永久基本农田建房;</w:t>
            </w:r>
          </w:p>
          <w:p w14:paraId="460FAE10">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2.不准强占多占耕地建房;</w:t>
            </w:r>
          </w:p>
          <w:p w14:paraId="00F6A225">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3.不准买卖、流转耕地违法建房;</w:t>
            </w:r>
          </w:p>
          <w:p w14:paraId="1B2A281D">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4.不准在承包耕地上违法建房:</w:t>
            </w:r>
          </w:p>
          <w:p w14:paraId="6DFED93B">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5.不准巧立名目违法占用耕地建房;</w:t>
            </w:r>
          </w:p>
          <w:p w14:paraId="7C6E01C8">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6.不准违反“一户一宅”规定占用耕地建房;</w:t>
            </w:r>
          </w:p>
          <w:p w14:paraId="236BFE6C">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7.不准非法出售占用耕地建设的房屋;</w:t>
            </w:r>
          </w:p>
          <w:p w14:paraId="54088E41">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8.不准违法审批占用耕地建房;</w:t>
            </w:r>
          </w:p>
          <w:p w14:paraId="38D5D6C7">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9.严禁下乡利用农村宅基地建设别墅大院和私人会馆。严禁随意撤并村庄搞大社区、违背农民意愿大拆大建;</w:t>
            </w:r>
          </w:p>
          <w:p w14:paraId="60CB519C">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10.禁止违背农村村民意愿强制流转宅基地，禁止违法收回农村村民依法取得的宅基地，禁止以退出宅基地作为农村村民进城落户的条件，不得强制农民搬迁和上楼居住;</w:t>
            </w:r>
          </w:p>
          <w:p w14:paraId="2C643ED0">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11.其他法律、法规、国家政策文件规定的限制和禁止情形</w:t>
            </w:r>
            <w:r>
              <w:rPr>
                <w:rFonts w:hint="eastAsia" w:eastAsia="仿宋_GB2312" w:cs="仿宋"/>
                <w:color w:val="auto"/>
                <w:sz w:val="28"/>
                <w:szCs w:val="28"/>
                <w:highlight w:val="none"/>
                <w:lang w:val="en-US" w:eastAsia="zh-CN" w:bidi="zh-TW"/>
              </w:rPr>
              <w:t>。</w:t>
            </w:r>
          </w:p>
          <w:p w14:paraId="67D997B7">
            <w:pPr>
              <w:keepNext w:val="0"/>
              <w:keepLines w:val="0"/>
              <w:pageBreakBefore w:val="0"/>
              <w:widowControl w:val="0"/>
              <w:kinsoku/>
              <w:wordWrap/>
              <w:overflowPunct/>
              <w:topLinePunct w:val="0"/>
              <w:autoSpaceDE w:val="0"/>
              <w:autoSpaceDN w:val="0"/>
              <w:bidi w:val="0"/>
              <w:adjustRightInd/>
              <w:snapToGrid/>
              <w:ind w:firstLine="562" w:firstLineChars="200"/>
              <w:textAlignment w:val="auto"/>
              <w:rPr>
                <w:rFonts w:hint="eastAsia" w:ascii="仿宋" w:hAnsi="仿宋" w:eastAsia="仿宋_GB2312" w:cs="仿宋"/>
                <w:b/>
                <w:bCs/>
                <w:color w:val="auto"/>
                <w:sz w:val="28"/>
                <w:szCs w:val="28"/>
                <w:highlight w:val="none"/>
                <w:lang w:val="en-US" w:eastAsia="zh-CN" w:bidi="zh-TW"/>
              </w:rPr>
            </w:pPr>
            <w:r>
              <w:rPr>
                <w:rFonts w:hint="eastAsia" w:ascii="仿宋" w:hAnsi="仿宋" w:eastAsia="仿宋_GB2312" w:cs="仿宋"/>
                <w:b/>
                <w:bCs/>
                <w:color w:val="auto"/>
                <w:sz w:val="28"/>
                <w:szCs w:val="28"/>
                <w:highlight w:val="none"/>
                <w:lang w:val="en-US" w:eastAsia="zh-CN" w:bidi="zh-TW"/>
              </w:rPr>
              <w:t>五、农村产业用地负面清单</w:t>
            </w:r>
          </w:p>
          <w:p w14:paraId="6EB64012">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1.农村产业融合发展用地不得用于商品住宅、别墅、酒店、公寓等房地产开发，不得擅自改变用途或分割转让转租;</w:t>
            </w:r>
          </w:p>
          <w:p w14:paraId="29291727">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2.不得用于国家明令淘汰的落后产能、列入国家禁止类产业目录的、污染环境的项目建设;</w:t>
            </w:r>
          </w:p>
          <w:p w14:paraId="375D2980">
            <w:pPr>
              <w:keepNext w:val="0"/>
              <w:keepLines w:val="0"/>
              <w:pageBreakBefore w:val="0"/>
              <w:widowControl w:val="0"/>
              <w:kinsoku/>
              <w:wordWrap/>
              <w:overflowPunct/>
              <w:topLinePunct w:val="0"/>
              <w:autoSpaceDE w:val="0"/>
              <w:autoSpaceDN w:val="0"/>
              <w:bidi w:val="0"/>
              <w:adjustRightInd/>
              <w:snapToGrid/>
              <w:ind w:firstLine="560" w:firstLineChars="200"/>
              <w:textAlignment w:val="auto"/>
              <w:rPr>
                <w:rFonts w:hint="eastAsia" w:ascii="仿宋" w:hAnsi="仿宋" w:eastAsia="仿宋_GB2312" w:cs="仿宋"/>
                <w:color w:val="auto"/>
                <w:sz w:val="28"/>
                <w:szCs w:val="28"/>
                <w:highlight w:val="none"/>
                <w:lang w:val="en-US" w:eastAsia="zh-CN" w:bidi="zh-TW"/>
              </w:rPr>
            </w:pPr>
            <w:r>
              <w:rPr>
                <w:rFonts w:hint="eastAsia" w:ascii="仿宋" w:hAnsi="仿宋" w:eastAsia="仿宋_GB2312" w:cs="仿宋"/>
                <w:color w:val="auto"/>
                <w:sz w:val="28"/>
                <w:szCs w:val="28"/>
                <w:highlight w:val="none"/>
                <w:lang w:val="en-US" w:eastAsia="zh-CN" w:bidi="zh-TW"/>
              </w:rPr>
              <w:t>3.其他法律、法规、国家政策文件规定的限制和禁止情形。</w:t>
            </w:r>
          </w:p>
        </w:tc>
      </w:tr>
    </w:tbl>
    <w:p w14:paraId="4794449A">
      <w:pPr>
        <w:pStyle w:val="3"/>
        <w:numPr>
          <w:ilvl w:val="0"/>
          <w:numId w:val="13"/>
        </w:numPr>
        <w:spacing w:before="240" w:after="240"/>
        <w:ind w:left="0" w:firstLine="0"/>
        <w:jc w:val="center"/>
        <w:rPr>
          <w:rFonts w:hint="eastAsia" w:ascii="黑体" w:hAnsi="黑体" w:eastAsia="黑体"/>
          <w:color w:val="auto"/>
          <w:lang w:val="en-US" w:eastAsia="zh-CN"/>
        </w:rPr>
      </w:pPr>
      <w:bookmarkStart w:id="95" w:name="_Toc22227"/>
      <w:r>
        <w:rPr>
          <w:rFonts w:hint="eastAsia" w:ascii="黑体" w:hAnsi="黑体" w:eastAsia="黑体"/>
          <w:color w:val="auto"/>
          <w:lang w:val="en-US" w:eastAsia="zh-CN"/>
        </w:rPr>
        <w:t>指标管控</w:t>
      </w:r>
      <w:bookmarkEnd w:id="95"/>
    </w:p>
    <w:p w14:paraId="1E189BCB">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上位规划传导的约束指标</w:t>
      </w:r>
    </w:p>
    <w:p w14:paraId="67DF5C4D">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lang w:val="en-US" w:eastAsia="zh-CN"/>
        </w:rPr>
        <w:t>村庄建设边界规模严格执行萧县国土空间总体规划下达指标（最终数据以经批准后的乡镇级国土空间总体规划为依据）</w:t>
      </w:r>
      <w:r>
        <w:rPr>
          <w:rFonts w:hint="eastAsia" w:ascii="Times New Roman" w:hAnsi="Times New Roman" w:eastAsia="仿宋_GB2312" w:cs="Times New Roman"/>
          <w:color w:val="auto"/>
          <w:highlight w:val="none"/>
          <w:lang w:val="en-US" w:eastAsia="zh-CN"/>
        </w:rPr>
        <w:t>。</w:t>
      </w:r>
    </w:p>
    <w:p w14:paraId="7EE4F546">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指标预留</w:t>
      </w:r>
    </w:p>
    <w:p w14:paraId="0C822FCA">
      <w:pPr>
        <w:pStyle w:val="13"/>
        <w:autoSpaceDE/>
        <w:autoSpaceDN/>
        <w:spacing w:before="0" w:beforeLines="0" w:line="360" w:lineRule="auto"/>
        <w:ind w:left="0" w:leftChars="0" w:right="0" w:rightChars="0" w:firstLine="64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落实国土空间开发保护预留指标要求。确需选址在村庄建设边界外的少量乡村居住用地、乡村基础设施、零星乡村产业用地，在符合相关空间控制线管控要求的前提下，通过落实规划预留村庄建设用地指标或缩减村庄建设边界内新增潜力空间规模等方式落地建设。</w:t>
      </w:r>
    </w:p>
    <w:p w14:paraId="47140CE2">
      <w:pPr>
        <w:pStyle w:val="3"/>
        <w:numPr>
          <w:ilvl w:val="0"/>
          <w:numId w:val="13"/>
        </w:numPr>
        <w:spacing w:before="240" w:after="240"/>
        <w:ind w:left="0" w:firstLine="0"/>
        <w:jc w:val="center"/>
        <w:rPr>
          <w:rFonts w:hint="eastAsia" w:ascii="黑体" w:hAnsi="黑体" w:eastAsia="黑体"/>
          <w:color w:val="auto"/>
          <w:lang w:val="en-US" w:eastAsia="zh-CN"/>
        </w:rPr>
      </w:pPr>
      <w:bookmarkStart w:id="96" w:name="_Toc23581"/>
      <w:r>
        <w:rPr>
          <w:rFonts w:hint="eastAsia" w:ascii="黑体" w:hAnsi="黑体" w:eastAsia="黑体"/>
          <w:color w:val="auto"/>
          <w:lang w:val="en-US" w:eastAsia="zh-CN"/>
        </w:rPr>
        <w:t>用地布局</w:t>
      </w:r>
      <w:bookmarkEnd w:id="96"/>
    </w:p>
    <w:p w14:paraId="6BB983E2">
      <w:pPr>
        <w:pStyle w:val="13"/>
        <w:keepNext w:val="0"/>
        <w:keepLines w:val="0"/>
        <w:pageBreakBefore w:val="0"/>
        <w:widowControl w:val="0"/>
        <w:kinsoku/>
        <w:wordWrap/>
        <w:overflowPunct/>
        <w:topLinePunct w:val="0"/>
        <w:autoSpaceDE w:val="0"/>
        <w:autoSpaceDN w:val="0"/>
        <w:bidi w:val="0"/>
        <w:adjustRightInd/>
        <w:snapToGrid/>
        <w:spacing w:before="0" w:beforeLines="0" w:line="360" w:lineRule="auto"/>
        <w:ind w:left="0" w:leftChars="0" w:right="110" w:firstLine="681" w:firstLineChars="213"/>
        <w:textAlignment w:val="auto"/>
        <w:rPr>
          <w:rFonts w:hint="eastAsia" w:eastAsia="仿宋_GB2312"/>
          <w:color w:val="auto"/>
          <w:highlight w:val="none"/>
          <w:lang w:val="en-US" w:eastAsia="zh-CN"/>
        </w:rPr>
      </w:pPr>
      <w:r>
        <w:rPr>
          <w:rFonts w:hint="eastAsia" w:eastAsia="仿宋_GB2312"/>
          <w:color w:val="auto"/>
          <w:highlight w:val="none"/>
          <w:lang w:val="en-US" w:eastAsia="zh-CN"/>
        </w:rPr>
        <w:t>村庄建设用地应选址在地质条件较好、环境适宜、交通方便的地段。新增村庄建设用地应与农村土地综合整治相结合，充分利用原有闲置宅基地、村内空闲地、村周边的丘陵坡地或其他未利用地，少占或不占耕地。村庄建设原则上应避让各类地质灾害隐患地段及其他危险地段，无法避免的，应按照具体的地质灾害分区防控要求，采取针对性的防治措施。</w:t>
      </w:r>
    </w:p>
    <w:p w14:paraId="214D1FDB">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村民住房布局要求</w:t>
      </w:r>
    </w:p>
    <w:p w14:paraId="5C545AB3">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村民住房选址要引导集聚、预留空间，有利生产、方便生活。严格落实“一户一宅”政策要求，引导在村庄建设边界内选址、盘活利用闲置宅基地。经批准异地建造住宅的，应当严格按照“建新拆旧”要求将原宅基地交还给村集体。</w:t>
      </w:r>
    </w:p>
    <w:p w14:paraId="2B85344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 xml:space="preserve">农房选址要求严格落实农村乱占耕地建房“八不准”，严格落实一户一宅，新建农房应向上位国土空间规划确定的农民集中居住区集聚。新建、改建、现状扩建农房应在村庄建设边界内选址，可通过存量腾挪潜力空间安排用地，并尽量使用未利用地，不占或少占耕地。确需新增散居村民住宅用地的，在保证安全及满足底线管控等前提下，可使用规划“留白”机动指标在村庄建设边界外安排少量建设用地予以保障，实行比例和面积控制，并尽量使用未利用地，不占或少占耕地，禁止占用永久基本农田。 </w:t>
      </w:r>
    </w:p>
    <w:p w14:paraId="4CBA21D8">
      <w:pPr>
        <w:pStyle w:val="13"/>
        <w:autoSpaceDE/>
        <w:autoSpaceDN/>
        <w:spacing w:before="0" w:beforeLines="0" w:line="360" w:lineRule="auto"/>
        <w:ind w:left="0" w:leftChars="0" w:right="0" w:rightChars="0" w:firstLine="640" w:firstLineChars="0"/>
        <w:contextualSpacing/>
        <w:rPr>
          <w:rFonts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具体建设内容应符合《关于进一步加强农村宅基地审批管理工作的实施意见》（皖农合〔2020〕38 号）、《萧县农村宅基地审批管理办法(试行)》等相关规范要求。</w:t>
      </w:r>
    </w:p>
    <w:p w14:paraId="4D189A11">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乡村公共服务设施用地布局要求</w:t>
      </w:r>
    </w:p>
    <w:p w14:paraId="22FD6559">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按照《社区生活圈规划技术指南》（TD/T1062-2021）要求，可构建“乡集镇、村/组”两个乡村社区生活圈层级，强化县域与乡村层面对农村基本公共服务供给的统筹，配套标准按照乡村公共服务设施配置表执行。注重相邻村庄之间服务要素的错位配置和共享使用，鼓励有条件的村村之间、村镇（乡）之间、村城之间共享公共服务设施。鼓励充分利用现有存量建设用地空间，多功能复合设置。</w:t>
      </w:r>
    </w:p>
    <w:p w14:paraId="2BB6D59E">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构建功能复合、便捷可达、环境宜人的乡集镇公共活动中心，文化、体育、医疗、教育等服务要素宜邻近生活性街道、交通节点、公园水系等布局。引导村/组级公共服务要素适度集聚，可结合乡村生产生活及出行休闲习惯统筹布局，围绕现状公共空间、公交站点、特色公建、古树名木等打造乡村公共活动中心，作为居民日常活动、办事、交往的主要场所。</w:t>
      </w:r>
    </w:p>
    <w:tbl>
      <w:tblPr>
        <w:tblStyle w:val="33"/>
        <w:tblW w:w="8839"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17"/>
        <w:gridCol w:w="2731"/>
        <w:gridCol w:w="1298"/>
        <w:gridCol w:w="1334"/>
        <w:gridCol w:w="2059"/>
      </w:tblGrid>
      <w:tr w14:paraId="4491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8839" w:type="dxa"/>
            <w:gridSpan w:val="5"/>
            <w:shd w:val="clear" w:color="auto" w:fill="F1F1F1"/>
            <w:vAlign w:val="center"/>
          </w:tcPr>
          <w:p w14:paraId="15FC402B">
            <w:pPr>
              <w:pStyle w:val="64"/>
              <w:keepNext w:val="0"/>
              <w:keepLines w:val="0"/>
              <w:pageBreakBefore w:val="0"/>
              <w:widowControl w:val="0"/>
              <w:kinsoku/>
              <w:wordWrap/>
              <w:overflowPunct/>
              <w:topLinePunct w:val="0"/>
              <w:autoSpaceDE w:val="0"/>
              <w:autoSpaceDN w:val="0"/>
              <w:bidi w:val="0"/>
              <w:adjustRightInd/>
              <w:snapToGrid/>
              <w:spacing w:before="78" w:line="240" w:lineRule="auto"/>
              <w:jc w:val="center"/>
              <w:textAlignment w:val="auto"/>
              <w:rPr>
                <w:rFonts w:hint="eastAsia" w:ascii="仿宋_GB2312" w:hAnsi="仿宋_GB2312" w:eastAsia="仿宋_GB2312" w:cs="仿宋_GB2312"/>
                <w:b/>
                <w:bCs/>
                <w:color w:val="auto"/>
                <w:spacing w:val="-7"/>
                <w:sz w:val="24"/>
                <w:szCs w:val="24"/>
                <w:highlight w:val="none"/>
              </w:rPr>
            </w:pPr>
            <w:r>
              <w:rPr>
                <w:rFonts w:hint="eastAsia" w:ascii="黑体" w:hAnsi="黑体" w:eastAsia="黑体" w:cs="黑体"/>
                <w:b w:val="0"/>
                <w:bCs w:val="0"/>
                <w:color w:val="auto"/>
                <w:spacing w:val="-7"/>
                <w:sz w:val="28"/>
                <w:szCs w:val="28"/>
                <w:highlight w:val="none"/>
                <w:lang w:val="en-US" w:eastAsia="zh-CN"/>
              </w:rPr>
              <w:t>专栏：</w:t>
            </w:r>
            <w:r>
              <w:rPr>
                <w:rFonts w:hint="eastAsia" w:ascii="黑体" w:hAnsi="黑体" w:eastAsia="黑体" w:cs="黑体"/>
                <w:b w:val="0"/>
                <w:bCs w:val="0"/>
                <w:color w:val="auto"/>
                <w:spacing w:val="-7"/>
                <w:sz w:val="28"/>
                <w:szCs w:val="28"/>
                <w:highlight w:val="none"/>
              </w:rPr>
              <w:t>乡村公共服务设施配置表</w:t>
            </w:r>
          </w:p>
        </w:tc>
      </w:tr>
      <w:tr w14:paraId="16A9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1417" w:type="dxa"/>
            <w:vMerge w:val="restart"/>
            <w:shd w:val="clear" w:color="auto" w:fill="F1F1F1"/>
            <w:vAlign w:val="center"/>
          </w:tcPr>
          <w:p w14:paraId="5D281F84">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分类</w:t>
            </w:r>
          </w:p>
        </w:tc>
        <w:tc>
          <w:tcPr>
            <w:tcW w:w="2731" w:type="dxa"/>
            <w:vMerge w:val="restart"/>
            <w:shd w:val="clear" w:color="auto" w:fill="F1F1F1"/>
            <w:vAlign w:val="center"/>
          </w:tcPr>
          <w:p w14:paraId="4D61FEBA">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乡村公共服务设施名称</w:t>
            </w:r>
          </w:p>
        </w:tc>
        <w:tc>
          <w:tcPr>
            <w:tcW w:w="2632" w:type="dxa"/>
            <w:gridSpan w:val="2"/>
            <w:shd w:val="clear" w:color="auto" w:fill="F1F1F1"/>
            <w:vAlign w:val="center"/>
          </w:tcPr>
          <w:p w14:paraId="2A9E4EC6">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生活圈层级</w:t>
            </w:r>
          </w:p>
        </w:tc>
        <w:tc>
          <w:tcPr>
            <w:tcW w:w="2059" w:type="dxa"/>
            <w:vMerge w:val="restart"/>
            <w:shd w:val="clear" w:color="auto" w:fill="F1F1F1"/>
            <w:vAlign w:val="center"/>
          </w:tcPr>
          <w:p w14:paraId="06190356">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配置要求</w:t>
            </w:r>
          </w:p>
        </w:tc>
      </w:tr>
      <w:tr w14:paraId="2486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4CDEEF82">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Merge w:val="continue"/>
            <w:vAlign w:val="center"/>
          </w:tcPr>
          <w:p w14:paraId="3FAEE3F4">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1298" w:type="dxa"/>
            <w:shd w:val="clear" w:color="auto" w:fill="F1F1F1"/>
            <w:vAlign w:val="center"/>
          </w:tcPr>
          <w:p w14:paraId="077B84F8">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乡集镇</w:t>
            </w:r>
          </w:p>
        </w:tc>
        <w:tc>
          <w:tcPr>
            <w:tcW w:w="1334" w:type="dxa"/>
            <w:shd w:val="clear" w:color="auto" w:fill="F1F1F1"/>
            <w:vAlign w:val="center"/>
          </w:tcPr>
          <w:p w14:paraId="7E8DDD70">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村/组</w:t>
            </w:r>
          </w:p>
        </w:tc>
        <w:tc>
          <w:tcPr>
            <w:tcW w:w="2059" w:type="dxa"/>
            <w:vMerge w:val="continue"/>
            <w:vAlign w:val="center"/>
          </w:tcPr>
          <w:p w14:paraId="6E40A300">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r>
      <w:tr w14:paraId="008A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restart"/>
            <w:vAlign w:val="center"/>
          </w:tcPr>
          <w:p w14:paraId="14333C57">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健康管理</w:t>
            </w:r>
          </w:p>
        </w:tc>
        <w:tc>
          <w:tcPr>
            <w:tcW w:w="2731" w:type="dxa"/>
            <w:vAlign w:val="center"/>
          </w:tcPr>
          <w:p w14:paraId="2F60CBD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乡镇卫生院</w:t>
            </w:r>
          </w:p>
        </w:tc>
        <w:tc>
          <w:tcPr>
            <w:tcW w:w="1298" w:type="dxa"/>
            <w:vAlign w:val="center"/>
          </w:tcPr>
          <w:p w14:paraId="3F35319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8" name="IM 2"/>
                  <wp:cNvGraphicFramePr/>
                  <a:graphic xmlns:a="http://schemas.openxmlformats.org/drawingml/2006/main">
                    <a:graphicData uri="http://schemas.openxmlformats.org/drawingml/2006/picture">
                      <pic:pic xmlns:pic="http://schemas.openxmlformats.org/drawingml/2006/picture">
                        <pic:nvPicPr>
                          <pic:cNvPr id="8" name="IM 2"/>
                          <pic:cNvPicPr/>
                        </pic:nvPicPr>
                        <pic:blipFill>
                          <a:blip r:embed="rId10"/>
                          <a:stretch>
                            <a:fillRect/>
                          </a:stretch>
                        </pic:blipFill>
                        <pic:spPr>
                          <a:xfrm>
                            <a:off x="0" y="0"/>
                            <a:ext cx="122986" cy="168859"/>
                          </a:xfrm>
                          <a:prstGeom prst="rect">
                            <a:avLst/>
                          </a:prstGeom>
                        </pic:spPr>
                      </pic:pic>
                    </a:graphicData>
                  </a:graphic>
                </wp:inline>
              </w:drawing>
            </w:r>
          </w:p>
        </w:tc>
        <w:tc>
          <w:tcPr>
            <w:tcW w:w="1334" w:type="dxa"/>
            <w:vAlign w:val="center"/>
          </w:tcPr>
          <w:p w14:paraId="42E8A02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256E3CC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宜独立占地</w:t>
            </w:r>
          </w:p>
        </w:tc>
      </w:tr>
      <w:tr w14:paraId="7DBB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0999A43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2BCEA6E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卫生服务站</w:t>
            </w:r>
          </w:p>
        </w:tc>
        <w:tc>
          <w:tcPr>
            <w:tcW w:w="1298" w:type="dxa"/>
            <w:vAlign w:val="center"/>
          </w:tcPr>
          <w:p w14:paraId="71F8E0A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0BC93C9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018D738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4D8B7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5F9405B2">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40F034C9">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村卫生室</w:t>
            </w:r>
          </w:p>
        </w:tc>
        <w:tc>
          <w:tcPr>
            <w:tcW w:w="1298" w:type="dxa"/>
            <w:vAlign w:val="center"/>
          </w:tcPr>
          <w:p w14:paraId="034F97D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3FD776C3">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2E3AEFB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19B2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417" w:type="dxa"/>
            <w:vMerge w:val="restart"/>
            <w:vAlign w:val="center"/>
          </w:tcPr>
          <w:p w14:paraId="792415C8">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为老服务</w:t>
            </w:r>
          </w:p>
        </w:tc>
        <w:tc>
          <w:tcPr>
            <w:tcW w:w="2731" w:type="dxa"/>
            <w:vAlign w:val="center"/>
          </w:tcPr>
          <w:p w14:paraId="0F48BEE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养老院</w:t>
            </w:r>
          </w:p>
        </w:tc>
        <w:tc>
          <w:tcPr>
            <w:tcW w:w="1298" w:type="dxa"/>
            <w:vAlign w:val="center"/>
          </w:tcPr>
          <w:p w14:paraId="094C8771">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10"/>
                          <a:stretch>
                            <a:fillRect/>
                          </a:stretch>
                        </pic:blipFill>
                        <pic:spPr>
                          <a:xfrm>
                            <a:off x="0" y="0"/>
                            <a:ext cx="122986" cy="168859"/>
                          </a:xfrm>
                          <a:prstGeom prst="rect">
                            <a:avLst/>
                          </a:prstGeom>
                        </pic:spPr>
                      </pic:pic>
                    </a:graphicData>
                  </a:graphic>
                </wp:inline>
              </w:drawing>
            </w:r>
          </w:p>
        </w:tc>
        <w:tc>
          <w:tcPr>
            <w:tcW w:w="1334" w:type="dxa"/>
            <w:vAlign w:val="center"/>
          </w:tcPr>
          <w:p w14:paraId="751A8564">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7D24FBD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宜独立占地</w:t>
            </w:r>
          </w:p>
        </w:tc>
      </w:tr>
      <w:tr w14:paraId="6506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23CB2B1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7EC97E6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老年活动室</w:t>
            </w:r>
          </w:p>
        </w:tc>
        <w:tc>
          <w:tcPr>
            <w:tcW w:w="1298" w:type="dxa"/>
            <w:vAlign w:val="center"/>
          </w:tcPr>
          <w:p w14:paraId="09A518D0">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73F5DCD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3AD64B49">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2AA1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08D4CA2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024959AD">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老年人日间照料中心</w:t>
            </w:r>
          </w:p>
        </w:tc>
        <w:tc>
          <w:tcPr>
            <w:tcW w:w="1298" w:type="dxa"/>
            <w:vAlign w:val="center"/>
          </w:tcPr>
          <w:p w14:paraId="4EE49BB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27B8357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0" name="IM 6"/>
                  <wp:cNvGraphicFramePr/>
                  <a:graphic xmlns:a="http://schemas.openxmlformats.org/drawingml/2006/main">
                    <a:graphicData uri="http://schemas.openxmlformats.org/drawingml/2006/picture">
                      <pic:pic xmlns:pic="http://schemas.openxmlformats.org/drawingml/2006/picture">
                        <pic:nvPicPr>
                          <pic:cNvPr id="10" name="IM 6"/>
                          <pic:cNvPicPr/>
                        </pic:nvPicPr>
                        <pic:blipFill>
                          <a:blip r:embed="rId11"/>
                          <a:stretch>
                            <a:fillRect/>
                          </a:stretch>
                        </pic:blipFill>
                        <pic:spPr>
                          <a:xfrm>
                            <a:off x="0" y="0"/>
                            <a:ext cx="122986" cy="168859"/>
                          </a:xfrm>
                          <a:prstGeom prst="rect">
                            <a:avLst/>
                          </a:prstGeom>
                        </pic:spPr>
                      </pic:pic>
                    </a:graphicData>
                  </a:graphic>
                </wp:inline>
              </w:drawing>
            </w:r>
          </w:p>
        </w:tc>
        <w:tc>
          <w:tcPr>
            <w:tcW w:w="2059" w:type="dxa"/>
            <w:vAlign w:val="center"/>
          </w:tcPr>
          <w:p w14:paraId="1C1E6FB4">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07266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7B3F043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35DE36A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村级幸福院</w:t>
            </w:r>
          </w:p>
        </w:tc>
        <w:tc>
          <w:tcPr>
            <w:tcW w:w="1298" w:type="dxa"/>
            <w:vAlign w:val="center"/>
          </w:tcPr>
          <w:p w14:paraId="79017D42">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7A3F26D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1" name="IM 8"/>
                  <wp:cNvGraphicFramePr/>
                  <a:graphic xmlns:a="http://schemas.openxmlformats.org/drawingml/2006/main">
                    <a:graphicData uri="http://schemas.openxmlformats.org/drawingml/2006/picture">
                      <pic:pic xmlns:pic="http://schemas.openxmlformats.org/drawingml/2006/picture">
                        <pic:nvPicPr>
                          <pic:cNvPr id="11" name="IM 8"/>
                          <pic:cNvPicPr/>
                        </pic:nvPicPr>
                        <pic:blipFill>
                          <a:blip r:embed="rId12"/>
                          <a:stretch>
                            <a:fillRect/>
                          </a:stretch>
                        </pic:blipFill>
                        <pic:spPr>
                          <a:xfrm>
                            <a:off x="0" y="0"/>
                            <a:ext cx="122986" cy="168859"/>
                          </a:xfrm>
                          <a:prstGeom prst="rect">
                            <a:avLst/>
                          </a:prstGeom>
                        </pic:spPr>
                      </pic:pic>
                    </a:graphicData>
                  </a:graphic>
                </wp:inline>
              </w:drawing>
            </w:r>
          </w:p>
        </w:tc>
        <w:tc>
          <w:tcPr>
            <w:tcW w:w="2059" w:type="dxa"/>
            <w:vAlign w:val="center"/>
          </w:tcPr>
          <w:p w14:paraId="718356FD">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应独立占地</w:t>
            </w:r>
          </w:p>
        </w:tc>
      </w:tr>
      <w:tr w14:paraId="6EAB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restart"/>
            <w:vAlign w:val="center"/>
          </w:tcPr>
          <w:p w14:paraId="69A451E2">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终身教育</w:t>
            </w:r>
          </w:p>
        </w:tc>
        <w:tc>
          <w:tcPr>
            <w:tcW w:w="2731" w:type="dxa"/>
            <w:vAlign w:val="center"/>
          </w:tcPr>
          <w:p w14:paraId="512CDD3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高中</w:t>
            </w:r>
          </w:p>
        </w:tc>
        <w:tc>
          <w:tcPr>
            <w:tcW w:w="1298" w:type="dxa"/>
            <w:vAlign w:val="center"/>
          </w:tcPr>
          <w:p w14:paraId="14BDC3E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2" name="IM 10"/>
                  <wp:cNvGraphicFramePr/>
                  <a:graphic xmlns:a="http://schemas.openxmlformats.org/drawingml/2006/main">
                    <a:graphicData uri="http://schemas.openxmlformats.org/drawingml/2006/picture">
                      <pic:pic xmlns:pic="http://schemas.openxmlformats.org/drawingml/2006/picture">
                        <pic:nvPicPr>
                          <pic:cNvPr id="12" name="IM 10"/>
                          <pic:cNvPicPr/>
                        </pic:nvPicPr>
                        <pic:blipFill>
                          <a:blip r:embed="rId13"/>
                          <a:stretch>
                            <a:fillRect/>
                          </a:stretch>
                        </pic:blipFill>
                        <pic:spPr>
                          <a:xfrm>
                            <a:off x="0" y="0"/>
                            <a:ext cx="122986" cy="168859"/>
                          </a:xfrm>
                          <a:prstGeom prst="rect">
                            <a:avLst/>
                          </a:prstGeom>
                        </pic:spPr>
                      </pic:pic>
                    </a:graphicData>
                  </a:graphic>
                </wp:inline>
              </w:drawing>
            </w:r>
          </w:p>
        </w:tc>
        <w:tc>
          <w:tcPr>
            <w:tcW w:w="1334" w:type="dxa"/>
            <w:vAlign w:val="center"/>
          </w:tcPr>
          <w:p w14:paraId="20EF2C5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1322683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宜独立占地</w:t>
            </w:r>
          </w:p>
        </w:tc>
      </w:tr>
      <w:tr w14:paraId="5806A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3EF76EF4">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4825A119">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初中</w:t>
            </w:r>
          </w:p>
        </w:tc>
        <w:tc>
          <w:tcPr>
            <w:tcW w:w="1298" w:type="dxa"/>
            <w:vAlign w:val="center"/>
          </w:tcPr>
          <w:p w14:paraId="3C9BD2C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1BE34169">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4D83979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宜独立占地</w:t>
            </w:r>
          </w:p>
        </w:tc>
      </w:tr>
      <w:tr w14:paraId="0028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5BA20D1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7050B4C3">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小学</w:t>
            </w:r>
          </w:p>
        </w:tc>
        <w:tc>
          <w:tcPr>
            <w:tcW w:w="1298" w:type="dxa"/>
            <w:vAlign w:val="center"/>
          </w:tcPr>
          <w:p w14:paraId="35C94EE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34E25AC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3" name="IM 12"/>
                  <wp:cNvGraphicFramePr/>
                  <a:graphic xmlns:a="http://schemas.openxmlformats.org/drawingml/2006/main">
                    <a:graphicData uri="http://schemas.openxmlformats.org/drawingml/2006/picture">
                      <pic:pic xmlns:pic="http://schemas.openxmlformats.org/drawingml/2006/picture">
                        <pic:nvPicPr>
                          <pic:cNvPr id="13" name="IM 12"/>
                          <pic:cNvPicPr/>
                        </pic:nvPicPr>
                        <pic:blipFill>
                          <a:blip r:embed="rId12"/>
                          <a:stretch>
                            <a:fillRect/>
                          </a:stretch>
                        </pic:blipFill>
                        <pic:spPr>
                          <a:xfrm>
                            <a:off x="0" y="0"/>
                            <a:ext cx="122986" cy="168859"/>
                          </a:xfrm>
                          <a:prstGeom prst="rect">
                            <a:avLst/>
                          </a:prstGeom>
                        </pic:spPr>
                      </pic:pic>
                    </a:graphicData>
                  </a:graphic>
                </wp:inline>
              </w:drawing>
            </w:r>
          </w:p>
        </w:tc>
        <w:tc>
          <w:tcPr>
            <w:tcW w:w="2059" w:type="dxa"/>
            <w:vAlign w:val="center"/>
          </w:tcPr>
          <w:p w14:paraId="72C52B63">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应独立占地</w:t>
            </w:r>
          </w:p>
        </w:tc>
      </w:tr>
      <w:tr w14:paraId="41CC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28836293">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0781476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幼儿园</w:t>
            </w:r>
          </w:p>
        </w:tc>
        <w:tc>
          <w:tcPr>
            <w:tcW w:w="1298" w:type="dxa"/>
            <w:vAlign w:val="center"/>
          </w:tcPr>
          <w:p w14:paraId="650E5EC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00F02AD9">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1"/>
                          <a:stretch>
                            <a:fillRect/>
                          </a:stretch>
                        </pic:blipFill>
                        <pic:spPr>
                          <a:xfrm>
                            <a:off x="0" y="0"/>
                            <a:ext cx="122986" cy="168859"/>
                          </a:xfrm>
                          <a:prstGeom prst="rect">
                            <a:avLst/>
                          </a:prstGeom>
                        </pic:spPr>
                      </pic:pic>
                    </a:graphicData>
                  </a:graphic>
                </wp:inline>
              </w:drawing>
            </w:r>
          </w:p>
        </w:tc>
        <w:tc>
          <w:tcPr>
            <w:tcW w:w="2059" w:type="dxa"/>
            <w:vAlign w:val="center"/>
          </w:tcPr>
          <w:p w14:paraId="0160FBC9">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应独立占地</w:t>
            </w:r>
          </w:p>
        </w:tc>
      </w:tr>
      <w:tr w14:paraId="2F91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restart"/>
            <w:vAlign w:val="center"/>
          </w:tcPr>
          <w:p w14:paraId="3B999801">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文化活动</w:t>
            </w:r>
          </w:p>
        </w:tc>
        <w:tc>
          <w:tcPr>
            <w:tcW w:w="2731" w:type="dxa"/>
            <w:vAlign w:val="center"/>
          </w:tcPr>
          <w:p w14:paraId="64E5FDA1">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乡镇文化活动中心</w:t>
            </w:r>
          </w:p>
        </w:tc>
        <w:tc>
          <w:tcPr>
            <w:tcW w:w="1298" w:type="dxa"/>
            <w:vAlign w:val="center"/>
          </w:tcPr>
          <w:p w14:paraId="287C99A2">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3"/>
                          <a:stretch>
                            <a:fillRect/>
                          </a:stretch>
                        </pic:blipFill>
                        <pic:spPr>
                          <a:xfrm>
                            <a:off x="0" y="0"/>
                            <a:ext cx="122986" cy="168859"/>
                          </a:xfrm>
                          <a:prstGeom prst="rect">
                            <a:avLst/>
                          </a:prstGeom>
                        </pic:spPr>
                      </pic:pic>
                    </a:graphicData>
                  </a:graphic>
                </wp:inline>
              </w:drawing>
            </w:r>
          </w:p>
        </w:tc>
        <w:tc>
          <w:tcPr>
            <w:tcW w:w="1334" w:type="dxa"/>
            <w:vAlign w:val="center"/>
          </w:tcPr>
          <w:p w14:paraId="34307105">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021D8F7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可综合设置</w:t>
            </w:r>
          </w:p>
        </w:tc>
      </w:tr>
      <w:tr w14:paraId="6134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417" w:type="dxa"/>
            <w:vMerge w:val="continue"/>
            <w:vAlign w:val="center"/>
          </w:tcPr>
          <w:p w14:paraId="7C780315">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6172EF03">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文化活动室</w:t>
            </w:r>
          </w:p>
        </w:tc>
        <w:tc>
          <w:tcPr>
            <w:tcW w:w="1298" w:type="dxa"/>
            <w:vAlign w:val="center"/>
          </w:tcPr>
          <w:p w14:paraId="54D124D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6B300BD2">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77D604D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233E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5204CD21">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26453F21">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农家书屋</w:t>
            </w:r>
          </w:p>
        </w:tc>
        <w:tc>
          <w:tcPr>
            <w:tcW w:w="1298" w:type="dxa"/>
            <w:vAlign w:val="center"/>
          </w:tcPr>
          <w:p w14:paraId="7F51F0D5">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132AA2CD">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0E0B2AF5">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5815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417" w:type="dxa"/>
            <w:vMerge w:val="continue"/>
            <w:vAlign w:val="center"/>
          </w:tcPr>
          <w:p w14:paraId="02D4E7A0">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484C891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红白喜事厅</w:t>
            </w:r>
          </w:p>
        </w:tc>
        <w:tc>
          <w:tcPr>
            <w:tcW w:w="1298" w:type="dxa"/>
            <w:vAlign w:val="center"/>
          </w:tcPr>
          <w:p w14:paraId="64337192">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1EFC411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2"/>
                          <a:stretch>
                            <a:fillRect/>
                          </a:stretch>
                        </pic:blipFill>
                        <pic:spPr>
                          <a:xfrm>
                            <a:off x="0" y="0"/>
                            <a:ext cx="122986" cy="168859"/>
                          </a:xfrm>
                          <a:prstGeom prst="rect">
                            <a:avLst/>
                          </a:prstGeom>
                        </pic:spPr>
                      </pic:pic>
                    </a:graphicData>
                  </a:graphic>
                </wp:inline>
              </w:drawing>
            </w:r>
          </w:p>
        </w:tc>
        <w:tc>
          <w:tcPr>
            <w:tcW w:w="2059" w:type="dxa"/>
            <w:vAlign w:val="center"/>
          </w:tcPr>
          <w:p w14:paraId="6B43CE5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36D6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508F4290">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6F2CBAC0">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特色民俗活动点</w:t>
            </w:r>
          </w:p>
        </w:tc>
        <w:tc>
          <w:tcPr>
            <w:tcW w:w="1298" w:type="dxa"/>
            <w:vAlign w:val="center"/>
          </w:tcPr>
          <w:p w14:paraId="71FDAF4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2DD75822">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1"/>
                          <a:stretch>
                            <a:fillRect/>
                          </a:stretch>
                        </pic:blipFill>
                        <pic:spPr>
                          <a:xfrm>
                            <a:off x="0" y="0"/>
                            <a:ext cx="122986" cy="168859"/>
                          </a:xfrm>
                          <a:prstGeom prst="rect">
                            <a:avLst/>
                          </a:prstGeom>
                        </pic:spPr>
                      </pic:pic>
                    </a:graphicData>
                  </a:graphic>
                </wp:inline>
              </w:drawing>
            </w:r>
          </w:p>
        </w:tc>
        <w:tc>
          <w:tcPr>
            <w:tcW w:w="2059" w:type="dxa"/>
            <w:vAlign w:val="center"/>
          </w:tcPr>
          <w:p w14:paraId="0559547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37F3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1417" w:type="dxa"/>
            <w:vMerge w:val="restart"/>
            <w:vAlign w:val="center"/>
          </w:tcPr>
          <w:p w14:paraId="01FB9944">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体育健康</w:t>
            </w:r>
          </w:p>
        </w:tc>
        <w:tc>
          <w:tcPr>
            <w:tcW w:w="2731" w:type="dxa"/>
            <w:vAlign w:val="center"/>
          </w:tcPr>
          <w:p w14:paraId="493992D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乡镇体育中心</w:t>
            </w:r>
          </w:p>
        </w:tc>
        <w:tc>
          <w:tcPr>
            <w:tcW w:w="1298" w:type="dxa"/>
            <w:vAlign w:val="center"/>
          </w:tcPr>
          <w:p w14:paraId="5054EE6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3"/>
                          <a:stretch>
                            <a:fillRect/>
                          </a:stretch>
                        </pic:blipFill>
                        <pic:spPr>
                          <a:xfrm>
                            <a:off x="0" y="0"/>
                            <a:ext cx="122986" cy="168859"/>
                          </a:xfrm>
                          <a:prstGeom prst="rect">
                            <a:avLst/>
                          </a:prstGeom>
                        </pic:spPr>
                      </pic:pic>
                    </a:graphicData>
                  </a:graphic>
                </wp:inline>
              </w:drawing>
            </w:r>
          </w:p>
        </w:tc>
        <w:tc>
          <w:tcPr>
            <w:tcW w:w="1334" w:type="dxa"/>
            <w:vAlign w:val="center"/>
          </w:tcPr>
          <w:p w14:paraId="7B901303">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277F583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可综合设置</w:t>
            </w:r>
          </w:p>
        </w:tc>
      </w:tr>
      <w:tr w14:paraId="4A261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03C85AC9">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7C37E53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室外综合健身场地</w:t>
            </w:r>
          </w:p>
        </w:tc>
        <w:tc>
          <w:tcPr>
            <w:tcW w:w="1298" w:type="dxa"/>
            <w:vAlign w:val="center"/>
          </w:tcPr>
          <w:p w14:paraId="3B6E3D0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13C9D65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359AF34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02886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2F76E7D4">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07E123A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健身广场</w:t>
            </w:r>
          </w:p>
        </w:tc>
        <w:tc>
          <w:tcPr>
            <w:tcW w:w="1298" w:type="dxa"/>
            <w:vAlign w:val="center"/>
          </w:tcPr>
          <w:p w14:paraId="5E17BC5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1A0A447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2"/>
                          <a:stretch>
                            <a:fillRect/>
                          </a:stretch>
                        </pic:blipFill>
                        <pic:spPr>
                          <a:xfrm>
                            <a:off x="0" y="0"/>
                            <a:ext cx="122986" cy="168859"/>
                          </a:xfrm>
                          <a:prstGeom prst="rect">
                            <a:avLst/>
                          </a:prstGeom>
                        </pic:spPr>
                      </pic:pic>
                    </a:graphicData>
                  </a:graphic>
                </wp:inline>
              </w:drawing>
            </w:r>
          </w:p>
        </w:tc>
        <w:tc>
          <w:tcPr>
            <w:tcW w:w="2059" w:type="dxa"/>
            <w:vAlign w:val="center"/>
          </w:tcPr>
          <w:p w14:paraId="41FA9A75">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3875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restart"/>
            <w:vAlign w:val="center"/>
          </w:tcPr>
          <w:p w14:paraId="07975145">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商业服务</w:t>
            </w:r>
          </w:p>
        </w:tc>
        <w:tc>
          <w:tcPr>
            <w:tcW w:w="2731" w:type="dxa"/>
            <w:vAlign w:val="center"/>
          </w:tcPr>
          <w:p w14:paraId="29E79BC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菜市场</w:t>
            </w:r>
          </w:p>
        </w:tc>
        <w:tc>
          <w:tcPr>
            <w:tcW w:w="1298" w:type="dxa"/>
            <w:vAlign w:val="center"/>
          </w:tcPr>
          <w:p w14:paraId="09F1557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45006850">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006174E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可综合设置</w:t>
            </w:r>
          </w:p>
        </w:tc>
      </w:tr>
      <w:tr w14:paraId="38BD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1417" w:type="dxa"/>
            <w:vMerge w:val="continue"/>
            <w:vAlign w:val="center"/>
          </w:tcPr>
          <w:p w14:paraId="33497F9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05D7B154">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邮政营业场所</w:t>
            </w:r>
          </w:p>
        </w:tc>
        <w:tc>
          <w:tcPr>
            <w:tcW w:w="1298" w:type="dxa"/>
            <w:vAlign w:val="center"/>
          </w:tcPr>
          <w:p w14:paraId="3BF5A820">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1C69150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765867AA">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可综合设置</w:t>
            </w:r>
          </w:p>
        </w:tc>
      </w:tr>
      <w:tr w14:paraId="1F584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1417" w:type="dxa"/>
            <w:vMerge w:val="continue"/>
            <w:vAlign w:val="center"/>
          </w:tcPr>
          <w:p w14:paraId="6B371DAC">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32A680D3">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便民农家店</w:t>
            </w:r>
          </w:p>
        </w:tc>
        <w:tc>
          <w:tcPr>
            <w:tcW w:w="1298" w:type="dxa"/>
            <w:vAlign w:val="center"/>
          </w:tcPr>
          <w:p w14:paraId="6C50C5F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5AB3F9CF">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4B69ED44">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3E19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1417" w:type="dxa"/>
            <w:vMerge w:val="continue"/>
            <w:vAlign w:val="center"/>
          </w:tcPr>
          <w:p w14:paraId="5975A53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p>
        </w:tc>
        <w:tc>
          <w:tcPr>
            <w:tcW w:w="2731" w:type="dxa"/>
            <w:vAlign w:val="center"/>
          </w:tcPr>
          <w:p w14:paraId="79AC3C18">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金融电信服务点</w:t>
            </w:r>
          </w:p>
        </w:tc>
        <w:tc>
          <w:tcPr>
            <w:tcW w:w="1298" w:type="dxa"/>
            <w:vAlign w:val="center"/>
          </w:tcPr>
          <w:p w14:paraId="3172EF1B">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6A3C510E">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drawing>
                <wp:inline distT="0" distB="0" distL="0" distR="0">
                  <wp:extent cx="122555" cy="168275"/>
                  <wp:effectExtent l="0" t="0" r="10795" b="2540"/>
                  <wp:docPr id="15" name="IM 26"/>
                  <wp:cNvGraphicFramePr/>
                  <a:graphic xmlns:a="http://schemas.openxmlformats.org/drawingml/2006/main">
                    <a:graphicData uri="http://schemas.openxmlformats.org/drawingml/2006/picture">
                      <pic:pic xmlns:pic="http://schemas.openxmlformats.org/drawingml/2006/picture">
                        <pic:nvPicPr>
                          <pic:cNvPr id="15" name="IM 26"/>
                          <pic:cNvPicPr/>
                        </pic:nvPicPr>
                        <pic:blipFill>
                          <a:blip r:embed="rId11"/>
                          <a:stretch>
                            <a:fillRect/>
                          </a:stretch>
                        </pic:blipFill>
                        <pic:spPr>
                          <a:xfrm>
                            <a:off x="0" y="0"/>
                            <a:ext cx="122986" cy="168859"/>
                          </a:xfrm>
                          <a:prstGeom prst="rect">
                            <a:avLst/>
                          </a:prstGeom>
                        </pic:spPr>
                      </pic:pic>
                    </a:graphicData>
                  </a:graphic>
                </wp:inline>
              </w:drawing>
            </w:r>
          </w:p>
        </w:tc>
        <w:tc>
          <w:tcPr>
            <w:tcW w:w="2059" w:type="dxa"/>
            <w:vAlign w:val="center"/>
          </w:tcPr>
          <w:p w14:paraId="7D950D9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r w14:paraId="572B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trPr>
        <w:tc>
          <w:tcPr>
            <w:tcW w:w="1417" w:type="dxa"/>
            <w:vAlign w:val="center"/>
          </w:tcPr>
          <w:p w14:paraId="7996793F">
            <w:pPr>
              <w:pStyle w:val="64"/>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行政管理</w:t>
            </w:r>
          </w:p>
        </w:tc>
        <w:tc>
          <w:tcPr>
            <w:tcW w:w="2731" w:type="dxa"/>
            <w:vAlign w:val="center"/>
          </w:tcPr>
          <w:p w14:paraId="2035D7B7">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村务室</w:t>
            </w:r>
          </w:p>
        </w:tc>
        <w:tc>
          <w:tcPr>
            <w:tcW w:w="1298" w:type="dxa"/>
            <w:vAlign w:val="center"/>
          </w:tcPr>
          <w:p w14:paraId="72FC21A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1334" w:type="dxa"/>
            <w:vAlign w:val="center"/>
          </w:tcPr>
          <w:p w14:paraId="13D23DF6">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w:t>
            </w:r>
          </w:p>
        </w:tc>
        <w:tc>
          <w:tcPr>
            <w:tcW w:w="2059" w:type="dxa"/>
            <w:vAlign w:val="center"/>
          </w:tcPr>
          <w:p w14:paraId="73B5D171">
            <w:pPr>
              <w:pStyle w:val="64"/>
              <w:keepNext w:val="0"/>
              <w:keepLines w:val="0"/>
              <w:pageBreakBefore w:val="0"/>
              <w:widowControl w:val="0"/>
              <w:kinsoku/>
              <w:wordWrap/>
              <w:overflowPunct/>
              <w:topLinePunct w:val="0"/>
              <w:autoSpaceDE w:val="0"/>
              <w:autoSpaceDN w:val="0"/>
              <w:bidi w:val="0"/>
              <w:adjustRightInd/>
              <w:snapToGrid/>
              <w:spacing w:line="240" w:lineRule="auto"/>
              <w:ind w:left="232"/>
              <w:jc w:val="center"/>
              <w:textAlignment w:val="auto"/>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宜综合设置</w:t>
            </w:r>
          </w:p>
        </w:tc>
      </w:tr>
    </w:tbl>
    <w:p w14:paraId="07FD2514">
      <w:pPr>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pacing w:val="1"/>
          <w:sz w:val="28"/>
          <w:szCs w:val="28"/>
          <w:highlight w:val="none"/>
        </w:rPr>
        <w:t>注： ●——一般情况下建设；</w:t>
      </w:r>
      <w:r>
        <w:rPr>
          <w:rFonts w:hint="eastAsia" w:ascii="仿宋" w:hAnsi="仿宋" w:eastAsia="仿宋" w:cs="仿宋"/>
          <w:color w:val="auto"/>
          <w:spacing w:val="-85"/>
          <w:sz w:val="28"/>
          <w:szCs w:val="28"/>
          <w:highlight w:val="none"/>
        </w:rPr>
        <w:t xml:space="preserve"> </w:t>
      </w:r>
      <w:r>
        <w:rPr>
          <w:rFonts w:hint="eastAsia" w:ascii="仿宋" w:hAnsi="仿宋" w:eastAsia="仿宋" w:cs="仿宋"/>
          <w:color w:val="auto"/>
          <w:position w:val="-3"/>
          <w:sz w:val="28"/>
          <w:szCs w:val="28"/>
          <w:highlight w:val="none"/>
        </w:rPr>
        <w:drawing>
          <wp:inline distT="0" distB="0" distL="0" distR="0">
            <wp:extent cx="122555" cy="168275"/>
            <wp:effectExtent l="0" t="0" r="10795" b="254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4"/>
                    <a:stretch>
                      <a:fillRect/>
                    </a:stretch>
                  </pic:blipFill>
                  <pic:spPr>
                    <a:xfrm>
                      <a:off x="0" y="0"/>
                      <a:ext cx="122986" cy="168859"/>
                    </a:xfrm>
                    <a:prstGeom prst="rect">
                      <a:avLst/>
                    </a:prstGeom>
                  </pic:spPr>
                </pic:pic>
              </a:graphicData>
            </a:graphic>
          </wp:inline>
        </w:drawing>
      </w:r>
      <w:r>
        <w:rPr>
          <w:rFonts w:hint="eastAsia" w:ascii="仿宋" w:hAnsi="仿宋" w:eastAsia="仿宋" w:cs="仿宋"/>
          <w:color w:val="auto"/>
          <w:spacing w:val="1"/>
          <w:sz w:val="28"/>
          <w:szCs w:val="28"/>
          <w:highlight w:val="none"/>
        </w:rPr>
        <w:t>——有条件情况下建设。</w:t>
      </w:r>
    </w:p>
    <w:p w14:paraId="199957CD">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乡村市政公用设施用地布局要求</w:t>
      </w:r>
    </w:p>
    <w:p w14:paraId="36C573C9">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乡村市政公用设施应充分考虑地形地貌、防灾减灾、邻避距离等要素，在满足功能需求的前提下减少对环境和生活的影响。</w:t>
      </w:r>
    </w:p>
    <w:p w14:paraId="017AB6ED">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乡村污水处理设施布局必须满足水源保护区划定控制要求；应布置在居民点常年主导风向的下风向、村庄水系下游；宜靠近受纳水体或农田灌溉区；宜设置在便于污水、污泥的收集、排放和再利用的区域；宜选址在交通、运输及供水供电较方便地段；远离学校及医院等公共建筑；不宜设置在低洼易涝区。</w:t>
      </w:r>
    </w:p>
    <w:p w14:paraId="039DA7C5">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乡村公厕应选择不易积存雨水的地段；宜建在公共场所等人口较集中的区域；附属式公共厕所可优先考虑与村委会、村民活动中心、老人活动站、卫生站等设施结合建设；独立式公共厕所可优先考虑建在村入 口、活动广场、停车场、集贸市场等区域；与集中式给水点和地下取水构筑物等的距离应大于 30 米；宜建在所服务区域的常年主导风向的下风向处；不宜靠近民房、学校及卫生设施等敏感建筑。</w:t>
      </w:r>
    </w:p>
    <w:p w14:paraId="0B89B2F5">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各类设施用地应符合国家和地方相关行业标准的规定。</w:t>
      </w:r>
    </w:p>
    <w:p w14:paraId="436A8243">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乡村产业用地布局要求</w:t>
      </w:r>
    </w:p>
    <w:p w14:paraId="0C91928A">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乡村产业必须符合《产业结构调整指导目录（2024 年本）》的要求；严禁生产、制造危险化学品及其相关产物。</w:t>
      </w:r>
    </w:p>
    <w:p w14:paraId="02E70A4B">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规模较大、工业化程度高、分散布局配套设施成本高的产业项目宜在产业园区内布局；具有一定规模的农产品加工宜在城镇开发边界内集中布局。</w:t>
      </w:r>
    </w:p>
    <w:p w14:paraId="7DE57E2A">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直接服务种植养殖业的农产品加工、电子商务、仓储保鲜冷链、产地低温直销配送等产业原则上应集中在行政村村庄建设边界内。</w:t>
      </w:r>
    </w:p>
    <w:p w14:paraId="6CD108A2">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利用农村本地资源开展农产品初加工、发展休闲观光旅游而必需的配套设施建设，可在不占用永久基本农田和生态保护红线、不突破乡镇级国土空间规划传导的建设用地指标等约束条件、不破坏生态环境和乡村风貌的前提下，在村庄建设边界外安排少量建设用地。</w:t>
      </w:r>
    </w:p>
    <w:p w14:paraId="4669E9A8">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 xml:space="preserve">文旅融合产业鼓励在传承保护优先基础上，推动历史文化资源活化利用，进一步实现一二三产融合发展。合理利用院落形式建筑特色，植入文化博览、非遗体验等传统文化功能，配套研学体验、休闲娱乐等旅游服务功能。以建设用地功能为主导，指导非建设用地产业、环境、景观整治，结合传统农业，拓宽文旅产业空间承载范围，实现一二三产一体化发展格局。  </w:t>
      </w:r>
    </w:p>
    <w:p w14:paraId="302A4D12">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鼓励乡村产业用地与其他用地功能合理布局，鼓励闲置资源活化利用，实现用地混合。在符合国土空间规划确定的用地类型、控制性高度、乡村风貌、基础设施和用途管制要求、确保安全的前提下，鼓励对闲置宅基地、闲置集体用地、古院落等农村建设用地，通过购买、租赁、经营权转让、资产入股、集中流转、收储等方式整合活化，进行复合利用，发展乡村民宿、农产品初加工、电子商务、 民俗体验、文化创意等乡村产业。</w:t>
      </w:r>
    </w:p>
    <w:p w14:paraId="0D583F08">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乡村产业项目原则上应为直接服务于乡村振兴和农村生产生活的项目，并符合村庄所在的乡镇主体功能定位和相关产业规划，不得违背产业准入负面清单，不得用于商品住宅、别墅、酒店、公寓等房地产开发。</w:t>
      </w:r>
    </w:p>
    <w:p w14:paraId="141CCCF9">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国土综合整治要求</w:t>
      </w:r>
    </w:p>
    <w:p w14:paraId="0DB3AE32">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落实国土空间总体规划或专项规划确定的国土综合整治区域及要求。以乡镇为基本实施单元，统筹推进农用地整治与建设用地整理。</w:t>
      </w:r>
    </w:p>
    <w:p w14:paraId="431FEAB5">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农用地整治：大力推进土地综合整治，统筹实施农用地集中连片整治、质量提升和生态化改造，开展高标准农田建设，严格保护已建成高标准农田，落实新增高标准农田建设任务，建设“稳产、节水、生态、美观” 的高标准农田。到 2035 年将具备条件的永久基本农田全部建设为高标准农田。</w:t>
      </w:r>
    </w:p>
    <w:p w14:paraId="530FAAA9">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设用地整理：适应宜居宜业和美乡村建设需要，统筹考虑区位条件、资源禀赋、环境容量、产业基础、历史文化传承以及农民住房、产业发展、公共服务、基础设施等各类建设用地需求，根据实施单元具备的基础条件和特点，对农村零散、闲置、低效建设用地进行整理盘活，统筹推进建设用地布局优化、村庄建设用地整理、废弃采矿用地复垦利用、集体经营性建设用地依法流转等，确保城镇开发边界规模和扩展倍数不突破、整治区域内建设用地总面积不增加，进一步提升土地资源配置效率和节约集约利用水平，为保障农民合理居住需求、乡村基础设施建设和产业发展提供用地支撑。</w:t>
      </w:r>
    </w:p>
    <w:p w14:paraId="6DAEB55B">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生态保护修复要求</w:t>
      </w:r>
    </w:p>
    <w:p w14:paraId="6A962C4E">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落实国土空间总体规划确定的生态保护修复区域及要求。以严守生态保护红线、改善农村人居环境、优化生态空间布局为目标，统筹考虑自然生态系统的完整性和联通性、乡村肌理格局以及基层群众对于和美乡村建设的需要，协同开展矿山生态修复、湿地与水域生态修复、山林生态修复等工作，加快宜居宜业和美乡村建设。</w:t>
      </w:r>
    </w:p>
    <w:p w14:paraId="135D2365">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矿山生态修复：坚持“谁开发、谁保护，谁污染、谁治理”的原则，重点加强关停矿山等区域山体修复，改善生态环境，提 高生态质量。引导矿业修复与乡村振兴有机结合，积极开展工矿废弃地整治复垦。针对历史遗留矿山主要采取自然恢复、辅助再生、生态重建、转型利用等生态修复方式；针对现有矿山，坚持“边开采边复垦复绿”，加强对矿山绿化修复工作的引导和监督。</w:t>
      </w:r>
    </w:p>
    <w:p w14:paraId="7AA9C645">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湿地与水域生态修复：优化滨河生态廊道环境。坚持“源头保护、沿线治污、两岸增绿、生态补水、中水回用” 的思路，持续实施流域生态保护工程。坚持水岸同治、河路共治，建设带状生态滨水空间， 以生态步道、慢行系统串联老城和新区。</w:t>
      </w:r>
    </w:p>
    <w:p w14:paraId="56E238CE">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山林生态修复：实施造林绿化行动，推行置换造林、购买式造林、碳汇造林等市场化运作机制，持续促进增绿增收双赢。重点抓好景区、林区、旅游林地建设，加强植树造林，进一步提高森林覆盖率。实施国省干道、旅游公路等道路两侧宜林荒山绿化工程，提升通道沿线两侧生态景观。</w:t>
      </w:r>
    </w:p>
    <w:p w14:paraId="03F3D84C">
      <w:pPr>
        <w:pStyle w:val="3"/>
        <w:numPr>
          <w:ilvl w:val="0"/>
          <w:numId w:val="13"/>
        </w:numPr>
        <w:spacing w:before="240" w:after="240"/>
        <w:ind w:left="0" w:firstLine="0"/>
        <w:jc w:val="center"/>
        <w:rPr>
          <w:rFonts w:hint="eastAsia" w:ascii="黑体" w:hAnsi="黑体" w:eastAsia="黑体"/>
          <w:color w:val="auto"/>
          <w:lang w:val="en-US" w:eastAsia="zh-CN"/>
        </w:rPr>
      </w:pPr>
      <w:bookmarkStart w:id="97" w:name="_Toc27888"/>
      <w:r>
        <w:rPr>
          <w:rFonts w:hint="eastAsia" w:ascii="黑体" w:hAnsi="黑体" w:eastAsia="黑体"/>
          <w:color w:val="auto"/>
          <w:lang w:val="en-US" w:eastAsia="zh-CN"/>
        </w:rPr>
        <w:t>建设控制</w:t>
      </w:r>
      <w:bookmarkEnd w:id="97"/>
    </w:p>
    <w:p w14:paraId="19FF716C">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村民住宅建设标准</w:t>
      </w:r>
    </w:p>
    <w:p w14:paraId="6409A4D0">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严格落实“一户一宅”政策，宅基用地面积按照下列标准执行：城郊、农村集镇和圩区，每户不得超过 160 平方米； 平原地区，每户不得超过 220 平方米，且要明确选址要求和宅基用地范围。</w:t>
      </w:r>
    </w:p>
    <w:p w14:paraId="7EFE3B36">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建筑间距</w:t>
      </w:r>
    </w:p>
    <w:p w14:paraId="749B37C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城镇开发边界外乡村建设用地内的建筑间距，应符合消防、环保、日照、空间景观、工程管线敷设和文物保护等方面的要求。</w:t>
      </w:r>
    </w:p>
    <w:p w14:paraId="3D33C043">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农村建筑间距应不妨害相邻权、地役权，应保证相邻房屋的正常采光和通行要求，并符合《农村防火规范（GB50039）》的规定。</w:t>
      </w:r>
    </w:p>
    <w:p w14:paraId="0A67871A">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农村的厂房、仓库、公共建筑和建筑高度超过 15 米的居住建筑的建筑间距应执行国家标准《 建筑设计防火规范（GB50016）》的规定。</w:t>
      </w:r>
    </w:p>
    <w:p w14:paraId="67B0FD3E">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集贸市场、厂房、仓库以及变压器、变电所（站）之间及与居住建筑的防火间距应符合现行国家标准《建筑设计防火规范（GB50016）》的要求。</w:t>
      </w:r>
    </w:p>
    <w:p w14:paraId="62962032">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建筑退界</w:t>
      </w:r>
    </w:p>
    <w:p w14:paraId="0836CF43">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筑用地界线和沿乡村道路、公路、河道、铁路、电力线路、工程管线布局的建筑物以及在文物保护单位、易燃易爆设施、城市基础设施周边布局的建筑物，其退让距离应符合消防、日照、环保、卫生、抗震、防洪、安全和文物保护等要求，必要时还应征求相关部门意见。</w:t>
      </w:r>
    </w:p>
    <w:p w14:paraId="36E3BAD1">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同一建筑在建筑间距和建筑退让等多重控制要求的情况下原则上按最大的控制距离执行。</w:t>
      </w:r>
    </w:p>
    <w:p w14:paraId="235A93B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建筑后退用地界线距离：建筑后退用地界线原则不低于 3 米。用地局限时，在满足消防、日照等要求的前提下，并经征得界外相邻用地单位同意，建筑后退用地界线距离可适当缩小或不作要求。</w:t>
      </w:r>
    </w:p>
    <w:p w14:paraId="5C93B4A5">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建筑后退公路距离：除高速公路防护、养护需要的建筑以外，其他建筑后退高速公路边沟外缘的距离不得小于 30 米；后退匝道、高速公路连接线外缘的距离不得小于 20 米；后退收费站的距离不得小于 50 米。</w:t>
      </w:r>
    </w:p>
    <w:p w14:paraId="4FB979C8">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根据《公路安全保护条例》规定，公路两侧建筑控制区范围从公路边沟外缘起：国道不少于 20 米；省道不少于 15 米；县道不少于 10 米； 乡道不少于 5 米。</w:t>
      </w:r>
    </w:p>
    <w:p w14:paraId="56CFE7C6">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建筑后退高压架空电力线路距离：建筑后退高压架空电力线路边导线的距离为：35 千伏、66千伏、110 千伏电力线，不小于 10 米；220 千伏、330 千伏电力线，不小于 15 米；500 千伏电力线，不小于 30 米，用地局限时，建筑后退高压架空电力线路边导线的距离可适当缩小，但应符合在最大计算风偏情况下的安全距离要求。</w:t>
      </w:r>
    </w:p>
    <w:p w14:paraId="5F64BB36">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建筑退让村庄内部道路距离：村庄建筑、围墙距村庄内部支路的距离不应小于 1 米，距村庄内部主要道路的距离不应小于 2 米。临路方向后退距离如村内有约定的，按照约定退让距离执行。临路方向宜与同侧现状建筑外墙面边界齐平，保证沿路建筑的整齐美观。</w:t>
      </w:r>
    </w:p>
    <w:p w14:paraId="446B3100">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建筑高度</w:t>
      </w:r>
    </w:p>
    <w:p w14:paraId="72D06D1D">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建筑物的高度应符合日照、消防、建筑间距、乡村景观、节地等方面的要求，按照《青龙集镇乡村建设用地通则式管理控制指标表》规定控制。</w:t>
      </w:r>
    </w:p>
    <w:p w14:paraId="426F4651">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在各级文物保护建筑周围的建设控制地带内以及与历史风貌建筑、风景名胜区相邻的新建、扩建、改建各类建（构）筑物，其建筑高度必须符合文物古迹和历史风貌建筑保护的有关规定，并按相关保护规划执行。</w:t>
      </w:r>
    </w:p>
    <w:p w14:paraId="66C536F8">
      <w:pPr>
        <w:pStyle w:val="3"/>
        <w:numPr>
          <w:ilvl w:val="0"/>
          <w:numId w:val="13"/>
        </w:numPr>
        <w:spacing w:before="240" w:after="240"/>
        <w:ind w:left="0" w:firstLine="0"/>
        <w:jc w:val="center"/>
        <w:rPr>
          <w:rFonts w:hint="eastAsia" w:ascii="黑体" w:hAnsi="黑体" w:eastAsia="黑体"/>
          <w:color w:val="auto"/>
          <w:lang w:val="en-US" w:eastAsia="zh-CN"/>
        </w:rPr>
      </w:pPr>
      <w:bookmarkStart w:id="98" w:name="_Toc12949"/>
      <w:r>
        <w:rPr>
          <w:rFonts w:hint="eastAsia" w:ascii="黑体" w:hAnsi="黑体" w:eastAsia="黑体"/>
          <w:color w:val="auto"/>
          <w:lang w:val="en-US" w:eastAsia="zh-CN"/>
        </w:rPr>
        <w:t>交通组织</w:t>
      </w:r>
      <w:bookmarkEnd w:id="98"/>
    </w:p>
    <w:p w14:paraId="1CFEEDD0">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村庄道路</w:t>
      </w:r>
    </w:p>
    <w:p w14:paraId="488C4554">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村庄道路根据其在路网中的交通功能及对沿线居民的服务功能，分为干路、支路和巷道三级。村庄道路红线内可包含机动车道、非机动车道、人行道、设施带、绿化、路肩、边沟等设施。村庄道路红线宽度应根据道路设施和地下管线综合确定，干路及支路两侧应设置路灯和必要的指示牌。村庄应完善通村组道路和入户道路建设，并预留消防通道。村庄道路空间规划应与村庄风貌相协调。</w:t>
      </w:r>
    </w:p>
    <w:p w14:paraId="74AC57FD">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公共停车场</w:t>
      </w:r>
    </w:p>
    <w:p w14:paraId="32C6DB07">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村庄停车设施应根据村庄的实际停车需求适度建设公共停车场。公共停车场宜分散布局，可利用村内闲置地、边角地、未利用地，并宜靠近公共服务设施。农村村民住房小汽车停车位可结合农房入户空间停放，停放比例宜1辆／户。</w:t>
      </w:r>
    </w:p>
    <w:p w14:paraId="1C3858EE">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充电设施</w:t>
      </w:r>
    </w:p>
    <w:p w14:paraId="2F4D7436">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农村充电设施的布局应符合相关专项规划的要求，应满足环境保护和消防安全的要求，选址应考虑配电网、环境、风向等因素。按照《电动汽车充电基础设施技术标准》（DBJ04/T398-2019），社会公共停车场充电车位直接建设的配建比例要达到15%。</w:t>
      </w:r>
    </w:p>
    <w:p w14:paraId="4252E9E2">
      <w:pPr>
        <w:pStyle w:val="3"/>
        <w:numPr>
          <w:ilvl w:val="0"/>
          <w:numId w:val="13"/>
        </w:numPr>
        <w:spacing w:before="240" w:after="240"/>
        <w:ind w:left="0" w:firstLine="0"/>
        <w:jc w:val="center"/>
        <w:rPr>
          <w:rFonts w:hint="eastAsia" w:ascii="黑体" w:hAnsi="黑体" w:eastAsia="黑体"/>
          <w:color w:val="auto"/>
          <w:lang w:val="en-US" w:eastAsia="zh-CN"/>
        </w:rPr>
      </w:pPr>
      <w:bookmarkStart w:id="99" w:name="_Toc10941"/>
      <w:r>
        <w:rPr>
          <w:rFonts w:hint="eastAsia" w:ascii="黑体" w:hAnsi="黑体" w:eastAsia="黑体"/>
          <w:color w:val="auto"/>
          <w:lang w:val="en-US" w:eastAsia="zh-CN"/>
        </w:rPr>
        <w:t>人居环境整治与风貌提升</w:t>
      </w:r>
      <w:bookmarkEnd w:id="99"/>
    </w:p>
    <w:p w14:paraId="56C41B8F">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人居环境整治要求</w:t>
      </w:r>
    </w:p>
    <w:p w14:paraId="29D4070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统筹生态生产生活融合，根据村庄发展水平及自身条件，综合考虑乡村发展规律和村民诉求，因地制宜推进乡村人居环境整治工作。主要任务包括厕所革命、污水治理、生产生活垃圾治理三个方面，以农业为主要产业的村庄还应强化农膜以及其他农业生产废弃物的处置和资源化利用。</w:t>
      </w:r>
    </w:p>
    <w:p w14:paraId="7A99ECB3">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厕所革命：合理规划布局农村公共厕所，加快建设乡村景区旅游厕所，落实公共厕所管护责任，强化日常卫生保洁。科学选择改厕技术模式，宜水则水、宜旱则旱。加强厕所粪污无害化处理与资源化利用。</w:t>
      </w:r>
    </w:p>
    <w:p w14:paraId="5E94B4CB">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污水治理：以资源化利用、可持续治理为导向，选择符合农村实际的生活污水治理技术，优先推广运行费用低、管护简便的治理技术。以房前屋后河塘沟渠和群众反映强烈的黑臭水体为重点，采取控源截污、清淤疏浚、生态修复、水体净化等措施综合治理。</w:t>
      </w:r>
    </w:p>
    <w:p w14:paraId="3B81F3E3">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生产生活垃圾治理：完善农村生活垃圾收集、转运、处置设施和模式，因地制宜采用小型化、分散化的无害化处理方式，推进农村生活垃圾分类减量与利用。</w:t>
      </w:r>
    </w:p>
    <w:p w14:paraId="50D99788">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景观风貌指引要求</w:t>
      </w:r>
    </w:p>
    <w:p w14:paraId="4E64D49C">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深入实施乡村绿化美化行动，突出保护乡村山体田园、河湖湿地、原生植被、古树名木等，引导鼓励村民通过栽植果蔬、花木等开展庭院绿化，通过农村“ 四旁”（水旁、路旁、村旁、宅旁）植树推进村庄绿化，充分利用荒地、废弃地、边角地等开展村庄小微公园和公共绿地建设。</w:t>
      </w:r>
    </w:p>
    <w:p w14:paraId="22E77E21">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统筹引导建筑风格，充分注重村民生活习惯和特色文化传承，按照以人为本的总体导向，营造乡土建筑与场景。新建和进行外立面改造的乡村建设项目及村民住房立面可以参照《安徽省（皖北片区）农房设计图集》和《安徽省和美乡村农房设计图集》，对建筑高度、体量、造型、风格和色调等进行指导。各乡镇可结合自身特征对风貌进行统一管控，既要注重村居整体风貌，又要注重农房单体设计，实现具有传统特色的建筑形式。在文物保护单位建设控制区内修建新建筑和构筑物，应按文物保护法律法规及有关规范执行，不得破坏文物保护单位的环境风貌。</w:t>
      </w:r>
    </w:p>
    <w:p w14:paraId="29CA5E89">
      <w:pPr>
        <w:pStyle w:val="3"/>
        <w:numPr>
          <w:ilvl w:val="0"/>
          <w:numId w:val="13"/>
        </w:numPr>
        <w:spacing w:before="240" w:after="240"/>
        <w:ind w:left="0" w:firstLine="0"/>
        <w:jc w:val="center"/>
        <w:rPr>
          <w:rFonts w:hint="eastAsia" w:ascii="黑体" w:hAnsi="黑体" w:eastAsia="黑体"/>
          <w:color w:val="auto"/>
          <w:lang w:val="en-US" w:eastAsia="zh-CN"/>
        </w:rPr>
      </w:pPr>
      <w:bookmarkStart w:id="100" w:name="_Toc4784"/>
      <w:r>
        <w:rPr>
          <w:rFonts w:hint="eastAsia" w:ascii="黑体" w:hAnsi="黑体" w:eastAsia="黑体"/>
          <w:color w:val="auto"/>
          <w:lang w:val="en-US" w:eastAsia="zh-CN"/>
        </w:rPr>
        <w:t>通用图则</w:t>
      </w:r>
      <w:bookmarkEnd w:id="100"/>
    </w:p>
    <w:p w14:paraId="1AF7D419">
      <w:pPr>
        <w:pStyle w:val="13"/>
        <w:keepNext w:val="0"/>
        <w:keepLines w:val="0"/>
        <w:pageBreakBefore w:val="0"/>
        <w:widowControl w:val="0"/>
        <w:kinsoku/>
        <w:wordWrap/>
        <w:overflowPunct/>
        <w:topLinePunct w:val="0"/>
        <w:autoSpaceDE w:val="0"/>
        <w:autoSpaceDN w:val="0"/>
        <w:bidi w:val="0"/>
        <w:adjustRightInd/>
        <w:snapToGrid/>
        <w:spacing w:before="0" w:beforeLines="0" w:line="360" w:lineRule="auto"/>
        <w:ind w:left="0" w:leftChars="0" w:right="110" w:firstLine="681" w:firstLineChars="213"/>
        <w:textAlignment w:val="auto"/>
        <w:rPr>
          <w:rFonts w:hint="eastAsia" w:eastAsia="仿宋_GB2312"/>
          <w:color w:val="auto"/>
          <w:highlight w:val="none"/>
          <w:lang w:eastAsia="zh-CN"/>
        </w:rPr>
      </w:pPr>
      <w:r>
        <w:rPr>
          <w:rFonts w:hint="default" w:eastAsia="仿宋_GB2312"/>
          <w:color w:val="auto"/>
          <w:highlight w:val="none"/>
          <w:lang w:val="en-US" w:eastAsia="zh-CN"/>
        </w:rPr>
        <w:t>通用图则包括重要控制线分布图则和地块控制图则。</w:t>
      </w:r>
    </w:p>
    <w:p w14:paraId="64F461BD">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图则管控</w:t>
      </w:r>
    </w:p>
    <w:p w14:paraId="6AFCF676">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重要控制线分布图则应落实上位规划划定的相关重要控制线空间分布和面积。</w:t>
      </w:r>
    </w:p>
    <w:p w14:paraId="6EEDA826">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地块控制图则设置规划条件要遵守相关技术规范和标准，应因地制宜，与村庄风貌、周边环境相协调。经审定的规划图则，是规划管理和行政许可的依据，应按要求的数据标准形成矢量数据。</w:t>
      </w:r>
    </w:p>
    <w:p w14:paraId="450DC502">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制图要求</w:t>
      </w:r>
    </w:p>
    <w:p w14:paraId="7DA38B33">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重要控制线分布图则应表达包括耕地和永久基本农田保护红线、生态保护红线、村庄建设边界、历史文化保护线、灾害风险控制线等重要控制线空间分布。可在图中插入表格，明确重要控制线划定面积。</w:t>
      </w:r>
    </w:p>
    <w:p w14:paraId="0E7F7F0A">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地块控制图则应表达地块位置、用地面积、用地性质、容积率、建筑高度、建筑密度、建筑退让等控制内容，包括建筑风貌、设施配套等控制内容。</w:t>
      </w:r>
    </w:p>
    <w:p w14:paraId="239BBF60">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程序要求</w:t>
      </w:r>
    </w:p>
    <w:p w14:paraId="69B44A9C">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通用图则由镇人民政府组织编制，由县自然资源和规划局组织技术审查和论证，镇人民政府组织村（居）民委员会审议和村（居）民会议或村（居）民代表会议讨论通过，并在村（居）内公示栏或镇人民政府官方网站公示，公示时间不得少于30日。公示期满无异议后，报县人民政府批准，经县自然资源和规划主管部门备案后施行。</w:t>
      </w:r>
    </w:p>
    <w:p w14:paraId="66F4A86C">
      <w:pPr>
        <w:pStyle w:val="3"/>
        <w:numPr>
          <w:ilvl w:val="0"/>
          <w:numId w:val="13"/>
        </w:numPr>
        <w:spacing w:before="240" w:after="240"/>
        <w:ind w:left="0" w:firstLine="0"/>
        <w:jc w:val="center"/>
        <w:rPr>
          <w:rFonts w:hint="eastAsia" w:ascii="黑体" w:hAnsi="黑体" w:eastAsia="黑体"/>
          <w:color w:val="auto"/>
          <w:lang w:val="en-US" w:eastAsia="zh-CN"/>
        </w:rPr>
      </w:pPr>
      <w:bookmarkStart w:id="101" w:name="_Toc9863"/>
      <w:r>
        <w:rPr>
          <w:rFonts w:hint="eastAsia" w:ascii="黑体" w:hAnsi="黑体" w:eastAsia="黑体"/>
          <w:color w:val="auto"/>
          <w:lang w:val="en-US" w:eastAsia="zh-CN"/>
        </w:rPr>
        <w:t>实施管理规定</w:t>
      </w:r>
      <w:bookmarkEnd w:id="101"/>
    </w:p>
    <w:p w14:paraId="0E6A28F5">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加强实施监督</w:t>
      </w:r>
    </w:p>
    <w:p w14:paraId="5BCC950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强化日常监督管理，工作过程中要注重实现全流程、多方式的公众参与，广泛征求当地村民、村委和相关部门等意见，积极向公众宣传。</w:t>
      </w:r>
    </w:p>
    <w:p w14:paraId="357FE049">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其他事项</w:t>
      </w:r>
    </w:p>
    <w:p w14:paraId="0A10BA8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“通则式”成果不得与法律法规和有关政策冲突。</w:t>
      </w:r>
    </w:p>
    <w:p w14:paraId="40C0F4EF">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成果要求</w:t>
      </w:r>
    </w:p>
    <w:p w14:paraId="7D0BA6AE">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乡村地区“通则式”规划技术管理规定成果包含“文本”、“图则”。</w:t>
      </w:r>
    </w:p>
    <w:p w14:paraId="06526021">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“文本”主要以条文形式对底线管控、规划管理规定等内容进行阐述，言简意骸、通俗易懂，可纳入“村规民约”。</w:t>
      </w:r>
    </w:p>
    <w:p w14:paraId="702D598C">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“图则”主要为重要控制线分布和地块控制图则，清晰易识别。</w:t>
      </w:r>
    </w:p>
    <w:p w14:paraId="131FE4C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规划数据库建设应符合国土空间规划“一张图”统一标准和要求，纳入县级国土空间规划数据库，可不单独建设规划数据库。</w:t>
      </w:r>
    </w:p>
    <w:p w14:paraId="09E60AC1">
      <w:pPr>
        <w:pStyle w:val="46"/>
        <w:spacing w:before="0" w:line="360" w:lineRule="auto"/>
        <w:ind w:left="0" w:right="108" w:firstLine="675" w:firstLineChars="200"/>
        <w:rPr>
          <w:rFonts w:eastAsia="仿宋"/>
          <w:color w:val="auto"/>
          <w:w w:val="105"/>
          <w:sz w:val="32"/>
          <w:highlight w:val="none"/>
        </w:rPr>
      </w:pPr>
      <w:r>
        <w:rPr>
          <w:rFonts w:hint="eastAsia" w:eastAsia="仿宋"/>
          <w:color w:val="auto"/>
          <w:w w:val="105"/>
          <w:sz w:val="32"/>
          <w:highlight w:val="none"/>
          <w:lang w:val="en-US" w:eastAsia="zh-CN"/>
        </w:rPr>
        <w:t>规划许可</w:t>
      </w:r>
    </w:p>
    <w:p w14:paraId="236A022A">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依据《村庄规划许可依据一览表》规定的情形，核发规划许可存在以下三类情形：</w:t>
      </w:r>
    </w:p>
    <w:p w14:paraId="2D658BA4">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（1）√：可直接依据“通则”核发许可的项目，按照用地指引及相关要求，直接核发乡村建设规划许可。</w:t>
      </w:r>
    </w:p>
    <w:p w14:paraId="0AACC4FF">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（2）+：在“通则”的基础上补充编制重点地块图则的项目，审查通过后图则公示30天无异议后，办理乡村建设规划许可。</w:t>
      </w:r>
    </w:p>
    <w:p w14:paraId="3F12675B">
      <w:pPr>
        <w:pStyle w:val="13"/>
        <w:autoSpaceDE/>
        <w:autoSpaceDN/>
        <w:spacing w:before="0" w:beforeLines="0" w:line="360" w:lineRule="auto"/>
        <w:ind w:left="0" w:leftChars="0" w:right="0" w:rightChars="0" w:firstLine="640" w:firstLineChars="0"/>
        <w:contextualSpacing/>
        <w:rPr>
          <w:rFonts w:hint="eastAsia" w:ascii="Times New Roman" w:hAnsi="Times New Roman" w:eastAsia="仿宋_GB2312" w:cs="Times New Roman"/>
          <w:color w:val="auto"/>
          <w:highlight w:val="none"/>
          <w:lang w:val="en-US" w:eastAsia="zh-CN"/>
        </w:rPr>
      </w:pPr>
      <w:r>
        <w:rPr>
          <w:rFonts w:hint="eastAsia" w:ascii="Times New Roman" w:hAnsi="Times New Roman" w:eastAsia="仿宋_GB2312" w:cs="Times New Roman"/>
          <w:color w:val="auto"/>
          <w:highlight w:val="none"/>
          <w:lang w:val="en-US" w:eastAsia="zh-CN"/>
        </w:rPr>
        <w:t>（3）×：不适用“通则”的项目，编制规划落实方案或详细规划（村庄规划），经县级人民政府批准后作为核发规划许可的依据。</w:t>
      </w:r>
    </w:p>
    <w:tbl>
      <w:tblPr>
        <w:tblStyle w:val="26"/>
        <w:tblW w:w="50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371"/>
        <w:gridCol w:w="1375"/>
        <w:gridCol w:w="2818"/>
        <w:gridCol w:w="599"/>
        <w:gridCol w:w="494"/>
        <w:gridCol w:w="419"/>
        <w:gridCol w:w="1911"/>
      </w:tblGrid>
      <w:tr w14:paraId="630F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5000" w:type="pct"/>
            <w:gridSpan w:val="7"/>
            <w:shd w:val="clear" w:color="auto" w:fill="auto"/>
            <w:vAlign w:val="center"/>
          </w:tcPr>
          <w:p w14:paraId="4313596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val="en-US" w:eastAsia="zh-CN"/>
              </w:rPr>
            </w:pPr>
            <w:r>
              <w:rPr>
                <w:rFonts w:hint="default" w:ascii="Times New Roman" w:hAnsi="Times New Roman" w:eastAsia="仿宋_GB2312" w:cs="Times New Roman"/>
                <w:b/>
                <w:bCs/>
                <w:color w:val="auto"/>
                <w:sz w:val="28"/>
                <w:szCs w:val="28"/>
                <w:highlight w:val="none"/>
                <w:lang w:val="en-US" w:eastAsia="zh-CN"/>
              </w:rPr>
              <w:t>专栏：村庄规划许可依据一览表</w:t>
            </w:r>
          </w:p>
        </w:tc>
      </w:tr>
      <w:tr w14:paraId="0545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528" w:type="pct"/>
            <w:gridSpan w:val="2"/>
            <w:vMerge w:val="restart"/>
            <w:shd w:val="clear" w:color="auto" w:fill="auto"/>
            <w:vAlign w:val="center"/>
          </w:tcPr>
          <w:p w14:paraId="133D875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用地类型</w:t>
            </w:r>
          </w:p>
        </w:tc>
        <w:tc>
          <w:tcPr>
            <w:tcW w:w="1568" w:type="pct"/>
            <w:vMerge w:val="restart"/>
            <w:shd w:val="clear" w:color="auto" w:fill="auto"/>
            <w:vAlign w:val="center"/>
          </w:tcPr>
          <w:p w14:paraId="70AF709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具体建设内容</w:t>
            </w:r>
          </w:p>
        </w:tc>
        <w:tc>
          <w:tcPr>
            <w:tcW w:w="1903" w:type="pct"/>
            <w:gridSpan w:val="4"/>
            <w:shd w:val="clear" w:color="auto" w:fill="auto"/>
            <w:vAlign w:val="center"/>
          </w:tcPr>
          <w:p w14:paraId="2D05239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土地利用情况</w:t>
            </w:r>
          </w:p>
        </w:tc>
      </w:tr>
      <w:tr w14:paraId="2FA9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5" w:hRule="atLeast"/>
          <w:jc w:val="center"/>
        </w:trPr>
        <w:tc>
          <w:tcPr>
            <w:tcW w:w="1528" w:type="pct"/>
            <w:gridSpan w:val="2"/>
            <w:vMerge w:val="continue"/>
            <w:shd w:val="clear" w:color="auto" w:fill="auto"/>
            <w:vAlign w:val="center"/>
          </w:tcPr>
          <w:p w14:paraId="3D1C3D29">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vMerge w:val="continue"/>
            <w:shd w:val="clear" w:color="auto" w:fill="auto"/>
            <w:vAlign w:val="center"/>
          </w:tcPr>
          <w:p w14:paraId="2CA8011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333" w:type="pct"/>
            <w:vMerge w:val="restart"/>
            <w:shd w:val="clear" w:color="auto" w:fill="auto"/>
            <w:vAlign w:val="center"/>
          </w:tcPr>
          <w:p w14:paraId="393D672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新增</w:t>
            </w:r>
          </w:p>
          <w:p w14:paraId="56F07A4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建设用地</w:t>
            </w:r>
          </w:p>
        </w:tc>
        <w:tc>
          <w:tcPr>
            <w:tcW w:w="1570" w:type="pct"/>
            <w:gridSpan w:val="3"/>
            <w:shd w:val="clear" w:color="auto" w:fill="auto"/>
            <w:vAlign w:val="center"/>
          </w:tcPr>
          <w:p w14:paraId="090ED1F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存量建设用地</w:t>
            </w:r>
          </w:p>
        </w:tc>
      </w:tr>
      <w:tr w14:paraId="0144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1528" w:type="pct"/>
            <w:gridSpan w:val="2"/>
            <w:vMerge w:val="continue"/>
            <w:shd w:val="clear" w:color="auto" w:fill="auto"/>
            <w:vAlign w:val="center"/>
          </w:tcPr>
          <w:p w14:paraId="3449C91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vMerge w:val="continue"/>
            <w:shd w:val="clear" w:color="auto" w:fill="auto"/>
            <w:vAlign w:val="center"/>
          </w:tcPr>
          <w:p w14:paraId="010EF36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333" w:type="pct"/>
            <w:vMerge w:val="continue"/>
            <w:shd w:val="clear" w:color="auto" w:fill="auto"/>
            <w:vAlign w:val="center"/>
          </w:tcPr>
          <w:p w14:paraId="77E3EE6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275" w:type="pct"/>
            <w:vMerge w:val="restart"/>
            <w:shd w:val="clear" w:color="auto" w:fill="auto"/>
            <w:vAlign w:val="center"/>
          </w:tcPr>
          <w:p w14:paraId="0799543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改变</w:t>
            </w:r>
          </w:p>
          <w:p w14:paraId="278F5DA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用途</w:t>
            </w:r>
          </w:p>
        </w:tc>
        <w:tc>
          <w:tcPr>
            <w:tcW w:w="1294" w:type="pct"/>
            <w:gridSpan w:val="2"/>
            <w:shd w:val="clear" w:color="auto" w:fill="auto"/>
            <w:vAlign w:val="center"/>
          </w:tcPr>
          <w:p w14:paraId="2F5307A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使用原用途</w:t>
            </w:r>
          </w:p>
        </w:tc>
      </w:tr>
      <w:tr w14:paraId="1B493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1528" w:type="pct"/>
            <w:gridSpan w:val="2"/>
            <w:vMerge w:val="continue"/>
            <w:shd w:val="clear" w:color="auto" w:fill="auto"/>
            <w:vAlign w:val="center"/>
          </w:tcPr>
          <w:p w14:paraId="4EA0D41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vMerge w:val="continue"/>
            <w:shd w:val="clear" w:color="auto" w:fill="auto"/>
            <w:vAlign w:val="center"/>
          </w:tcPr>
          <w:p w14:paraId="6787FA84">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333" w:type="pct"/>
            <w:vMerge w:val="continue"/>
            <w:shd w:val="clear" w:color="auto" w:fill="auto"/>
            <w:vAlign w:val="center"/>
          </w:tcPr>
          <w:p w14:paraId="6122FCC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275" w:type="pct"/>
            <w:vMerge w:val="continue"/>
            <w:shd w:val="clear" w:color="auto" w:fill="auto"/>
            <w:vAlign w:val="center"/>
          </w:tcPr>
          <w:p w14:paraId="4FC2317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233" w:type="pct"/>
            <w:shd w:val="clear" w:color="auto" w:fill="auto"/>
            <w:vAlign w:val="center"/>
          </w:tcPr>
          <w:p w14:paraId="4719689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扩建</w:t>
            </w:r>
          </w:p>
        </w:tc>
        <w:tc>
          <w:tcPr>
            <w:tcW w:w="1061" w:type="pct"/>
            <w:shd w:val="clear" w:color="auto" w:fill="auto"/>
            <w:vAlign w:val="center"/>
          </w:tcPr>
          <w:p w14:paraId="7F96F644">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重建、翻建</w:t>
            </w:r>
          </w:p>
          <w:p w14:paraId="7A38E32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（包括不扩大面积、高度的改建）</w:t>
            </w:r>
          </w:p>
        </w:tc>
      </w:tr>
      <w:tr w14:paraId="6E76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1528" w:type="pct"/>
            <w:gridSpan w:val="2"/>
            <w:vMerge w:val="restart"/>
            <w:shd w:val="clear" w:color="auto" w:fill="auto"/>
            <w:vAlign w:val="center"/>
          </w:tcPr>
          <w:p w14:paraId="3CEB2D5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农村宅基地（0703地类）</w:t>
            </w:r>
          </w:p>
        </w:tc>
        <w:tc>
          <w:tcPr>
            <w:tcW w:w="1568" w:type="pct"/>
            <w:shd w:val="clear" w:color="auto" w:fill="auto"/>
            <w:vAlign w:val="center"/>
          </w:tcPr>
          <w:p w14:paraId="1FBA527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单宗独户或单宗联排</w:t>
            </w:r>
          </w:p>
        </w:tc>
        <w:tc>
          <w:tcPr>
            <w:tcW w:w="333" w:type="pct"/>
            <w:shd w:val="clear" w:color="auto" w:fill="auto"/>
            <w:vAlign w:val="center"/>
          </w:tcPr>
          <w:p w14:paraId="02A587C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293F9EC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76A40B6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379BF599">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0559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528" w:type="pct"/>
            <w:gridSpan w:val="2"/>
            <w:vMerge w:val="continue"/>
            <w:shd w:val="clear" w:color="auto" w:fill="auto"/>
            <w:vAlign w:val="center"/>
          </w:tcPr>
          <w:p w14:paraId="4870265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shd w:val="clear" w:color="auto" w:fill="auto"/>
            <w:vAlign w:val="center"/>
          </w:tcPr>
          <w:p w14:paraId="6C6999F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用地规模3亩以上的集中安置</w:t>
            </w:r>
          </w:p>
        </w:tc>
        <w:tc>
          <w:tcPr>
            <w:tcW w:w="333" w:type="pct"/>
            <w:shd w:val="clear" w:color="auto" w:fill="auto"/>
            <w:vAlign w:val="center"/>
          </w:tcPr>
          <w:p w14:paraId="7D673E3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42D601B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26D202A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33EEBFD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586BD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1528" w:type="pct"/>
            <w:gridSpan w:val="2"/>
            <w:shd w:val="clear" w:color="auto" w:fill="auto"/>
            <w:vAlign w:val="center"/>
          </w:tcPr>
          <w:p w14:paraId="5CC0A5B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农村社区服务设施用地</w:t>
            </w:r>
          </w:p>
          <w:p w14:paraId="1BF0510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（0704地类）</w:t>
            </w:r>
          </w:p>
        </w:tc>
        <w:tc>
          <w:tcPr>
            <w:tcW w:w="1568" w:type="pct"/>
            <w:shd w:val="clear" w:color="auto" w:fill="auto"/>
            <w:vAlign w:val="center"/>
          </w:tcPr>
          <w:p w14:paraId="0A46E62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村委会、农村卫生服务站、休息亭、文化礼堂、宗祠、体育健身点等</w:t>
            </w:r>
          </w:p>
        </w:tc>
        <w:tc>
          <w:tcPr>
            <w:tcW w:w="333" w:type="pct"/>
            <w:shd w:val="clear" w:color="auto" w:fill="auto"/>
            <w:vAlign w:val="center"/>
          </w:tcPr>
          <w:p w14:paraId="0417A3E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25671C4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575C6E3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5360CB4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5AEC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restart"/>
            <w:shd w:val="clear" w:color="auto" w:fill="auto"/>
            <w:vAlign w:val="center"/>
          </w:tcPr>
          <w:p w14:paraId="503B686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公共管理与公</w:t>
            </w:r>
          </w:p>
          <w:p w14:paraId="12491CD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共服务用地</w:t>
            </w:r>
          </w:p>
          <w:p w14:paraId="1F46CFF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（08地类）</w:t>
            </w:r>
          </w:p>
        </w:tc>
        <w:tc>
          <w:tcPr>
            <w:tcW w:w="765" w:type="pct"/>
            <w:shd w:val="clear" w:color="auto" w:fill="auto"/>
            <w:vAlign w:val="center"/>
          </w:tcPr>
          <w:p w14:paraId="792D369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幼儿园用地</w:t>
            </w:r>
          </w:p>
        </w:tc>
        <w:tc>
          <w:tcPr>
            <w:tcW w:w="1568" w:type="pct"/>
            <w:shd w:val="clear" w:color="auto" w:fill="auto"/>
            <w:vAlign w:val="center"/>
          </w:tcPr>
          <w:p w14:paraId="1F2ED9C9">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幼儿园</w:t>
            </w:r>
          </w:p>
        </w:tc>
        <w:tc>
          <w:tcPr>
            <w:tcW w:w="333" w:type="pct"/>
            <w:shd w:val="clear" w:color="auto" w:fill="auto"/>
            <w:vAlign w:val="center"/>
          </w:tcPr>
          <w:p w14:paraId="5FCF680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0B8D816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7CE2755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319EBF3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5668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4319084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shd w:val="clear" w:color="auto" w:fill="auto"/>
            <w:vAlign w:val="center"/>
          </w:tcPr>
          <w:p w14:paraId="5147F92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基层医疗卫生设施用地</w:t>
            </w:r>
          </w:p>
        </w:tc>
        <w:tc>
          <w:tcPr>
            <w:tcW w:w="1568" w:type="pct"/>
            <w:shd w:val="clear" w:color="auto" w:fill="auto"/>
            <w:vAlign w:val="center"/>
          </w:tcPr>
          <w:p w14:paraId="6D9CE97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卫生院</w:t>
            </w:r>
          </w:p>
        </w:tc>
        <w:tc>
          <w:tcPr>
            <w:tcW w:w="333" w:type="pct"/>
            <w:shd w:val="clear" w:color="auto" w:fill="auto"/>
            <w:vAlign w:val="center"/>
          </w:tcPr>
          <w:p w14:paraId="69B75BF4">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0256FCD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3CEE466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5667AB2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5E06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3022E1F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vMerge w:val="restart"/>
            <w:shd w:val="clear" w:color="auto" w:fill="auto"/>
            <w:vAlign w:val="center"/>
          </w:tcPr>
          <w:p w14:paraId="6CF44CA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老年人社会福利用地</w:t>
            </w:r>
          </w:p>
        </w:tc>
        <w:tc>
          <w:tcPr>
            <w:tcW w:w="1568" w:type="pct"/>
            <w:shd w:val="clear" w:color="auto" w:fill="auto"/>
            <w:vAlign w:val="center"/>
          </w:tcPr>
          <w:p w14:paraId="55352E0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养老院</w:t>
            </w:r>
          </w:p>
        </w:tc>
        <w:tc>
          <w:tcPr>
            <w:tcW w:w="333" w:type="pct"/>
            <w:shd w:val="clear" w:color="auto" w:fill="auto"/>
            <w:vAlign w:val="center"/>
          </w:tcPr>
          <w:p w14:paraId="0356BAA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4DA0792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2DD67D8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08BFCFD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1261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6AD5DAA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vMerge w:val="continue"/>
            <w:shd w:val="clear" w:color="auto" w:fill="auto"/>
            <w:vAlign w:val="center"/>
          </w:tcPr>
          <w:p w14:paraId="1BD1532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shd w:val="clear" w:color="auto" w:fill="auto"/>
            <w:vAlign w:val="center"/>
          </w:tcPr>
          <w:p w14:paraId="1B024A3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居家养老服务中心</w:t>
            </w:r>
          </w:p>
        </w:tc>
        <w:tc>
          <w:tcPr>
            <w:tcW w:w="333" w:type="pct"/>
            <w:shd w:val="clear" w:color="auto" w:fill="auto"/>
            <w:vAlign w:val="center"/>
          </w:tcPr>
          <w:p w14:paraId="55CA2FD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1333C889">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18ACBD2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4A39104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0F69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26B7A03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shd w:val="clear" w:color="auto" w:fill="auto"/>
            <w:vAlign w:val="center"/>
          </w:tcPr>
          <w:p w14:paraId="61D7BE9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儿童社会福利用地</w:t>
            </w:r>
          </w:p>
        </w:tc>
        <w:tc>
          <w:tcPr>
            <w:tcW w:w="1568" w:type="pct"/>
            <w:shd w:val="clear" w:color="auto" w:fill="auto"/>
            <w:vAlign w:val="center"/>
          </w:tcPr>
          <w:p w14:paraId="20EBCFD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留守儿童福利院</w:t>
            </w:r>
          </w:p>
        </w:tc>
        <w:tc>
          <w:tcPr>
            <w:tcW w:w="333" w:type="pct"/>
            <w:shd w:val="clear" w:color="auto" w:fill="auto"/>
            <w:vAlign w:val="center"/>
          </w:tcPr>
          <w:p w14:paraId="0621D80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55251B7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75A8D70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046054E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36E0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shd w:val="clear" w:color="auto" w:fill="auto"/>
            <w:vAlign w:val="center"/>
          </w:tcPr>
          <w:p w14:paraId="3025BF7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工业用地（1001地类）</w:t>
            </w:r>
          </w:p>
        </w:tc>
        <w:tc>
          <w:tcPr>
            <w:tcW w:w="765" w:type="pct"/>
            <w:shd w:val="clear" w:color="auto" w:fill="auto"/>
            <w:vAlign w:val="center"/>
          </w:tcPr>
          <w:p w14:paraId="6BAEADC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一、二类工业用地</w:t>
            </w:r>
          </w:p>
        </w:tc>
        <w:tc>
          <w:tcPr>
            <w:tcW w:w="1568" w:type="pct"/>
            <w:shd w:val="clear" w:color="auto" w:fill="auto"/>
            <w:vAlign w:val="center"/>
          </w:tcPr>
          <w:p w14:paraId="79974A6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用于农产品初加工的产业用地</w:t>
            </w:r>
          </w:p>
        </w:tc>
        <w:tc>
          <w:tcPr>
            <w:tcW w:w="333" w:type="pct"/>
            <w:shd w:val="clear" w:color="auto" w:fill="auto"/>
            <w:vAlign w:val="center"/>
          </w:tcPr>
          <w:p w14:paraId="0E991E9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207E952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4C7C482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687E15A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r>
      <w:tr w14:paraId="77CA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528" w:type="pct"/>
            <w:gridSpan w:val="2"/>
            <w:shd w:val="clear" w:color="auto" w:fill="auto"/>
            <w:vAlign w:val="center"/>
          </w:tcPr>
          <w:p w14:paraId="114CE69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物流仓储用地（1101地类）</w:t>
            </w:r>
          </w:p>
        </w:tc>
        <w:tc>
          <w:tcPr>
            <w:tcW w:w="1568" w:type="pct"/>
            <w:shd w:val="clear" w:color="auto" w:fill="auto"/>
            <w:vAlign w:val="center"/>
          </w:tcPr>
          <w:p w14:paraId="7E302ED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物流快递中转点</w:t>
            </w:r>
          </w:p>
        </w:tc>
        <w:tc>
          <w:tcPr>
            <w:tcW w:w="333" w:type="pct"/>
            <w:shd w:val="clear" w:color="auto" w:fill="auto"/>
            <w:vAlign w:val="center"/>
          </w:tcPr>
          <w:p w14:paraId="087633D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5980BBE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11EC3D9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56D9DDB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r>
      <w:tr w14:paraId="0FE6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restart"/>
            <w:shd w:val="clear" w:color="auto" w:fill="auto"/>
            <w:vAlign w:val="center"/>
          </w:tcPr>
          <w:p w14:paraId="13DD920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交通运输用地</w:t>
            </w:r>
          </w:p>
          <w:p w14:paraId="58433F0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（12地类）</w:t>
            </w:r>
          </w:p>
        </w:tc>
        <w:tc>
          <w:tcPr>
            <w:tcW w:w="765" w:type="pct"/>
            <w:shd w:val="clear" w:color="auto" w:fill="auto"/>
            <w:vAlign w:val="center"/>
          </w:tcPr>
          <w:p w14:paraId="2B8B933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城镇村道路用地</w:t>
            </w:r>
          </w:p>
        </w:tc>
        <w:tc>
          <w:tcPr>
            <w:tcW w:w="1568" w:type="pct"/>
            <w:shd w:val="clear" w:color="auto" w:fill="auto"/>
            <w:vAlign w:val="center"/>
          </w:tcPr>
          <w:p w14:paraId="2C681C6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村道</w:t>
            </w:r>
          </w:p>
        </w:tc>
        <w:tc>
          <w:tcPr>
            <w:tcW w:w="333" w:type="pct"/>
            <w:shd w:val="clear" w:color="auto" w:fill="auto"/>
            <w:vAlign w:val="center"/>
          </w:tcPr>
          <w:p w14:paraId="31EB5894">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4BD2F84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2A1CE48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1CC4A8C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74BF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59E05EC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shd w:val="clear" w:color="auto" w:fill="auto"/>
            <w:vAlign w:val="center"/>
          </w:tcPr>
          <w:p w14:paraId="110E940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社会停车场用地</w:t>
            </w:r>
          </w:p>
        </w:tc>
        <w:tc>
          <w:tcPr>
            <w:tcW w:w="1568" w:type="pct"/>
            <w:shd w:val="clear" w:color="auto" w:fill="auto"/>
            <w:vAlign w:val="center"/>
          </w:tcPr>
          <w:p w14:paraId="434A6BB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景区停车场</w:t>
            </w:r>
          </w:p>
        </w:tc>
        <w:tc>
          <w:tcPr>
            <w:tcW w:w="333" w:type="pct"/>
            <w:shd w:val="clear" w:color="auto" w:fill="auto"/>
            <w:vAlign w:val="center"/>
          </w:tcPr>
          <w:p w14:paraId="4FE478F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0AABBF0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796EDA3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3FEA42A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5374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restart"/>
            <w:shd w:val="clear" w:color="auto" w:fill="auto"/>
            <w:vAlign w:val="center"/>
          </w:tcPr>
          <w:p w14:paraId="3B90DBB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公用设施用地</w:t>
            </w:r>
          </w:p>
          <w:p w14:paraId="25E16C9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（13地类）</w:t>
            </w:r>
          </w:p>
        </w:tc>
        <w:tc>
          <w:tcPr>
            <w:tcW w:w="765" w:type="pct"/>
            <w:shd w:val="clear" w:color="auto" w:fill="auto"/>
            <w:vAlign w:val="center"/>
          </w:tcPr>
          <w:p w14:paraId="3D30ADE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供水用地</w:t>
            </w:r>
          </w:p>
        </w:tc>
        <w:tc>
          <w:tcPr>
            <w:tcW w:w="1568" w:type="pct"/>
            <w:shd w:val="clear" w:color="auto" w:fill="auto"/>
            <w:vAlign w:val="center"/>
          </w:tcPr>
          <w:p w14:paraId="1E779AC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小型农村取水设施</w:t>
            </w:r>
          </w:p>
        </w:tc>
        <w:tc>
          <w:tcPr>
            <w:tcW w:w="333" w:type="pct"/>
            <w:shd w:val="clear" w:color="auto" w:fill="auto"/>
            <w:vAlign w:val="center"/>
          </w:tcPr>
          <w:p w14:paraId="070DF42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2B80F88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77985A6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694B6F0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1B6C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59DFCD6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shd w:val="clear" w:color="auto" w:fill="auto"/>
            <w:vAlign w:val="center"/>
          </w:tcPr>
          <w:p w14:paraId="65AF2AA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排水用地</w:t>
            </w:r>
          </w:p>
        </w:tc>
        <w:tc>
          <w:tcPr>
            <w:tcW w:w="1568" w:type="pct"/>
            <w:shd w:val="clear" w:color="auto" w:fill="auto"/>
            <w:vAlign w:val="center"/>
          </w:tcPr>
          <w:p w14:paraId="73F8417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小型农村污水处理池</w:t>
            </w:r>
          </w:p>
        </w:tc>
        <w:tc>
          <w:tcPr>
            <w:tcW w:w="333" w:type="pct"/>
            <w:shd w:val="clear" w:color="auto" w:fill="auto"/>
            <w:vAlign w:val="center"/>
          </w:tcPr>
          <w:p w14:paraId="732AEF9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75FBDC6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5186A67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0707C2C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128D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52113BC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shd w:val="clear" w:color="auto" w:fill="auto"/>
            <w:vAlign w:val="center"/>
          </w:tcPr>
          <w:p w14:paraId="050CF2E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供电用地</w:t>
            </w:r>
          </w:p>
        </w:tc>
        <w:tc>
          <w:tcPr>
            <w:tcW w:w="1568" w:type="pct"/>
            <w:shd w:val="clear" w:color="auto" w:fill="auto"/>
            <w:vAlign w:val="center"/>
          </w:tcPr>
          <w:p w14:paraId="6E7F12D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村配电房</w:t>
            </w:r>
          </w:p>
        </w:tc>
        <w:tc>
          <w:tcPr>
            <w:tcW w:w="333" w:type="pct"/>
            <w:shd w:val="clear" w:color="auto" w:fill="auto"/>
            <w:vAlign w:val="center"/>
          </w:tcPr>
          <w:p w14:paraId="07E5F2E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3D44454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447C7C5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45C1243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520E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6FD977E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shd w:val="clear" w:color="auto" w:fill="auto"/>
            <w:vAlign w:val="center"/>
          </w:tcPr>
          <w:p w14:paraId="57D5945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通信用地</w:t>
            </w:r>
          </w:p>
        </w:tc>
        <w:tc>
          <w:tcPr>
            <w:tcW w:w="1568" w:type="pct"/>
            <w:shd w:val="clear" w:color="auto" w:fill="auto"/>
            <w:vAlign w:val="center"/>
          </w:tcPr>
          <w:p w14:paraId="51160CD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通信基站</w:t>
            </w:r>
          </w:p>
        </w:tc>
        <w:tc>
          <w:tcPr>
            <w:tcW w:w="333" w:type="pct"/>
            <w:shd w:val="clear" w:color="auto" w:fill="auto"/>
            <w:vAlign w:val="center"/>
          </w:tcPr>
          <w:p w14:paraId="5F121E5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5E407AF9">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77359E7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6A7A74A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3A2AA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1A698DE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vMerge w:val="restart"/>
            <w:shd w:val="clear" w:color="auto" w:fill="auto"/>
            <w:vAlign w:val="center"/>
          </w:tcPr>
          <w:p w14:paraId="0595981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环卫用地</w:t>
            </w:r>
          </w:p>
        </w:tc>
        <w:tc>
          <w:tcPr>
            <w:tcW w:w="1568" w:type="pct"/>
            <w:shd w:val="clear" w:color="auto" w:fill="auto"/>
            <w:vAlign w:val="center"/>
          </w:tcPr>
          <w:p w14:paraId="1D51ADB5">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垃圾中转站</w:t>
            </w:r>
          </w:p>
        </w:tc>
        <w:tc>
          <w:tcPr>
            <w:tcW w:w="333" w:type="pct"/>
            <w:shd w:val="clear" w:color="auto" w:fill="auto"/>
            <w:vAlign w:val="center"/>
          </w:tcPr>
          <w:p w14:paraId="7076097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5F2D051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7CF8B53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2C698DB9">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6BAB8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294AE68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vMerge w:val="continue"/>
            <w:shd w:val="clear" w:color="auto" w:fill="auto"/>
            <w:vAlign w:val="center"/>
          </w:tcPr>
          <w:p w14:paraId="5D6E811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shd w:val="clear" w:color="auto" w:fill="auto"/>
            <w:vAlign w:val="center"/>
          </w:tcPr>
          <w:p w14:paraId="2C3FA99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垃圾收集点</w:t>
            </w:r>
          </w:p>
        </w:tc>
        <w:tc>
          <w:tcPr>
            <w:tcW w:w="333" w:type="pct"/>
            <w:shd w:val="clear" w:color="auto" w:fill="auto"/>
            <w:vAlign w:val="center"/>
          </w:tcPr>
          <w:p w14:paraId="787896F4">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099F12E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5E59839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35A5D32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0622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4E0082C6">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vMerge w:val="continue"/>
            <w:shd w:val="clear" w:color="auto" w:fill="auto"/>
            <w:vAlign w:val="center"/>
          </w:tcPr>
          <w:p w14:paraId="243B190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shd w:val="clear" w:color="auto" w:fill="auto"/>
            <w:vAlign w:val="center"/>
          </w:tcPr>
          <w:p w14:paraId="1767421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公厕</w:t>
            </w:r>
          </w:p>
        </w:tc>
        <w:tc>
          <w:tcPr>
            <w:tcW w:w="333" w:type="pct"/>
            <w:shd w:val="clear" w:color="auto" w:fill="auto"/>
            <w:vAlign w:val="center"/>
          </w:tcPr>
          <w:p w14:paraId="3FC1A130">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760C3E97">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40A71A6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775E93F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5FAAA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256D765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vMerge w:val="restart"/>
            <w:shd w:val="clear" w:color="auto" w:fill="auto"/>
            <w:vAlign w:val="center"/>
          </w:tcPr>
          <w:p w14:paraId="393F54D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水工设施用地</w:t>
            </w:r>
          </w:p>
        </w:tc>
        <w:tc>
          <w:tcPr>
            <w:tcW w:w="1568" w:type="pct"/>
            <w:shd w:val="clear" w:color="auto" w:fill="auto"/>
            <w:vAlign w:val="center"/>
          </w:tcPr>
          <w:p w14:paraId="11905D89">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村级水闸</w:t>
            </w:r>
          </w:p>
        </w:tc>
        <w:tc>
          <w:tcPr>
            <w:tcW w:w="333" w:type="pct"/>
            <w:shd w:val="clear" w:color="auto" w:fill="auto"/>
            <w:vAlign w:val="center"/>
          </w:tcPr>
          <w:p w14:paraId="16E59B9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76AE515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39D9B5D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56CC982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19D2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763" w:type="pct"/>
            <w:vMerge w:val="continue"/>
            <w:shd w:val="clear" w:color="auto" w:fill="auto"/>
            <w:vAlign w:val="center"/>
          </w:tcPr>
          <w:p w14:paraId="050E7CD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765" w:type="pct"/>
            <w:vMerge w:val="continue"/>
            <w:shd w:val="clear" w:color="auto" w:fill="auto"/>
            <w:vAlign w:val="center"/>
          </w:tcPr>
          <w:p w14:paraId="4FA5FD6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p>
        </w:tc>
        <w:tc>
          <w:tcPr>
            <w:tcW w:w="1568" w:type="pct"/>
            <w:shd w:val="clear" w:color="auto" w:fill="auto"/>
            <w:vAlign w:val="center"/>
          </w:tcPr>
          <w:p w14:paraId="6A4218B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水电机房</w:t>
            </w:r>
          </w:p>
        </w:tc>
        <w:tc>
          <w:tcPr>
            <w:tcW w:w="333" w:type="pct"/>
            <w:shd w:val="clear" w:color="auto" w:fill="auto"/>
            <w:vAlign w:val="center"/>
          </w:tcPr>
          <w:p w14:paraId="61B0ABF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6158E254">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7D67A18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4AEB9B8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227E8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0" w:hRule="atLeast"/>
          <w:jc w:val="center"/>
        </w:trPr>
        <w:tc>
          <w:tcPr>
            <w:tcW w:w="763" w:type="pct"/>
            <w:shd w:val="clear" w:color="auto" w:fill="auto"/>
            <w:vAlign w:val="center"/>
          </w:tcPr>
          <w:p w14:paraId="0E18680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绿地与开敞空间用地</w:t>
            </w:r>
          </w:p>
          <w:p w14:paraId="39F059F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（14地类）</w:t>
            </w:r>
          </w:p>
        </w:tc>
        <w:tc>
          <w:tcPr>
            <w:tcW w:w="765" w:type="pct"/>
            <w:shd w:val="clear" w:color="auto" w:fill="auto"/>
            <w:vAlign w:val="center"/>
          </w:tcPr>
          <w:p w14:paraId="710BEC73">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公园绿地</w:t>
            </w:r>
          </w:p>
        </w:tc>
        <w:tc>
          <w:tcPr>
            <w:tcW w:w="1568" w:type="pct"/>
            <w:shd w:val="clear" w:color="auto" w:fill="auto"/>
            <w:vAlign w:val="center"/>
          </w:tcPr>
          <w:p w14:paraId="70BB9B41">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小型农村公园</w:t>
            </w:r>
          </w:p>
        </w:tc>
        <w:tc>
          <w:tcPr>
            <w:tcW w:w="333" w:type="pct"/>
            <w:shd w:val="clear" w:color="auto" w:fill="auto"/>
            <w:vAlign w:val="center"/>
          </w:tcPr>
          <w:p w14:paraId="4D6A5EA2">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75" w:type="pct"/>
            <w:shd w:val="clear" w:color="auto" w:fill="auto"/>
            <w:vAlign w:val="center"/>
          </w:tcPr>
          <w:p w14:paraId="7F9158DE">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233" w:type="pct"/>
            <w:shd w:val="clear" w:color="auto" w:fill="auto"/>
            <w:vAlign w:val="center"/>
          </w:tcPr>
          <w:p w14:paraId="5023A11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c>
          <w:tcPr>
            <w:tcW w:w="1061" w:type="pct"/>
            <w:shd w:val="clear" w:color="auto" w:fill="auto"/>
            <w:vAlign w:val="center"/>
          </w:tcPr>
          <w:p w14:paraId="6D8B536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w:t>
            </w:r>
          </w:p>
        </w:tc>
      </w:tr>
      <w:tr w14:paraId="3D5F8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528" w:type="pct"/>
            <w:gridSpan w:val="2"/>
            <w:shd w:val="clear" w:color="auto" w:fill="auto"/>
            <w:vAlign w:val="center"/>
          </w:tcPr>
          <w:p w14:paraId="235BFFFA">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殡葬用地（1506地类）</w:t>
            </w:r>
          </w:p>
        </w:tc>
        <w:tc>
          <w:tcPr>
            <w:tcW w:w="1568" w:type="pct"/>
            <w:shd w:val="clear" w:color="auto" w:fill="auto"/>
            <w:vAlign w:val="center"/>
          </w:tcPr>
          <w:p w14:paraId="269A8B8F">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乡村公益性公墓、树葬点、骨灰存放堂</w:t>
            </w:r>
          </w:p>
        </w:tc>
        <w:tc>
          <w:tcPr>
            <w:tcW w:w="333" w:type="pct"/>
            <w:shd w:val="clear" w:color="auto" w:fill="auto"/>
            <w:vAlign w:val="center"/>
          </w:tcPr>
          <w:p w14:paraId="3FF8C74C">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75" w:type="pct"/>
            <w:shd w:val="clear" w:color="auto" w:fill="auto"/>
            <w:vAlign w:val="center"/>
          </w:tcPr>
          <w:p w14:paraId="0856A1CD">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233" w:type="pct"/>
            <w:shd w:val="clear" w:color="auto" w:fill="auto"/>
            <w:vAlign w:val="center"/>
          </w:tcPr>
          <w:p w14:paraId="0DDA2BBB">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c>
          <w:tcPr>
            <w:tcW w:w="1061" w:type="pct"/>
            <w:shd w:val="clear" w:color="auto" w:fill="auto"/>
            <w:vAlign w:val="center"/>
          </w:tcPr>
          <w:p w14:paraId="3EB716D8">
            <w:pPr>
              <w:pStyle w:val="13"/>
              <w:keepNext w:val="0"/>
              <w:keepLines w:val="0"/>
              <w:pageBreakBefore w:val="0"/>
              <w:widowControl w:val="0"/>
              <w:kinsoku/>
              <w:wordWrap/>
              <w:overflowPunct/>
              <w:topLinePunct w:val="0"/>
              <w:autoSpaceDE w:val="0"/>
              <w:autoSpaceDN w:val="0"/>
              <w:bidi w:val="0"/>
              <w:adjustRightInd/>
              <w:snapToGrid/>
              <w:spacing w:before="0" w:beforeLines="0" w:line="240" w:lineRule="auto"/>
              <w:ind w:left="0" w:leftChars="0" w:right="0" w:rightChars="0" w:firstLine="0" w:firstLineChars="0"/>
              <w:jc w:val="center"/>
              <w:textAlignment w:val="auto"/>
              <w:rPr>
                <w:rFonts w:hint="default" w:ascii="Times New Roman" w:hAnsi="Times New Roman" w:eastAsia="仿宋_GB2312" w:cs="Times New Roman"/>
                <w:color w:val="auto"/>
                <w:sz w:val="24"/>
                <w:szCs w:val="24"/>
                <w:highlight w:val="none"/>
                <w:lang w:eastAsia="zh-CN"/>
              </w:rPr>
            </w:pPr>
            <w:r>
              <w:rPr>
                <w:rFonts w:hint="default" w:ascii="Times New Roman" w:hAnsi="Times New Roman" w:eastAsia="仿宋_GB2312" w:cs="Times New Roman"/>
                <w:color w:val="auto"/>
                <w:sz w:val="24"/>
                <w:szCs w:val="24"/>
                <w:highlight w:val="none"/>
                <w:lang w:eastAsia="zh-CN"/>
              </w:rPr>
              <w:t>十</w:t>
            </w:r>
          </w:p>
        </w:tc>
      </w:tr>
    </w:tbl>
    <w:p w14:paraId="5313612D">
      <w:pPr>
        <w:pStyle w:val="13"/>
        <w:keepNext w:val="0"/>
        <w:keepLines w:val="0"/>
        <w:pageBreakBefore w:val="0"/>
        <w:widowControl w:val="0"/>
        <w:kinsoku/>
        <w:wordWrap/>
        <w:overflowPunct/>
        <w:topLinePunct w:val="0"/>
        <w:autoSpaceDE w:val="0"/>
        <w:autoSpaceDN w:val="0"/>
        <w:bidi w:val="0"/>
        <w:adjustRightInd/>
        <w:snapToGrid/>
        <w:spacing w:before="0" w:beforeLines="0" w:line="592" w:lineRule="exact"/>
        <w:ind w:left="0" w:leftChars="0" w:right="110" w:firstLine="596" w:firstLineChars="213"/>
        <w:textAlignment w:val="auto"/>
        <w:rPr>
          <w:rFonts w:hint="eastAsia"/>
          <w:color w:val="auto"/>
          <w:lang w:val="en-US" w:eastAsia="zh-CN"/>
        </w:rPr>
      </w:pPr>
      <w:r>
        <w:rPr>
          <w:rFonts w:hint="eastAsia" w:eastAsia="仿宋_GB2312"/>
          <w:color w:val="auto"/>
          <w:sz w:val="28"/>
          <w:szCs w:val="28"/>
          <w:highlight w:val="none"/>
          <w:lang w:eastAsia="zh-CN"/>
        </w:rPr>
        <w:t>注：√：直接以“通则”为规划依据；+：在“通则”基础上需补充编制重点地块图则为规划依据；×：“通则”不适用仅允许规划落实方案或详细规划作为规划依据。</w:t>
      </w:r>
    </w:p>
    <w:p w14:paraId="32ECAF38">
      <w:pPr>
        <w:pStyle w:val="3"/>
        <w:numPr>
          <w:ilvl w:val="0"/>
          <w:numId w:val="13"/>
        </w:numPr>
        <w:spacing w:before="240" w:after="240"/>
        <w:ind w:left="0" w:firstLine="0"/>
        <w:jc w:val="center"/>
        <w:rPr>
          <w:rFonts w:hint="eastAsia" w:ascii="黑体" w:hAnsi="黑体" w:eastAsia="黑体"/>
          <w:color w:val="auto"/>
          <w:lang w:val="en-US" w:eastAsia="zh-CN"/>
        </w:rPr>
      </w:pPr>
      <w:bookmarkStart w:id="102" w:name="_Toc4384"/>
      <w:r>
        <w:rPr>
          <w:rFonts w:hint="eastAsia" w:ascii="黑体" w:hAnsi="黑体" w:eastAsia="黑体"/>
          <w:color w:val="auto"/>
          <w:lang w:val="en-US" w:eastAsia="zh-CN"/>
        </w:rPr>
        <w:t>附则</w:t>
      </w:r>
      <w:bookmarkEnd w:id="102"/>
    </w:p>
    <w:p w14:paraId="16350AFE">
      <w:pPr>
        <w:pStyle w:val="13"/>
        <w:keepNext w:val="0"/>
        <w:keepLines w:val="0"/>
        <w:pageBreakBefore w:val="0"/>
        <w:widowControl w:val="0"/>
        <w:kinsoku/>
        <w:wordWrap/>
        <w:overflowPunct/>
        <w:topLinePunct w:val="0"/>
        <w:autoSpaceDE w:val="0"/>
        <w:autoSpaceDN w:val="0"/>
        <w:bidi w:val="0"/>
        <w:adjustRightInd/>
        <w:snapToGrid/>
        <w:spacing w:before="0" w:beforeLines="0" w:line="592" w:lineRule="exact"/>
        <w:ind w:left="0" w:leftChars="0" w:right="110" w:firstLine="681" w:firstLineChars="213"/>
        <w:textAlignment w:val="auto"/>
        <w:rPr>
          <w:rFonts w:hint="eastAsia" w:eastAsia="仿宋_GB2312"/>
          <w:color w:val="auto"/>
          <w:highlight w:val="none"/>
          <w:lang w:eastAsia="zh-CN"/>
        </w:rPr>
      </w:pPr>
      <w:r>
        <w:rPr>
          <w:rFonts w:hint="eastAsia" w:eastAsia="仿宋_GB2312"/>
          <w:color w:val="auto"/>
          <w:highlight w:val="none"/>
          <w:lang w:eastAsia="zh-CN"/>
        </w:rPr>
        <w:t>“通则”批准后，根据实施情况适时开展评估调整，因乡村地区开发保护利用需要，及县人民政府确定的其他情形确需修改“通则”的，应当由组织编制机关征求利害关系人意见，并按原审批程序组织修改、报批。“通则”修改原则上不能突破县级、乡镇级国土空间总体规划确定的强制性内容、约束性指标，确需调整的，必须按照法定程序先修改相应层级的国土空间总体规划。 </w:t>
      </w:r>
    </w:p>
    <w:p w14:paraId="23B881A4">
      <w:pPr>
        <w:pStyle w:val="13"/>
        <w:keepNext w:val="0"/>
        <w:keepLines w:val="0"/>
        <w:pageBreakBefore w:val="0"/>
        <w:widowControl w:val="0"/>
        <w:kinsoku/>
        <w:wordWrap/>
        <w:overflowPunct/>
        <w:topLinePunct w:val="0"/>
        <w:autoSpaceDE w:val="0"/>
        <w:autoSpaceDN w:val="0"/>
        <w:bidi w:val="0"/>
        <w:adjustRightInd/>
        <w:snapToGrid/>
        <w:spacing w:before="0" w:beforeLines="0" w:line="592" w:lineRule="exact"/>
        <w:ind w:left="0" w:leftChars="0" w:right="110" w:firstLine="681" w:firstLineChars="213"/>
        <w:textAlignment w:val="auto"/>
        <w:rPr>
          <w:color w:val="auto"/>
        </w:rPr>
      </w:pPr>
      <w:r>
        <w:rPr>
          <w:rFonts w:hint="eastAsia" w:eastAsia="仿宋_GB2312"/>
          <w:color w:val="auto"/>
          <w:highlight w:val="none"/>
          <w:lang w:eastAsia="zh-CN"/>
        </w:rPr>
        <w:t>“通则”实施后新编制详细规划（村庄规划)的区域，应做好与“通则”实施情况的衔接工作。“通则”中涉及的重要管控线、用途分区、村庄建设用地总规模、村庄建设用地边界等数据以经批准后的乡镇级国土空间总体规划为准。“通则”应符合法律法规、相关政策、技术标准和上位规划的要求，国家、省、市另有规定的，从其规定。</w:t>
      </w:r>
    </w:p>
    <w:sectPr>
      <w:footerReference r:id="rId6" w:type="default"/>
      <w:pgSz w:w="11910" w:h="16850"/>
      <w:pgMar w:top="1360" w:right="1380" w:bottom="1640" w:left="1560" w:header="645" w:footer="1443"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91D82">
    <w:pPr>
      <w:pStyle w:val="17"/>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6E179">
                          <w:pPr>
                            <w:pStyle w:val="17"/>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2C6E179">
                    <w:pPr>
                      <w:pStyle w:val="17"/>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p>
                </w:txbxContent>
              </v:textbox>
            </v:shape>
          </w:pict>
        </mc:Fallback>
      </mc:AlternateContent>
    </w:r>
    <w:sdt>
      <w:sdtPr>
        <w:id w:val="-2023612232"/>
        <w:showingPlcHdr/>
      </w:sdtPr>
      <w:sdtContent>
        <w:r>
          <w:rPr>
            <w:rFonts w:hint="eastAsia"/>
            <w:lang w:eastAsia="zh-CN"/>
          </w:rPr>
          <w:t xml:space="preserve">     </w:t>
        </w:r>
      </w:sdtContent>
    </w:sdt>
  </w:p>
  <w:p w14:paraId="3D1DF059">
    <w:pPr>
      <w:pStyle w:val="13"/>
      <w:spacing w:before="120" w:line="14" w:lineRule="auto"/>
      <w:ind w:left="110" w:right="110" w:firstLine="40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CCBEB">
    <w:pPr>
      <w:pStyle w:val="17"/>
      <w:jc w:val="right"/>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9125"/>
                          </w:sdtPr>
                          <w:sdtContent>
                            <w:p w14:paraId="244AA253">
                              <w:pPr>
                                <w:pStyle w:val="17"/>
                                <w:jc w:val="right"/>
                              </w:pPr>
                              <w:r>
                                <w:rPr>
                                  <w:rFonts w:ascii="Times New Roman" w:hAnsi="Times New Roman" w:cs="Times New Roman"/>
                                  <w:sz w:val="21"/>
                                  <w:szCs w:val="21"/>
                                </w:rPr>
                                <w:fldChar w:fldCharType="begin"/>
                              </w:r>
                              <w:r>
                                <w:rPr>
                                  <w:rFonts w:hint="eastAsia"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hint="eastAsia" w:ascii="Times New Roman" w:hAnsi="Times New Roman" w:cs="Times New Roman"/>
                                  <w:sz w:val="21"/>
                                  <w:szCs w:val="21"/>
                                  <w:lang w:val="zh-CN" w:eastAsia="zh-CN"/>
                                </w:rPr>
                                <w:t>18</w:t>
                              </w:r>
                              <w:r>
                                <w:rPr>
                                  <w:rFonts w:ascii="Times New Roman" w:hAnsi="Times New Roman" w:cs="Times New Roman"/>
                                  <w:sz w:val="21"/>
                                  <w:szCs w:val="21"/>
                                </w:rPr>
                                <w:fldChar w:fldCharType="end"/>
                              </w:r>
                            </w:p>
                          </w:sdtContent>
                        </w:sdt>
                        <w:p w14:paraId="5E420724"/>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59125"/>
                    </w:sdtPr>
                    <w:sdtContent>
                      <w:p w14:paraId="244AA253">
                        <w:pPr>
                          <w:pStyle w:val="17"/>
                          <w:jc w:val="right"/>
                        </w:pPr>
                        <w:r>
                          <w:rPr>
                            <w:rFonts w:ascii="Times New Roman" w:hAnsi="Times New Roman" w:cs="Times New Roman"/>
                            <w:sz w:val="21"/>
                            <w:szCs w:val="21"/>
                          </w:rPr>
                          <w:fldChar w:fldCharType="begin"/>
                        </w:r>
                        <w:r>
                          <w:rPr>
                            <w:rFonts w:hint="eastAsia"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hint="eastAsia" w:ascii="Times New Roman" w:hAnsi="Times New Roman" w:cs="Times New Roman"/>
                            <w:sz w:val="21"/>
                            <w:szCs w:val="21"/>
                            <w:lang w:val="zh-CN" w:eastAsia="zh-CN"/>
                          </w:rPr>
                          <w:t>18</w:t>
                        </w:r>
                        <w:r>
                          <w:rPr>
                            <w:rFonts w:ascii="Times New Roman" w:hAnsi="Times New Roman" w:cs="Times New Roman"/>
                            <w:sz w:val="21"/>
                            <w:szCs w:val="21"/>
                          </w:rPr>
                          <w:fldChar w:fldCharType="end"/>
                        </w:r>
                      </w:p>
                    </w:sdtContent>
                  </w:sdt>
                  <w:p w14:paraId="5E420724"/>
                </w:txbxContent>
              </v:textbox>
            </v:shape>
          </w:pict>
        </mc:Fallback>
      </mc:AlternateContent>
    </w:r>
  </w:p>
  <w:p w14:paraId="22C7AD98">
    <w:pPr>
      <w:pStyle w:val="13"/>
      <w:spacing w:before="120" w:line="14" w:lineRule="auto"/>
      <w:ind w:left="110" w:right="110" w:firstLine="40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6A038">
    <w:pPr>
      <w:pStyle w:val="13"/>
      <w:spacing w:before="120" w:line="14" w:lineRule="auto"/>
      <w:ind w:left="110" w:right="110" w:firstLine="640"/>
      <w:rPr>
        <w:sz w:val="20"/>
      </w:rPr>
    </w:pPr>
    <w:r>
      <w:rPr>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13360" cy="139700"/>
              <wp:effectExtent l="1270" t="0" r="4445" b="4445"/>
              <wp:wrapNone/>
              <wp:docPr id="7" name="Text Box 1"/>
              <wp:cNvGraphicFramePr/>
              <a:graphic xmlns:a="http://schemas.openxmlformats.org/drawingml/2006/main">
                <a:graphicData uri="http://schemas.microsoft.com/office/word/2010/wordprocessingShape">
                  <wps:wsp>
                    <wps:cNvSpPr txBox="1">
                      <a:spLocks noChangeArrowheads="1"/>
                    </wps:cNvSpPr>
                    <wps:spPr bwMode="auto">
                      <a:xfrm>
                        <a:off x="0" y="0"/>
                        <a:ext cx="213360" cy="139700"/>
                      </a:xfrm>
                      <a:prstGeom prst="rect">
                        <a:avLst/>
                      </a:prstGeom>
                      <a:noFill/>
                      <a:ln>
                        <a:noFill/>
                      </a:ln>
                    </wps:spPr>
                    <wps:txbx>
                      <w:txbxContent>
                        <w:p w14:paraId="45DF3053">
                          <w:pPr>
                            <w:spacing w:line="220" w:lineRule="exact"/>
                            <w:ind w:left="40"/>
                            <w:rPr>
                              <w:sz w:val="18"/>
                            </w:rPr>
                          </w:pPr>
                          <w:r>
                            <w:fldChar w:fldCharType="begin"/>
                          </w:r>
                          <w:r>
                            <w:rPr>
                              <w:sz w:val="18"/>
                            </w:rPr>
                            <w:instrText xml:space="preserve"> PAGE </w:instrText>
                          </w:r>
                          <w:r>
                            <w:fldChar w:fldCharType="separate"/>
                          </w:r>
                          <w:r>
                            <w:rPr>
                              <w:sz w:val="18"/>
                            </w:rPr>
                            <w:t>81</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top:0pt;height:11pt;width:16.8pt;mso-position-horizontal:center;mso-position-horizontal-relative:margin;z-index:251660288;mso-width-relative:page;mso-height-relative:page;" filled="f" stroked="f" coordsize="21600,21600" o:gfxdata="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vaZcD0wAAAAMBAAAPAAAAAAAAAAEAIAAAACIAAABkcnMvZG93bnJldi54bWxQ&#10;SwECFAAUAAAACACHTuJAcmzXrfwBAAADBAAADgAAAAAAAAABACAAAAAiAQAAZHJzL2Uyb0RvYy54&#10;bWxQSwUGAAAAAAYABgBZAQAAkAUAAAAA&#10;">
              <v:fill on="f" focussize="0,0"/>
              <v:stroke on="f"/>
              <v:imagedata o:title=""/>
              <o:lock v:ext="edit" aspectratio="f"/>
              <v:textbox inset="0mm,0mm,0mm,0mm">
                <w:txbxContent>
                  <w:p w14:paraId="45DF3053">
                    <w:pPr>
                      <w:spacing w:line="220" w:lineRule="exact"/>
                      <w:ind w:left="40"/>
                      <w:rPr>
                        <w:sz w:val="18"/>
                      </w:rPr>
                    </w:pPr>
                    <w:r>
                      <w:fldChar w:fldCharType="begin"/>
                    </w:r>
                    <w:r>
                      <w:rPr>
                        <w:sz w:val="18"/>
                      </w:rPr>
                      <w:instrText xml:space="preserve"> PAGE </w:instrText>
                    </w:r>
                    <w:r>
                      <w:fldChar w:fldCharType="separate"/>
                    </w:r>
                    <w:r>
                      <w:rPr>
                        <w:sz w:val="18"/>
                      </w:rPr>
                      <w:t>81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B2FDA">
    <w:pPr>
      <w:rPr>
        <w:rFonts w:eastAsia="PMingLiU-Ext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CF9AB7"/>
    <w:multiLevelType w:val="multilevel"/>
    <w:tmpl w:val="C8CF9AB7"/>
    <w:lvl w:ilvl="0" w:tentative="0">
      <w:start w:val="1"/>
      <w:numFmt w:val="chineseCountingThousand"/>
      <w:lvlText w:val="第%1节"/>
      <w:lvlJc w:val="left"/>
      <w:pPr>
        <w:ind w:left="3256" w:hanging="420"/>
      </w:pPr>
      <w:rPr>
        <w:rFonts w:hint="eastAsia" w:ascii="黑体" w:eastAsia="黑体" w:hAnsiTheme="minorEastAsia"/>
      </w:rPr>
    </w:lvl>
    <w:lvl w:ilvl="1" w:tentative="0">
      <w:start w:val="1"/>
      <w:numFmt w:val="lowerLetter"/>
      <w:lvlText w:val="%2)"/>
      <w:lvlJc w:val="left"/>
      <w:pPr>
        <w:ind w:left="3818" w:hanging="420"/>
      </w:pPr>
    </w:lvl>
    <w:lvl w:ilvl="2" w:tentative="0">
      <w:start w:val="1"/>
      <w:numFmt w:val="lowerRoman"/>
      <w:lvlText w:val="%3."/>
      <w:lvlJc w:val="right"/>
      <w:pPr>
        <w:ind w:left="4238" w:hanging="420"/>
      </w:pPr>
    </w:lvl>
    <w:lvl w:ilvl="3" w:tentative="0">
      <w:start w:val="1"/>
      <w:numFmt w:val="decimal"/>
      <w:lvlText w:val="%4."/>
      <w:lvlJc w:val="left"/>
      <w:pPr>
        <w:ind w:left="4658" w:hanging="420"/>
      </w:pPr>
    </w:lvl>
    <w:lvl w:ilvl="4" w:tentative="0">
      <w:start w:val="1"/>
      <w:numFmt w:val="lowerLetter"/>
      <w:lvlText w:val="%5)"/>
      <w:lvlJc w:val="left"/>
      <w:pPr>
        <w:ind w:left="5078" w:hanging="420"/>
      </w:pPr>
    </w:lvl>
    <w:lvl w:ilvl="5" w:tentative="0">
      <w:start w:val="1"/>
      <w:numFmt w:val="lowerRoman"/>
      <w:lvlText w:val="%6."/>
      <w:lvlJc w:val="right"/>
      <w:pPr>
        <w:ind w:left="5498" w:hanging="420"/>
      </w:pPr>
    </w:lvl>
    <w:lvl w:ilvl="6" w:tentative="0">
      <w:start w:val="1"/>
      <w:numFmt w:val="decimal"/>
      <w:lvlText w:val="%7."/>
      <w:lvlJc w:val="left"/>
      <w:pPr>
        <w:ind w:left="5918" w:hanging="420"/>
      </w:pPr>
    </w:lvl>
    <w:lvl w:ilvl="7" w:tentative="0">
      <w:start w:val="1"/>
      <w:numFmt w:val="lowerLetter"/>
      <w:lvlText w:val="%8)"/>
      <w:lvlJc w:val="left"/>
      <w:pPr>
        <w:ind w:left="6338" w:hanging="420"/>
      </w:pPr>
    </w:lvl>
    <w:lvl w:ilvl="8" w:tentative="0">
      <w:start w:val="1"/>
      <w:numFmt w:val="lowerRoman"/>
      <w:lvlText w:val="%9."/>
      <w:lvlJc w:val="right"/>
      <w:pPr>
        <w:ind w:left="6758" w:hanging="420"/>
      </w:pPr>
    </w:lvl>
  </w:abstractNum>
  <w:abstractNum w:abstractNumId="1">
    <w:nsid w:val="1BAE1258"/>
    <w:multiLevelType w:val="multilevel"/>
    <w:tmpl w:val="1BAE1258"/>
    <w:lvl w:ilvl="0" w:tentative="0">
      <w:start w:val="1"/>
      <w:numFmt w:val="chineseCountingThousand"/>
      <w:lvlText w:val="第%1节"/>
      <w:lvlJc w:val="left"/>
      <w:pPr>
        <w:ind w:left="3256" w:hanging="420"/>
      </w:pPr>
      <w:rPr>
        <w:rFonts w:hint="eastAsia" w:ascii="黑体" w:eastAsia="黑体" w:hAnsiTheme="minorEastAsia"/>
      </w:rPr>
    </w:lvl>
    <w:lvl w:ilvl="1" w:tentative="0">
      <w:start w:val="1"/>
      <w:numFmt w:val="lowerLetter"/>
      <w:lvlText w:val="%2)"/>
      <w:lvlJc w:val="left"/>
      <w:pPr>
        <w:ind w:left="3818" w:hanging="420"/>
      </w:pPr>
    </w:lvl>
    <w:lvl w:ilvl="2" w:tentative="0">
      <w:start w:val="1"/>
      <w:numFmt w:val="lowerRoman"/>
      <w:lvlText w:val="%3."/>
      <w:lvlJc w:val="right"/>
      <w:pPr>
        <w:ind w:left="4238" w:hanging="420"/>
      </w:pPr>
    </w:lvl>
    <w:lvl w:ilvl="3" w:tentative="0">
      <w:start w:val="1"/>
      <w:numFmt w:val="decimal"/>
      <w:lvlText w:val="%4."/>
      <w:lvlJc w:val="left"/>
      <w:pPr>
        <w:ind w:left="4658" w:hanging="420"/>
      </w:pPr>
    </w:lvl>
    <w:lvl w:ilvl="4" w:tentative="0">
      <w:start w:val="1"/>
      <w:numFmt w:val="lowerLetter"/>
      <w:lvlText w:val="%5)"/>
      <w:lvlJc w:val="left"/>
      <w:pPr>
        <w:ind w:left="5078" w:hanging="420"/>
      </w:pPr>
    </w:lvl>
    <w:lvl w:ilvl="5" w:tentative="0">
      <w:start w:val="1"/>
      <w:numFmt w:val="lowerRoman"/>
      <w:lvlText w:val="%6."/>
      <w:lvlJc w:val="right"/>
      <w:pPr>
        <w:ind w:left="5498" w:hanging="420"/>
      </w:pPr>
    </w:lvl>
    <w:lvl w:ilvl="6" w:tentative="0">
      <w:start w:val="1"/>
      <w:numFmt w:val="decimal"/>
      <w:lvlText w:val="%7."/>
      <w:lvlJc w:val="left"/>
      <w:pPr>
        <w:ind w:left="5918" w:hanging="420"/>
      </w:pPr>
    </w:lvl>
    <w:lvl w:ilvl="7" w:tentative="0">
      <w:start w:val="1"/>
      <w:numFmt w:val="lowerLetter"/>
      <w:lvlText w:val="%8)"/>
      <w:lvlJc w:val="left"/>
      <w:pPr>
        <w:ind w:left="6338" w:hanging="420"/>
      </w:pPr>
    </w:lvl>
    <w:lvl w:ilvl="8" w:tentative="0">
      <w:start w:val="1"/>
      <w:numFmt w:val="lowerRoman"/>
      <w:lvlText w:val="%9."/>
      <w:lvlJc w:val="right"/>
      <w:pPr>
        <w:ind w:left="6758" w:hanging="420"/>
      </w:pPr>
    </w:lvl>
  </w:abstractNum>
  <w:abstractNum w:abstractNumId="2">
    <w:nsid w:val="3A626F2B"/>
    <w:multiLevelType w:val="multilevel"/>
    <w:tmpl w:val="3A626F2B"/>
    <w:lvl w:ilvl="0" w:tentative="0">
      <w:start w:val="1"/>
      <w:numFmt w:val="chineseCountingThousand"/>
      <w:lvlText w:val="第%1节"/>
      <w:lvlJc w:val="left"/>
      <w:pPr>
        <w:ind w:left="3256" w:hanging="420"/>
      </w:pPr>
      <w:rPr>
        <w:rFonts w:hint="eastAsia" w:ascii="黑体" w:eastAsia="黑体" w:hAnsiTheme="minorEastAsia"/>
      </w:rPr>
    </w:lvl>
    <w:lvl w:ilvl="1" w:tentative="0">
      <w:start w:val="1"/>
      <w:numFmt w:val="lowerLetter"/>
      <w:lvlText w:val="%2)"/>
      <w:lvlJc w:val="left"/>
      <w:pPr>
        <w:ind w:left="3818" w:hanging="420"/>
      </w:pPr>
    </w:lvl>
    <w:lvl w:ilvl="2" w:tentative="0">
      <w:start w:val="1"/>
      <w:numFmt w:val="lowerRoman"/>
      <w:lvlText w:val="%3."/>
      <w:lvlJc w:val="right"/>
      <w:pPr>
        <w:ind w:left="4238" w:hanging="420"/>
      </w:pPr>
    </w:lvl>
    <w:lvl w:ilvl="3" w:tentative="0">
      <w:start w:val="1"/>
      <w:numFmt w:val="decimal"/>
      <w:lvlText w:val="%4."/>
      <w:lvlJc w:val="left"/>
      <w:pPr>
        <w:ind w:left="4658" w:hanging="420"/>
      </w:pPr>
    </w:lvl>
    <w:lvl w:ilvl="4" w:tentative="0">
      <w:start w:val="1"/>
      <w:numFmt w:val="lowerLetter"/>
      <w:lvlText w:val="%5)"/>
      <w:lvlJc w:val="left"/>
      <w:pPr>
        <w:ind w:left="5078" w:hanging="420"/>
      </w:pPr>
    </w:lvl>
    <w:lvl w:ilvl="5" w:tentative="0">
      <w:start w:val="1"/>
      <w:numFmt w:val="lowerRoman"/>
      <w:lvlText w:val="%6."/>
      <w:lvlJc w:val="right"/>
      <w:pPr>
        <w:ind w:left="5498" w:hanging="420"/>
      </w:pPr>
    </w:lvl>
    <w:lvl w:ilvl="6" w:tentative="0">
      <w:start w:val="1"/>
      <w:numFmt w:val="decimal"/>
      <w:lvlText w:val="%7."/>
      <w:lvlJc w:val="left"/>
      <w:pPr>
        <w:ind w:left="5918" w:hanging="420"/>
      </w:pPr>
    </w:lvl>
    <w:lvl w:ilvl="7" w:tentative="0">
      <w:start w:val="1"/>
      <w:numFmt w:val="lowerLetter"/>
      <w:lvlText w:val="%8)"/>
      <w:lvlJc w:val="left"/>
      <w:pPr>
        <w:ind w:left="6338" w:hanging="420"/>
      </w:pPr>
    </w:lvl>
    <w:lvl w:ilvl="8" w:tentative="0">
      <w:start w:val="1"/>
      <w:numFmt w:val="lowerRoman"/>
      <w:lvlText w:val="%9."/>
      <w:lvlJc w:val="right"/>
      <w:pPr>
        <w:ind w:left="6758" w:hanging="420"/>
      </w:pPr>
    </w:lvl>
  </w:abstractNum>
  <w:abstractNum w:abstractNumId="3">
    <w:nsid w:val="41473DAF"/>
    <w:multiLevelType w:val="multilevel"/>
    <w:tmpl w:val="41473DAF"/>
    <w:lvl w:ilvl="0" w:tentative="0">
      <w:start w:val="1"/>
      <w:numFmt w:val="chineseCountingThousand"/>
      <w:lvlText w:val="第%1节"/>
      <w:lvlJc w:val="left"/>
      <w:pPr>
        <w:ind w:left="3256" w:hanging="420"/>
      </w:pPr>
      <w:rPr>
        <w:rFonts w:hint="eastAsia" w:ascii="黑体" w:eastAsia="黑体" w:hAnsiTheme="minorEastAsia"/>
      </w:rPr>
    </w:lvl>
    <w:lvl w:ilvl="1" w:tentative="0">
      <w:start w:val="1"/>
      <w:numFmt w:val="lowerLetter"/>
      <w:lvlText w:val="%2)"/>
      <w:lvlJc w:val="left"/>
      <w:pPr>
        <w:ind w:left="3818" w:hanging="420"/>
      </w:pPr>
    </w:lvl>
    <w:lvl w:ilvl="2" w:tentative="0">
      <w:start w:val="1"/>
      <w:numFmt w:val="lowerRoman"/>
      <w:lvlText w:val="%3."/>
      <w:lvlJc w:val="right"/>
      <w:pPr>
        <w:ind w:left="4238" w:hanging="420"/>
      </w:pPr>
    </w:lvl>
    <w:lvl w:ilvl="3" w:tentative="0">
      <w:start w:val="1"/>
      <w:numFmt w:val="decimal"/>
      <w:lvlText w:val="%4."/>
      <w:lvlJc w:val="left"/>
      <w:pPr>
        <w:ind w:left="4658" w:hanging="420"/>
      </w:pPr>
    </w:lvl>
    <w:lvl w:ilvl="4" w:tentative="0">
      <w:start w:val="1"/>
      <w:numFmt w:val="lowerLetter"/>
      <w:lvlText w:val="%5)"/>
      <w:lvlJc w:val="left"/>
      <w:pPr>
        <w:ind w:left="5078" w:hanging="420"/>
      </w:pPr>
    </w:lvl>
    <w:lvl w:ilvl="5" w:tentative="0">
      <w:start w:val="1"/>
      <w:numFmt w:val="lowerRoman"/>
      <w:lvlText w:val="%6."/>
      <w:lvlJc w:val="right"/>
      <w:pPr>
        <w:ind w:left="5498" w:hanging="420"/>
      </w:pPr>
    </w:lvl>
    <w:lvl w:ilvl="6" w:tentative="0">
      <w:start w:val="1"/>
      <w:numFmt w:val="decimal"/>
      <w:lvlText w:val="%7."/>
      <w:lvlJc w:val="left"/>
      <w:pPr>
        <w:ind w:left="5918" w:hanging="420"/>
      </w:pPr>
    </w:lvl>
    <w:lvl w:ilvl="7" w:tentative="0">
      <w:start w:val="1"/>
      <w:numFmt w:val="lowerLetter"/>
      <w:lvlText w:val="%8)"/>
      <w:lvlJc w:val="left"/>
      <w:pPr>
        <w:ind w:left="6338" w:hanging="420"/>
      </w:pPr>
    </w:lvl>
    <w:lvl w:ilvl="8" w:tentative="0">
      <w:start w:val="1"/>
      <w:numFmt w:val="lowerRoman"/>
      <w:lvlText w:val="%9."/>
      <w:lvlJc w:val="right"/>
      <w:pPr>
        <w:ind w:left="6758" w:hanging="420"/>
      </w:pPr>
    </w:lvl>
  </w:abstractNum>
  <w:abstractNum w:abstractNumId="4">
    <w:nsid w:val="5BA764B1"/>
    <w:multiLevelType w:val="multilevel"/>
    <w:tmpl w:val="5BA764B1"/>
    <w:lvl w:ilvl="0" w:tentative="0">
      <w:start w:val="1"/>
      <w:numFmt w:val="decimal"/>
      <w:pStyle w:val="46"/>
      <w:lvlText w:val="第%1条 "/>
      <w:lvlJc w:val="left"/>
      <w:pPr>
        <w:ind w:left="2689" w:hanging="420"/>
      </w:pPr>
      <w:rPr>
        <w:rFonts w:hint="eastAsia" w:eastAsia="仿宋"/>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1128" w:hanging="420"/>
      </w:pPr>
      <w:rPr>
        <w:rFonts w:hint="eastAsia"/>
      </w:rPr>
    </w:lvl>
    <w:lvl w:ilvl="2" w:tentative="0">
      <w:start w:val="1"/>
      <w:numFmt w:val="lowerRoman"/>
      <w:lvlText w:val="%3."/>
      <w:lvlJc w:val="right"/>
      <w:pPr>
        <w:ind w:left="1548" w:hanging="420"/>
      </w:pPr>
      <w:rPr>
        <w:rFonts w:hint="eastAsia"/>
      </w:rPr>
    </w:lvl>
    <w:lvl w:ilvl="3" w:tentative="0">
      <w:start w:val="1"/>
      <w:numFmt w:val="decimal"/>
      <w:lvlText w:val="%4."/>
      <w:lvlJc w:val="left"/>
      <w:pPr>
        <w:ind w:left="1968" w:hanging="420"/>
      </w:pPr>
      <w:rPr>
        <w:rFonts w:hint="eastAsia"/>
      </w:rPr>
    </w:lvl>
    <w:lvl w:ilvl="4" w:tentative="0">
      <w:start w:val="1"/>
      <w:numFmt w:val="lowerLetter"/>
      <w:lvlText w:val="%5)"/>
      <w:lvlJc w:val="left"/>
      <w:pPr>
        <w:ind w:left="2388" w:hanging="420"/>
      </w:pPr>
      <w:rPr>
        <w:rFonts w:hint="eastAsia"/>
      </w:rPr>
    </w:lvl>
    <w:lvl w:ilvl="5" w:tentative="0">
      <w:start w:val="1"/>
      <w:numFmt w:val="lowerRoman"/>
      <w:lvlText w:val="%6."/>
      <w:lvlJc w:val="right"/>
      <w:pPr>
        <w:ind w:left="2808" w:hanging="420"/>
      </w:pPr>
      <w:rPr>
        <w:rFonts w:hint="eastAsia"/>
      </w:rPr>
    </w:lvl>
    <w:lvl w:ilvl="6" w:tentative="0">
      <w:start w:val="1"/>
      <w:numFmt w:val="decimal"/>
      <w:lvlText w:val="%7."/>
      <w:lvlJc w:val="left"/>
      <w:pPr>
        <w:ind w:left="3228" w:hanging="420"/>
      </w:pPr>
      <w:rPr>
        <w:rFonts w:hint="eastAsia"/>
      </w:rPr>
    </w:lvl>
    <w:lvl w:ilvl="7" w:tentative="0">
      <w:start w:val="1"/>
      <w:numFmt w:val="lowerLetter"/>
      <w:lvlText w:val="%8)"/>
      <w:lvlJc w:val="left"/>
      <w:pPr>
        <w:ind w:left="3648" w:hanging="420"/>
      </w:pPr>
      <w:rPr>
        <w:rFonts w:hint="eastAsia"/>
      </w:rPr>
    </w:lvl>
    <w:lvl w:ilvl="8" w:tentative="0">
      <w:start w:val="1"/>
      <w:numFmt w:val="lowerRoman"/>
      <w:lvlText w:val="%9."/>
      <w:lvlJc w:val="right"/>
      <w:pPr>
        <w:ind w:left="4068" w:hanging="420"/>
      </w:pPr>
      <w:rPr>
        <w:rFonts w:hint="eastAsia"/>
      </w:rPr>
    </w:lvl>
  </w:abstractNum>
  <w:abstractNum w:abstractNumId="5">
    <w:nsid w:val="60A7328B"/>
    <w:multiLevelType w:val="multilevel"/>
    <w:tmpl w:val="60A7328B"/>
    <w:lvl w:ilvl="0" w:tentative="0">
      <w:start w:val="1"/>
      <w:numFmt w:val="decimal"/>
      <w:pStyle w:val="47"/>
      <w:lvlText w:val="第%1条"/>
      <w:lvlJc w:val="left"/>
      <w:pPr>
        <w:ind w:left="708" w:hanging="420"/>
      </w:pPr>
      <w:rPr>
        <w:rFonts w:hint="eastAsia"/>
      </w:rPr>
    </w:lvl>
    <w:lvl w:ilvl="1" w:tentative="0">
      <w:start w:val="1"/>
      <w:numFmt w:val="lowerLetter"/>
      <w:lvlText w:val="%2)"/>
      <w:lvlJc w:val="left"/>
      <w:pPr>
        <w:ind w:left="1128" w:hanging="420"/>
      </w:pPr>
    </w:lvl>
    <w:lvl w:ilvl="2" w:tentative="0">
      <w:start w:val="1"/>
      <w:numFmt w:val="lowerRoman"/>
      <w:lvlText w:val="%3."/>
      <w:lvlJc w:val="right"/>
      <w:pPr>
        <w:ind w:left="1548" w:hanging="420"/>
      </w:pPr>
    </w:lvl>
    <w:lvl w:ilvl="3" w:tentative="0">
      <w:start w:val="1"/>
      <w:numFmt w:val="decimal"/>
      <w:lvlText w:val="%4."/>
      <w:lvlJc w:val="left"/>
      <w:pPr>
        <w:ind w:left="1968" w:hanging="420"/>
      </w:pPr>
    </w:lvl>
    <w:lvl w:ilvl="4" w:tentative="0">
      <w:start w:val="1"/>
      <w:numFmt w:val="lowerLetter"/>
      <w:lvlText w:val="%5)"/>
      <w:lvlJc w:val="left"/>
      <w:pPr>
        <w:ind w:left="2388" w:hanging="420"/>
      </w:pPr>
    </w:lvl>
    <w:lvl w:ilvl="5" w:tentative="0">
      <w:start w:val="1"/>
      <w:numFmt w:val="lowerRoman"/>
      <w:lvlText w:val="%6."/>
      <w:lvlJc w:val="right"/>
      <w:pPr>
        <w:ind w:left="2808" w:hanging="420"/>
      </w:pPr>
    </w:lvl>
    <w:lvl w:ilvl="6" w:tentative="0">
      <w:start w:val="1"/>
      <w:numFmt w:val="decimal"/>
      <w:lvlText w:val="%7."/>
      <w:lvlJc w:val="left"/>
      <w:pPr>
        <w:ind w:left="3228" w:hanging="420"/>
      </w:pPr>
    </w:lvl>
    <w:lvl w:ilvl="7" w:tentative="0">
      <w:start w:val="1"/>
      <w:numFmt w:val="lowerLetter"/>
      <w:lvlText w:val="%8)"/>
      <w:lvlJc w:val="left"/>
      <w:pPr>
        <w:ind w:left="3648" w:hanging="420"/>
      </w:pPr>
    </w:lvl>
    <w:lvl w:ilvl="8" w:tentative="0">
      <w:start w:val="1"/>
      <w:numFmt w:val="lowerRoman"/>
      <w:lvlText w:val="%9."/>
      <w:lvlJc w:val="right"/>
      <w:pPr>
        <w:ind w:left="4068" w:hanging="420"/>
      </w:pPr>
    </w:lvl>
  </w:abstractNum>
  <w:abstractNum w:abstractNumId="6">
    <w:nsid w:val="711D24F1"/>
    <w:multiLevelType w:val="multilevel"/>
    <w:tmpl w:val="711D24F1"/>
    <w:lvl w:ilvl="0" w:tentative="0">
      <w:start w:val="1"/>
      <w:numFmt w:val="chineseCountingThousand"/>
      <w:pStyle w:val="2"/>
      <w:lvlText w:val="第%1章"/>
      <w:lvlJc w:val="left"/>
      <w:pPr>
        <w:ind w:left="420" w:hanging="420"/>
      </w:pPr>
      <w:rPr>
        <w:rFonts w:hint="eastAsia" w:ascii="方正小标宋_GBK" w:hAnsi="黑体" w:eastAsia="方正小标宋_GBK"/>
      </w:rPr>
    </w:lvl>
    <w:lvl w:ilvl="1" w:tentative="0">
      <w:start w:val="1"/>
      <w:numFmt w:val="decimalZero"/>
      <w:isLgl/>
      <w:lvlText w:val="节 %1.%2"/>
      <w:lvlJc w:val="left"/>
      <w:pPr>
        <w:ind w:left="2978"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num w:numId="1">
    <w:abstractNumId w:val="6"/>
  </w:num>
  <w:num w:numId="2">
    <w:abstractNumId w:val="4"/>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DZjZWVhZDJkM2M1YTExNjJiNWViNjU3ZjRjYjYifQ=="/>
  </w:docVars>
  <w:rsids>
    <w:rsidRoot w:val="00172A27"/>
    <w:rsid w:val="000000CA"/>
    <w:rsid w:val="000015E9"/>
    <w:rsid w:val="000033E9"/>
    <w:rsid w:val="00004891"/>
    <w:rsid w:val="000050E0"/>
    <w:rsid w:val="0001147E"/>
    <w:rsid w:val="0001351E"/>
    <w:rsid w:val="00013666"/>
    <w:rsid w:val="0001407B"/>
    <w:rsid w:val="00016971"/>
    <w:rsid w:val="000171FF"/>
    <w:rsid w:val="00017CC3"/>
    <w:rsid w:val="00020667"/>
    <w:rsid w:val="00020F2E"/>
    <w:rsid w:val="000210E6"/>
    <w:rsid w:val="0002477F"/>
    <w:rsid w:val="00026715"/>
    <w:rsid w:val="00032A43"/>
    <w:rsid w:val="00042EB2"/>
    <w:rsid w:val="000433D2"/>
    <w:rsid w:val="00043497"/>
    <w:rsid w:val="0004596D"/>
    <w:rsid w:val="00047477"/>
    <w:rsid w:val="00050B97"/>
    <w:rsid w:val="000525A3"/>
    <w:rsid w:val="000535E6"/>
    <w:rsid w:val="000539EC"/>
    <w:rsid w:val="000558D7"/>
    <w:rsid w:val="00056713"/>
    <w:rsid w:val="00060B50"/>
    <w:rsid w:val="00064868"/>
    <w:rsid w:val="00065B90"/>
    <w:rsid w:val="00067A4E"/>
    <w:rsid w:val="000721DC"/>
    <w:rsid w:val="00072AE7"/>
    <w:rsid w:val="00072EE9"/>
    <w:rsid w:val="000732B4"/>
    <w:rsid w:val="00075AF3"/>
    <w:rsid w:val="00076791"/>
    <w:rsid w:val="00076A4D"/>
    <w:rsid w:val="00076C4B"/>
    <w:rsid w:val="00076F4B"/>
    <w:rsid w:val="00081BAF"/>
    <w:rsid w:val="000820D4"/>
    <w:rsid w:val="000831F9"/>
    <w:rsid w:val="00083C04"/>
    <w:rsid w:val="00084578"/>
    <w:rsid w:val="00087171"/>
    <w:rsid w:val="0009028F"/>
    <w:rsid w:val="00091AC7"/>
    <w:rsid w:val="00091BB1"/>
    <w:rsid w:val="00092924"/>
    <w:rsid w:val="00093F4B"/>
    <w:rsid w:val="00094A4F"/>
    <w:rsid w:val="000A4237"/>
    <w:rsid w:val="000A4B22"/>
    <w:rsid w:val="000A648A"/>
    <w:rsid w:val="000A7F0B"/>
    <w:rsid w:val="000B2833"/>
    <w:rsid w:val="000B4657"/>
    <w:rsid w:val="000B508E"/>
    <w:rsid w:val="000B655D"/>
    <w:rsid w:val="000B76AF"/>
    <w:rsid w:val="000C1D3E"/>
    <w:rsid w:val="000C2300"/>
    <w:rsid w:val="000C2EB3"/>
    <w:rsid w:val="000C3BBB"/>
    <w:rsid w:val="000D33CF"/>
    <w:rsid w:val="000D3DD6"/>
    <w:rsid w:val="000D4B71"/>
    <w:rsid w:val="000E21DC"/>
    <w:rsid w:val="000E3FEF"/>
    <w:rsid w:val="000F1C30"/>
    <w:rsid w:val="000F1E83"/>
    <w:rsid w:val="000F30A7"/>
    <w:rsid w:val="000F33C4"/>
    <w:rsid w:val="000F3C16"/>
    <w:rsid w:val="000F47D6"/>
    <w:rsid w:val="000F6B9F"/>
    <w:rsid w:val="000F771A"/>
    <w:rsid w:val="00100485"/>
    <w:rsid w:val="00103A5E"/>
    <w:rsid w:val="00107125"/>
    <w:rsid w:val="0011086D"/>
    <w:rsid w:val="00111C71"/>
    <w:rsid w:val="00115A56"/>
    <w:rsid w:val="00116AAB"/>
    <w:rsid w:val="00116AD2"/>
    <w:rsid w:val="00117047"/>
    <w:rsid w:val="00120C92"/>
    <w:rsid w:val="00126C25"/>
    <w:rsid w:val="001431F7"/>
    <w:rsid w:val="00143981"/>
    <w:rsid w:val="00145453"/>
    <w:rsid w:val="00145915"/>
    <w:rsid w:val="00151851"/>
    <w:rsid w:val="00165582"/>
    <w:rsid w:val="00170A5A"/>
    <w:rsid w:val="00174214"/>
    <w:rsid w:val="00174FD4"/>
    <w:rsid w:val="00175985"/>
    <w:rsid w:val="00181FA4"/>
    <w:rsid w:val="0018558D"/>
    <w:rsid w:val="00187121"/>
    <w:rsid w:val="00191F75"/>
    <w:rsid w:val="00192EE6"/>
    <w:rsid w:val="0019580B"/>
    <w:rsid w:val="001966B7"/>
    <w:rsid w:val="001A0C16"/>
    <w:rsid w:val="001A1B8F"/>
    <w:rsid w:val="001A1F76"/>
    <w:rsid w:val="001A518A"/>
    <w:rsid w:val="001A5C28"/>
    <w:rsid w:val="001B1AC4"/>
    <w:rsid w:val="001B1F6E"/>
    <w:rsid w:val="001B249E"/>
    <w:rsid w:val="001B7BD9"/>
    <w:rsid w:val="001C05DA"/>
    <w:rsid w:val="001C2267"/>
    <w:rsid w:val="001C34E7"/>
    <w:rsid w:val="001C4A73"/>
    <w:rsid w:val="001C63F4"/>
    <w:rsid w:val="001C6973"/>
    <w:rsid w:val="001D129E"/>
    <w:rsid w:val="001D12FC"/>
    <w:rsid w:val="001D30DD"/>
    <w:rsid w:val="001D357B"/>
    <w:rsid w:val="001D4E9D"/>
    <w:rsid w:val="001D66E3"/>
    <w:rsid w:val="001E01D7"/>
    <w:rsid w:val="001E2532"/>
    <w:rsid w:val="001E5775"/>
    <w:rsid w:val="001E5F44"/>
    <w:rsid w:val="001E7235"/>
    <w:rsid w:val="001F1C97"/>
    <w:rsid w:val="001F2211"/>
    <w:rsid w:val="001F385D"/>
    <w:rsid w:val="001F49A4"/>
    <w:rsid w:val="002014BA"/>
    <w:rsid w:val="002029B6"/>
    <w:rsid w:val="0020352E"/>
    <w:rsid w:val="002061BE"/>
    <w:rsid w:val="00206F1A"/>
    <w:rsid w:val="002124AB"/>
    <w:rsid w:val="00212B26"/>
    <w:rsid w:val="002134B5"/>
    <w:rsid w:val="00213AC0"/>
    <w:rsid w:val="00214502"/>
    <w:rsid w:val="00214DCF"/>
    <w:rsid w:val="00214F4F"/>
    <w:rsid w:val="0021551D"/>
    <w:rsid w:val="00215726"/>
    <w:rsid w:val="00216692"/>
    <w:rsid w:val="00221657"/>
    <w:rsid w:val="00222350"/>
    <w:rsid w:val="00224098"/>
    <w:rsid w:val="002243C5"/>
    <w:rsid w:val="00225C51"/>
    <w:rsid w:val="00225F1A"/>
    <w:rsid w:val="0022705C"/>
    <w:rsid w:val="00232F40"/>
    <w:rsid w:val="00233E4F"/>
    <w:rsid w:val="00235F96"/>
    <w:rsid w:val="002411F6"/>
    <w:rsid w:val="00246FE4"/>
    <w:rsid w:val="00247B14"/>
    <w:rsid w:val="00247BC8"/>
    <w:rsid w:val="00250500"/>
    <w:rsid w:val="002507EE"/>
    <w:rsid w:val="0025209B"/>
    <w:rsid w:val="00254E7D"/>
    <w:rsid w:val="0025687A"/>
    <w:rsid w:val="0025693E"/>
    <w:rsid w:val="00260F11"/>
    <w:rsid w:val="00261964"/>
    <w:rsid w:val="00262B3A"/>
    <w:rsid w:val="00263101"/>
    <w:rsid w:val="00264D24"/>
    <w:rsid w:val="002652F1"/>
    <w:rsid w:val="00265B58"/>
    <w:rsid w:val="002665BE"/>
    <w:rsid w:val="00267A57"/>
    <w:rsid w:val="0027008E"/>
    <w:rsid w:val="002723D1"/>
    <w:rsid w:val="0027343D"/>
    <w:rsid w:val="00284209"/>
    <w:rsid w:val="0028506F"/>
    <w:rsid w:val="002855F9"/>
    <w:rsid w:val="0028779D"/>
    <w:rsid w:val="002923E5"/>
    <w:rsid w:val="00292BE1"/>
    <w:rsid w:val="002A0398"/>
    <w:rsid w:val="002A05ED"/>
    <w:rsid w:val="002A2C39"/>
    <w:rsid w:val="002A430E"/>
    <w:rsid w:val="002B14EB"/>
    <w:rsid w:val="002B4D61"/>
    <w:rsid w:val="002C0DFD"/>
    <w:rsid w:val="002C2361"/>
    <w:rsid w:val="002C2403"/>
    <w:rsid w:val="002C4B93"/>
    <w:rsid w:val="002C7545"/>
    <w:rsid w:val="002D03DB"/>
    <w:rsid w:val="002D20DB"/>
    <w:rsid w:val="002D273B"/>
    <w:rsid w:val="002D64DF"/>
    <w:rsid w:val="002D68C7"/>
    <w:rsid w:val="002E36BF"/>
    <w:rsid w:val="002E4FAE"/>
    <w:rsid w:val="002E5373"/>
    <w:rsid w:val="002F01B6"/>
    <w:rsid w:val="002F7CD8"/>
    <w:rsid w:val="00300E40"/>
    <w:rsid w:val="003032D6"/>
    <w:rsid w:val="00304401"/>
    <w:rsid w:val="00306F25"/>
    <w:rsid w:val="003128D3"/>
    <w:rsid w:val="00312922"/>
    <w:rsid w:val="00314DAD"/>
    <w:rsid w:val="00314F10"/>
    <w:rsid w:val="0031665E"/>
    <w:rsid w:val="00316DB1"/>
    <w:rsid w:val="003171BF"/>
    <w:rsid w:val="00321E37"/>
    <w:rsid w:val="00332B33"/>
    <w:rsid w:val="003406AE"/>
    <w:rsid w:val="00340E02"/>
    <w:rsid w:val="00343C5E"/>
    <w:rsid w:val="00344D11"/>
    <w:rsid w:val="0034769F"/>
    <w:rsid w:val="00352719"/>
    <w:rsid w:val="00353CDA"/>
    <w:rsid w:val="00353D8B"/>
    <w:rsid w:val="003550D5"/>
    <w:rsid w:val="0035635E"/>
    <w:rsid w:val="00356611"/>
    <w:rsid w:val="003620D9"/>
    <w:rsid w:val="0036292A"/>
    <w:rsid w:val="003630D0"/>
    <w:rsid w:val="00364350"/>
    <w:rsid w:val="003645CC"/>
    <w:rsid w:val="00365193"/>
    <w:rsid w:val="00365314"/>
    <w:rsid w:val="0037212A"/>
    <w:rsid w:val="00372609"/>
    <w:rsid w:val="00374144"/>
    <w:rsid w:val="00374159"/>
    <w:rsid w:val="0037442F"/>
    <w:rsid w:val="00374B15"/>
    <w:rsid w:val="00374DE4"/>
    <w:rsid w:val="00375BD4"/>
    <w:rsid w:val="003760BF"/>
    <w:rsid w:val="0038097E"/>
    <w:rsid w:val="00380B3E"/>
    <w:rsid w:val="003812E9"/>
    <w:rsid w:val="003849A1"/>
    <w:rsid w:val="0038663D"/>
    <w:rsid w:val="00386AD9"/>
    <w:rsid w:val="00390031"/>
    <w:rsid w:val="00392D20"/>
    <w:rsid w:val="00393F96"/>
    <w:rsid w:val="0039411A"/>
    <w:rsid w:val="00395544"/>
    <w:rsid w:val="00395A40"/>
    <w:rsid w:val="0039764C"/>
    <w:rsid w:val="00397C5A"/>
    <w:rsid w:val="003A21D7"/>
    <w:rsid w:val="003A29F1"/>
    <w:rsid w:val="003A360F"/>
    <w:rsid w:val="003A3678"/>
    <w:rsid w:val="003A4A05"/>
    <w:rsid w:val="003A55F6"/>
    <w:rsid w:val="003A5F68"/>
    <w:rsid w:val="003A6227"/>
    <w:rsid w:val="003A6347"/>
    <w:rsid w:val="003A6CE4"/>
    <w:rsid w:val="003A74D8"/>
    <w:rsid w:val="003B0097"/>
    <w:rsid w:val="003B0120"/>
    <w:rsid w:val="003B0C23"/>
    <w:rsid w:val="003B0CB7"/>
    <w:rsid w:val="003B2ABB"/>
    <w:rsid w:val="003B341C"/>
    <w:rsid w:val="003B3921"/>
    <w:rsid w:val="003B4A28"/>
    <w:rsid w:val="003B52E5"/>
    <w:rsid w:val="003B5A17"/>
    <w:rsid w:val="003B6D60"/>
    <w:rsid w:val="003B7083"/>
    <w:rsid w:val="003B7104"/>
    <w:rsid w:val="003B72A9"/>
    <w:rsid w:val="003B7EC4"/>
    <w:rsid w:val="003C0599"/>
    <w:rsid w:val="003C4A35"/>
    <w:rsid w:val="003D1D0B"/>
    <w:rsid w:val="003D25E8"/>
    <w:rsid w:val="003D431E"/>
    <w:rsid w:val="003D52A7"/>
    <w:rsid w:val="003D53F9"/>
    <w:rsid w:val="003D5672"/>
    <w:rsid w:val="003E17AB"/>
    <w:rsid w:val="003E1BE2"/>
    <w:rsid w:val="003E1C9A"/>
    <w:rsid w:val="003E3E68"/>
    <w:rsid w:val="003E48CB"/>
    <w:rsid w:val="003E69AF"/>
    <w:rsid w:val="003E7239"/>
    <w:rsid w:val="003F10DF"/>
    <w:rsid w:val="003F38CD"/>
    <w:rsid w:val="003F3DAE"/>
    <w:rsid w:val="003F4687"/>
    <w:rsid w:val="004006B7"/>
    <w:rsid w:val="0040509E"/>
    <w:rsid w:val="004062E3"/>
    <w:rsid w:val="00406BB3"/>
    <w:rsid w:val="00410CF3"/>
    <w:rsid w:val="00412659"/>
    <w:rsid w:val="004129D9"/>
    <w:rsid w:val="00412FC5"/>
    <w:rsid w:val="00415706"/>
    <w:rsid w:val="00416EA6"/>
    <w:rsid w:val="00416FF2"/>
    <w:rsid w:val="00422699"/>
    <w:rsid w:val="0042359B"/>
    <w:rsid w:val="00423A13"/>
    <w:rsid w:val="00425613"/>
    <w:rsid w:val="00425667"/>
    <w:rsid w:val="00425901"/>
    <w:rsid w:val="004305E0"/>
    <w:rsid w:val="00433849"/>
    <w:rsid w:val="0043404F"/>
    <w:rsid w:val="00434E84"/>
    <w:rsid w:val="00435641"/>
    <w:rsid w:val="00435FFD"/>
    <w:rsid w:val="00437AB4"/>
    <w:rsid w:val="00440F4A"/>
    <w:rsid w:val="00441630"/>
    <w:rsid w:val="00442AFD"/>
    <w:rsid w:val="00442EDD"/>
    <w:rsid w:val="00444577"/>
    <w:rsid w:val="00445AD2"/>
    <w:rsid w:val="00447DED"/>
    <w:rsid w:val="00453FBB"/>
    <w:rsid w:val="00456DB1"/>
    <w:rsid w:val="0046005B"/>
    <w:rsid w:val="004604FA"/>
    <w:rsid w:val="00461CA5"/>
    <w:rsid w:val="00461ECB"/>
    <w:rsid w:val="0046375D"/>
    <w:rsid w:val="004639F7"/>
    <w:rsid w:val="00463A80"/>
    <w:rsid w:val="004664CD"/>
    <w:rsid w:val="00466DAA"/>
    <w:rsid w:val="0046742B"/>
    <w:rsid w:val="004678A4"/>
    <w:rsid w:val="00471B76"/>
    <w:rsid w:val="0047333D"/>
    <w:rsid w:val="004742DF"/>
    <w:rsid w:val="00474F06"/>
    <w:rsid w:val="00477B75"/>
    <w:rsid w:val="00485223"/>
    <w:rsid w:val="00486812"/>
    <w:rsid w:val="0049020B"/>
    <w:rsid w:val="0049192C"/>
    <w:rsid w:val="00494555"/>
    <w:rsid w:val="00496120"/>
    <w:rsid w:val="004961F0"/>
    <w:rsid w:val="00496B42"/>
    <w:rsid w:val="004A0C19"/>
    <w:rsid w:val="004A139C"/>
    <w:rsid w:val="004A2F95"/>
    <w:rsid w:val="004A561D"/>
    <w:rsid w:val="004A72A4"/>
    <w:rsid w:val="004B070B"/>
    <w:rsid w:val="004B3E8B"/>
    <w:rsid w:val="004B4286"/>
    <w:rsid w:val="004B7234"/>
    <w:rsid w:val="004C186B"/>
    <w:rsid w:val="004C3550"/>
    <w:rsid w:val="004C6A7D"/>
    <w:rsid w:val="004D2F0A"/>
    <w:rsid w:val="004D4954"/>
    <w:rsid w:val="004D6C2B"/>
    <w:rsid w:val="004E16C4"/>
    <w:rsid w:val="004E4A44"/>
    <w:rsid w:val="004E4D1A"/>
    <w:rsid w:val="004E720C"/>
    <w:rsid w:val="004E72D1"/>
    <w:rsid w:val="004F044F"/>
    <w:rsid w:val="004F22A6"/>
    <w:rsid w:val="004F252C"/>
    <w:rsid w:val="004F28FF"/>
    <w:rsid w:val="004F5EB1"/>
    <w:rsid w:val="00500FC4"/>
    <w:rsid w:val="0050308A"/>
    <w:rsid w:val="00507CB7"/>
    <w:rsid w:val="005120F3"/>
    <w:rsid w:val="00513928"/>
    <w:rsid w:val="005147CF"/>
    <w:rsid w:val="00514878"/>
    <w:rsid w:val="00516E6B"/>
    <w:rsid w:val="005173E5"/>
    <w:rsid w:val="00520A9B"/>
    <w:rsid w:val="00526481"/>
    <w:rsid w:val="00526B3A"/>
    <w:rsid w:val="00526F4C"/>
    <w:rsid w:val="00531528"/>
    <w:rsid w:val="005338AD"/>
    <w:rsid w:val="00534C28"/>
    <w:rsid w:val="00536902"/>
    <w:rsid w:val="005379A0"/>
    <w:rsid w:val="00540DB2"/>
    <w:rsid w:val="0054144C"/>
    <w:rsid w:val="00542176"/>
    <w:rsid w:val="00544577"/>
    <w:rsid w:val="00550E57"/>
    <w:rsid w:val="005513FF"/>
    <w:rsid w:val="00552108"/>
    <w:rsid w:val="00553F0C"/>
    <w:rsid w:val="00555088"/>
    <w:rsid w:val="0055701A"/>
    <w:rsid w:val="0055766E"/>
    <w:rsid w:val="005609F1"/>
    <w:rsid w:val="005618E4"/>
    <w:rsid w:val="005633EB"/>
    <w:rsid w:val="00564608"/>
    <w:rsid w:val="00564A5C"/>
    <w:rsid w:val="00566B12"/>
    <w:rsid w:val="00567718"/>
    <w:rsid w:val="00567FAC"/>
    <w:rsid w:val="005713CE"/>
    <w:rsid w:val="00572547"/>
    <w:rsid w:val="00574E92"/>
    <w:rsid w:val="00575C84"/>
    <w:rsid w:val="005764F6"/>
    <w:rsid w:val="005772CD"/>
    <w:rsid w:val="00577CDD"/>
    <w:rsid w:val="00580E32"/>
    <w:rsid w:val="00584B75"/>
    <w:rsid w:val="00587242"/>
    <w:rsid w:val="005902E6"/>
    <w:rsid w:val="0059422E"/>
    <w:rsid w:val="005A0D16"/>
    <w:rsid w:val="005A12A9"/>
    <w:rsid w:val="005A207A"/>
    <w:rsid w:val="005A20BB"/>
    <w:rsid w:val="005A28A3"/>
    <w:rsid w:val="005A3DF4"/>
    <w:rsid w:val="005A3E5E"/>
    <w:rsid w:val="005A79EE"/>
    <w:rsid w:val="005B0CA3"/>
    <w:rsid w:val="005B3DCF"/>
    <w:rsid w:val="005B41E3"/>
    <w:rsid w:val="005B5970"/>
    <w:rsid w:val="005C047D"/>
    <w:rsid w:val="005C17AE"/>
    <w:rsid w:val="005C3113"/>
    <w:rsid w:val="005C3A21"/>
    <w:rsid w:val="005C42B4"/>
    <w:rsid w:val="005C44F2"/>
    <w:rsid w:val="005D1F7B"/>
    <w:rsid w:val="005D6541"/>
    <w:rsid w:val="005D6CEF"/>
    <w:rsid w:val="005D7748"/>
    <w:rsid w:val="005E0784"/>
    <w:rsid w:val="005E2193"/>
    <w:rsid w:val="005E2D98"/>
    <w:rsid w:val="005E5D0D"/>
    <w:rsid w:val="005E7435"/>
    <w:rsid w:val="005F08E7"/>
    <w:rsid w:val="005F4244"/>
    <w:rsid w:val="005F7DA6"/>
    <w:rsid w:val="006000C3"/>
    <w:rsid w:val="00601814"/>
    <w:rsid w:val="00602B92"/>
    <w:rsid w:val="0060541C"/>
    <w:rsid w:val="00605676"/>
    <w:rsid w:val="00605A93"/>
    <w:rsid w:val="00605C93"/>
    <w:rsid w:val="006063AD"/>
    <w:rsid w:val="00611B0E"/>
    <w:rsid w:val="00611D7C"/>
    <w:rsid w:val="0061411E"/>
    <w:rsid w:val="006154C5"/>
    <w:rsid w:val="00615A15"/>
    <w:rsid w:val="00616AFC"/>
    <w:rsid w:val="00621F4C"/>
    <w:rsid w:val="0062295D"/>
    <w:rsid w:val="006241A8"/>
    <w:rsid w:val="00625CD6"/>
    <w:rsid w:val="006343FF"/>
    <w:rsid w:val="0063748C"/>
    <w:rsid w:val="00637E83"/>
    <w:rsid w:val="00645ACF"/>
    <w:rsid w:val="00646625"/>
    <w:rsid w:val="00651055"/>
    <w:rsid w:val="00652D78"/>
    <w:rsid w:val="006555CF"/>
    <w:rsid w:val="006559FB"/>
    <w:rsid w:val="00656329"/>
    <w:rsid w:val="00661437"/>
    <w:rsid w:val="006614EE"/>
    <w:rsid w:val="00662C2E"/>
    <w:rsid w:val="00666EA0"/>
    <w:rsid w:val="0066717C"/>
    <w:rsid w:val="00667805"/>
    <w:rsid w:val="0067081D"/>
    <w:rsid w:val="006735B0"/>
    <w:rsid w:val="00674343"/>
    <w:rsid w:val="00674AD0"/>
    <w:rsid w:val="006769F8"/>
    <w:rsid w:val="00680B63"/>
    <w:rsid w:val="00680D20"/>
    <w:rsid w:val="00681939"/>
    <w:rsid w:val="00681AE9"/>
    <w:rsid w:val="0068346F"/>
    <w:rsid w:val="006909C6"/>
    <w:rsid w:val="00692BDA"/>
    <w:rsid w:val="00693A65"/>
    <w:rsid w:val="00694CFF"/>
    <w:rsid w:val="00694DCB"/>
    <w:rsid w:val="0069503E"/>
    <w:rsid w:val="006953CE"/>
    <w:rsid w:val="00697A86"/>
    <w:rsid w:val="006A0D8C"/>
    <w:rsid w:val="006A1659"/>
    <w:rsid w:val="006A32F3"/>
    <w:rsid w:val="006A4F85"/>
    <w:rsid w:val="006B0047"/>
    <w:rsid w:val="006B1274"/>
    <w:rsid w:val="006B2888"/>
    <w:rsid w:val="006B2A17"/>
    <w:rsid w:val="006B2C2D"/>
    <w:rsid w:val="006B5104"/>
    <w:rsid w:val="006B73D8"/>
    <w:rsid w:val="006B75BD"/>
    <w:rsid w:val="006C1E91"/>
    <w:rsid w:val="006C1EBE"/>
    <w:rsid w:val="006C7086"/>
    <w:rsid w:val="006D077D"/>
    <w:rsid w:val="006D13A6"/>
    <w:rsid w:val="006D1AC3"/>
    <w:rsid w:val="006D269E"/>
    <w:rsid w:val="006D3835"/>
    <w:rsid w:val="006D3AA9"/>
    <w:rsid w:val="006D42CD"/>
    <w:rsid w:val="006D5E73"/>
    <w:rsid w:val="006D625C"/>
    <w:rsid w:val="006D76BB"/>
    <w:rsid w:val="006E4285"/>
    <w:rsid w:val="006E65D5"/>
    <w:rsid w:val="006F0054"/>
    <w:rsid w:val="006F0084"/>
    <w:rsid w:val="006F11C2"/>
    <w:rsid w:val="006F4DF5"/>
    <w:rsid w:val="006F5587"/>
    <w:rsid w:val="006F6DAF"/>
    <w:rsid w:val="00702443"/>
    <w:rsid w:val="0070289E"/>
    <w:rsid w:val="007028A8"/>
    <w:rsid w:val="00705E44"/>
    <w:rsid w:val="007063DC"/>
    <w:rsid w:val="0070683F"/>
    <w:rsid w:val="00711933"/>
    <w:rsid w:val="00713CD2"/>
    <w:rsid w:val="00717344"/>
    <w:rsid w:val="007203A8"/>
    <w:rsid w:val="00720438"/>
    <w:rsid w:val="00726B18"/>
    <w:rsid w:val="00727E77"/>
    <w:rsid w:val="0073568F"/>
    <w:rsid w:val="00735E03"/>
    <w:rsid w:val="00744639"/>
    <w:rsid w:val="00747723"/>
    <w:rsid w:val="00753BB2"/>
    <w:rsid w:val="00763D90"/>
    <w:rsid w:val="00764157"/>
    <w:rsid w:val="007651AF"/>
    <w:rsid w:val="00770D2D"/>
    <w:rsid w:val="007711D5"/>
    <w:rsid w:val="00774E4E"/>
    <w:rsid w:val="00775BE2"/>
    <w:rsid w:val="00776A54"/>
    <w:rsid w:val="00780ED8"/>
    <w:rsid w:val="00781931"/>
    <w:rsid w:val="00783D06"/>
    <w:rsid w:val="0078756B"/>
    <w:rsid w:val="00787CDD"/>
    <w:rsid w:val="0079216C"/>
    <w:rsid w:val="007946FE"/>
    <w:rsid w:val="007A07DC"/>
    <w:rsid w:val="007A19F8"/>
    <w:rsid w:val="007A21ED"/>
    <w:rsid w:val="007A2B5D"/>
    <w:rsid w:val="007A7BCB"/>
    <w:rsid w:val="007B123F"/>
    <w:rsid w:val="007B70FC"/>
    <w:rsid w:val="007B78E1"/>
    <w:rsid w:val="007C0080"/>
    <w:rsid w:val="007C00D0"/>
    <w:rsid w:val="007C010B"/>
    <w:rsid w:val="007C1368"/>
    <w:rsid w:val="007C1481"/>
    <w:rsid w:val="007C55E3"/>
    <w:rsid w:val="007C66C3"/>
    <w:rsid w:val="007C69B2"/>
    <w:rsid w:val="007D1440"/>
    <w:rsid w:val="007D1913"/>
    <w:rsid w:val="007D2722"/>
    <w:rsid w:val="007D4D80"/>
    <w:rsid w:val="007D7917"/>
    <w:rsid w:val="007D7B29"/>
    <w:rsid w:val="007D7CCF"/>
    <w:rsid w:val="007E1882"/>
    <w:rsid w:val="007E2095"/>
    <w:rsid w:val="007E2815"/>
    <w:rsid w:val="007E3F97"/>
    <w:rsid w:val="007E5F32"/>
    <w:rsid w:val="007E60C7"/>
    <w:rsid w:val="007E6C52"/>
    <w:rsid w:val="007E6EB8"/>
    <w:rsid w:val="007F7828"/>
    <w:rsid w:val="008002AC"/>
    <w:rsid w:val="0080037E"/>
    <w:rsid w:val="00800E69"/>
    <w:rsid w:val="00801420"/>
    <w:rsid w:val="00801867"/>
    <w:rsid w:val="00802442"/>
    <w:rsid w:val="00802E3E"/>
    <w:rsid w:val="0080369A"/>
    <w:rsid w:val="00804C11"/>
    <w:rsid w:val="0080623E"/>
    <w:rsid w:val="00807614"/>
    <w:rsid w:val="00811B2B"/>
    <w:rsid w:val="00812D31"/>
    <w:rsid w:val="00816001"/>
    <w:rsid w:val="008207C8"/>
    <w:rsid w:val="008208E2"/>
    <w:rsid w:val="00822695"/>
    <w:rsid w:val="00822DDE"/>
    <w:rsid w:val="00824B99"/>
    <w:rsid w:val="00826F88"/>
    <w:rsid w:val="0083173A"/>
    <w:rsid w:val="00833AFC"/>
    <w:rsid w:val="008355EF"/>
    <w:rsid w:val="00836F37"/>
    <w:rsid w:val="00837F91"/>
    <w:rsid w:val="008405FA"/>
    <w:rsid w:val="00840DA6"/>
    <w:rsid w:val="008418F5"/>
    <w:rsid w:val="00841FEA"/>
    <w:rsid w:val="00842BA7"/>
    <w:rsid w:val="00845FDB"/>
    <w:rsid w:val="008472B6"/>
    <w:rsid w:val="00851982"/>
    <w:rsid w:val="00860360"/>
    <w:rsid w:val="008613B1"/>
    <w:rsid w:val="00861885"/>
    <w:rsid w:val="00863410"/>
    <w:rsid w:val="00867BB9"/>
    <w:rsid w:val="00871338"/>
    <w:rsid w:val="008764DE"/>
    <w:rsid w:val="00876E88"/>
    <w:rsid w:val="00880DFA"/>
    <w:rsid w:val="00882E93"/>
    <w:rsid w:val="00885C2D"/>
    <w:rsid w:val="0089665F"/>
    <w:rsid w:val="00896DC3"/>
    <w:rsid w:val="008A20E9"/>
    <w:rsid w:val="008A3E85"/>
    <w:rsid w:val="008A571C"/>
    <w:rsid w:val="008A6573"/>
    <w:rsid w:val="008A658B"/>
    <w:rsid w:val="008A6B9F"/>
    <w:rsid w:val="008A6CE6"/>
    <w:rsid w:val="008A78CC"/>
    <w:rsid w:val="008B2C97"/>
    <w:rsid w:val="008B3402"/>
    <w:rsid w:val="008B4BB0"/>
    <w:rsid w:val="008B6582"/>
    <w:rsid w:val="008C0412"/>
    <w:rsid w:val="008C1FCD"/>
    <w:rsid w:val="008C217A"/>
    <w:rsid w:val="008C2285"/>
    <w:rsid w:val="008C29C3"/>
    <w:rsid w:val="008C5856"/>
    <w:rsid w:val="008C5B45"/>
    <w:rsid w:val="008C726A"/>
    <w:rsid w:val="008D1A81"/>
    <w:rsid w:val="008D35F8"/>
    <w:rsid w:val="008D3FEF"/>
    <w:rsid w:val="008D4741"/>
    <w:rsid w:val="008D4E67"/>
    <w:rsid w:val="008D5948"/>
    <w:rsid w:val="008D5EC9"/>
    <w:rsid w:val="008E13FA"/>
    <w:rsid w:val="008E14AE"/>
    <w:rsid w:val="008E167F"/>
    <w:rsid w:val="008E4A1C"/>
    <w:rsid w:val="008E5209"/>
    <w:rsid w:val="008E7249"/>
    <w:rsid w:val="008F134F"/>
    <w:rsid w:val="008F428A"/>
    <w:rsid w:val="008F4F5F"/>
    <w:rsid w:val="008F5203"/>
    <w:rsid w:val="008F646E"/>
    <w:rsid w:val="008F7B07"/>
    <w:rsid w:val="009012BB"/>
    <w:rsid w:val="00902833"/>
    <w:rsid w:val="00902C40"/>
    <w:rsid w:val="00904EA6"/>
    <w:rsid w:val="009078DC"/>
    <w:rsid w:val="00911198"/>
    <w:rsid w:val="0091172D"/>
    <w:rsid w:val="00912CE9"/>
    <w:rsid w:val="00914B8D"/>
    <w:rsid w:val="009165AF"/>
    <w:rsid w:val="00916D4D"/>
    <w:rsid w:val="00921690"/>
    <w:rsid w:val="0092200F"/>
    <w:rsid w:val="00923252"/>
    <w:rsid w:val="0092399E"/>
    <w:rsid w:val="00927949"/>
    <w:rsid w:val="009303F4"/>
    <w:rsid w:val="00930454"/>
    <w:rsid w:val="00930C24"/>
    <w:rsid w:val="009341A6"/>
    <w:rsid w:val="0093567B"/>
    <w:rsid w:val="00937031"/>
    <w:rsid w:val="00940E1E"/>
    <w:rsid w:val="00945E5C"/>
    <w:rsid w:val="009464E4"/>
    <w:rsid w:val="00946876"/>
    <w:rsid w:val="009509FC"/>
    <w:rsid w:val="0095110C"/>
    <w:rsid w:val="00951D93"/>
    <w:rsid w:val="00951E09"/>
    <w:rsid w:val="0095224D"/>
    <w:rsid w:val="00952BEA"/>
    <w:rsid w:val="009539FC"/>
    <w:rsid w:val="00954124"/>
    <w:rsid w:val="0096242B"/>
    <w:rsid w:val="0096283D"/>
    <w:rsid w:val="00963DF4"/>
    <w:rsid w:val="00964785"/>
    <w:rsid w:val="0096692B"/>
    <w:rsid w:val="00967E14"/>
    <w:rsid w:val="00970736"/>
    <w:rsid w:val="00970B18"/>
    <w:rsid w:val="00973EC2"/>
    <w:rsid w:val="009751AC"/>
    <w:rsid w:val="00980DFE"/>
    <w:rsid w:val="00981C82"/>
    <w:rsid w:val="0098255A"/>
    <w:rsid w:val="00984168"/>
    <w:rsid w:val="009845AA"/>
    <w:rsid w:val="00984D93"/>
    <w:rsid w:val="00985E4F"/>
    <w:rsid w:val="00985F30"/>
    <w:rsid w:val="009868F0"/>
    <w:rsid w:val="00986DA6"/>
    <w:rsid w:val="00986F2E"/>
    <w:rsid w:val="00993572"/>
    <w:rsid w:val="00993FAE"/>
    <w:rsid w:val="009946F7"/>
    <w:rsid w:val="00995BD8"/>
    <w:rsid w:val="0099715C"/>
    <w:rsid w:val="009A4EEC"/>
    <w:rsid w:val="009A6F96"/>
    <w:rsid w:val="009B06FD"/>
    <w:rsid w:val="009B07BA"/>
    <w:rsid w:val="009B2C6B"/>
    <w:rsid w:val="009B2E6E"/>
    <w:rsid w:val="009B305D"/>
    <w:rsid w:val="009B343F"/>
    <w:rsid w:val="009B472E"/>
    <w:rsid w:val="009B520F"/>
    <w:rsid w:val="009B67E7"/>
    <w:rsid w:val="009B694A"/>
    <w:rsid w:val="009C0441"/>
    <w:rsid w:val="009C13FC"/>
    <w:rsid w:val="009C4433"/>
    <w:rsid w:val="009C7F1B"/>
    <w:rsid w:val="009D0CDC"/>
    <w:rsid w:val="009D0D2A"/>
    <w:rsid w:val="009D228F"/>
    <w:rsid w:val="009D3032"/>
    <w:rsid w:val="009D3E78"/>
    <w:rsid w:val="009D4754"/>
    <w:rsid w:val="009D60E9"/>
    <w:rsid w:val="009D7C8E"/>
    <w:rsid w:val="009E0601"/>
    <w:rsid w:val="009E1260"/>
    <w:rsid w:val="009E1960"/>
    <w:rsid w:val="009E2188"/>
    <w:rsid w:val="009E3144"/>
    <w:rsid w:val="009E511C"/>
    <w:rsid w:val="009E5D12"/>
    <w:rsid w:val="009F2B76"/>
    <w:rsid w:val="009F3396"/>
    <w:rsid w:val="009F499A"/>
    <w:rsid w:val="009F566D"/>
    <w:rsid w:val="009F6F85"/>
    <w:rsid w:val="009F7684"/>
    <w:rsid w:val="00A0098D"/>
    <w:rsid w:val="00A02F2D"/>
    <w:rsid w:val="00A04D0A"/>
    <w:rsid w:val="00A068B6"/>
    <w:rsid w:val="00A06D21"/>
    <w:rsid w:val="00A13613"/>
    <w:rsid w:val="00A14119"/>
    <w:rsid w:val="00A146DB"/>
    <w:rsid w:val="00A14A59"/>
    <w:rsid w:val="00A14BA3"/>
    <w:rsid w:val="00A16E4D"/>
    <w:rsid w:val="00A20FE9"/>
    <w:rsid w:val="00A26BA5"/>
    <w:rsid w:val="00A273B5"/>
    <w:rsid w:val="00A27E44"/>
    <w:rsid w:val="00A33A3A"/>
    <w:rsid w:val="00A41A2C"/>
    <w:rsid w:val="00A425B3"/>
    <w:rsid w:val="00A427AB"/>
    <w:rsid w:val="00A42A04"/>
    <w:rsid w:val="00A435D5"/>
    <w:rsid w:val="00A4412A"/>
    <w:rsid w:val="00A44408"/>
    <w:rsid w:val="00A5117D"/>
    <w:rsid w:val="00A5213E"/>
    <w:rsid w:val="00A55886"/>
    <w:rsid w:val="00A57D2E"/>
    <w:rsid w:val="00A61FF0"/>
    <w:rsid w:val="00A67C00"/>
    <w:rsid w:val="00A67D1C"/>
    <w:rsid w:val="00A74613"/>
    <w:rsid w:val="00A74D19"/>
    <w:rsid w:val="00A7523F"/>
    <w:rsid w:val="00A76A84"/>
    <w:rsid w:val="00A7754C"/>
    <w:rsid w:val="00A77B0D"/>
    <w:rsid w:val="00A82107"/>
    <w:rsid w:val="00A82A8D"/>
    <w:rsid w:val="00A834DA"/>
    <w:rsid w:val="00A84E48"/>
    <w:rsid w:val="00A86839"/>
    <w:rsid w:val="00A87105"/>
    <w:rsid w:val="00A873B8"/>
    <w:rsid w:val="00A905ED"/>
    <w:rsid w:val="00A95240"/>
    <w:rsid w:val="00A959D0"/>
    <w:rsid w:val="00A960B2"/>
    <w:rsid w:val="00AA0545"/>
    <w:rsid w:val="00AA2076"/>
    <w:rsid w:val="00AA665D"/>
    <w:rsid w:val="00AB046E"/>
    <w:rsid w:val="00AB1B34"/>
    <w:rsid w:val="00AB341A"/>
    <w:rsid w:val="00AB3BC4"/>
    <w:rsid w:val="00AB4D7B"/>
    <w:rsid w:val="00AB5620"/>
    <w:rsid w:val="00AB5F4A"/>
    <w:rsid w:val="00AB60D2"/>
    <w:rsid w:val="00AC0552"/>
    <w:rsid w:val="00AC1EEA"/>
    <w:rsid w:val="00AC60D0"/>
    <w:rsid w:val="00AD0F61"/>
    <w:rsid w:val="00AD21C9"/>
    <w:rsid w:val="00AD563F"/>
    <w:rsid w:val="00AD7A56"/>
    <w:rsid w:val="00AD7D4D"/>
    <w:rsid w:val="00AD7E48"/>
    <w:rsid w:val="00AE355C"/>
    <w:rsid w:val="00AE3A1A"/>
    <w:rsid w:val="00AE7EF5"/>
    <w:rsid w:val="00AF0D73"/>
    <w:rsid w:val="00AF1856"/>
    <w:rsid w:val="00AF21F4"/>
    <w:rsid w:val="00AF5C23"/>
    <w:rsid w:val="00AF6600"/>
    <w:rsid w:val="00B00BB4"/>
    <w:rsid w:val="00B00DB2"/>
    <w:rsid w:val="00B01ACF"/>
    <w:rsid w:val="00B062B2"/>
    <w:rsid w:val="00B06D48"/>
    <w:rsid w:val="00B141F1"/>
    <w:rsid w:val="00B149A8"/>
    <w:rsid w:val="00B177BE"/>
    <w:rsid w:val="00B17D0B"/>
    <w:rsid w:val="00B20C9D"/>
    <w:rsid w:val="00B20D04"/>
    <w:rsid w:val="00B2159B"/>
    <w:rsid w:val="00B26122"/>
    <w:rsid w:val="00B26EEE"/>
    <w:rsid w:val="00B2799B"/>
    <w:rsid w:val="00B27B95"/>
    <w:rsid w:val="00B319A9"/>
    <w:rsid w:val="00B31FB3"/>
    <w:rsid w:val="00B32580"/>
    <w:rsid w:val="00B326C9"/>
    <w:rsid w:val="00B363F4"/>
    <w:rsid w:val="00B4072D"/>
    <w:rsid w:val="00B40AF9"/>
    <w:rsid w:val="00B4285F"/>
    <w:rsid w:val="00B457BD"/>
    <w:rsid w:val="00B45B48"/>
    <w:rsid w:val="00B45EDF"/>
    <w:rsid w:val="00B47067"/>
    <w:rsid w:val="00B51BA9"/>
    <w:rsid w:val="00B533F3"/>
    <w:rsid w:val="00B5477D"/>
    <w:rsid w:val="00B559F1"/>
    <w:rsid w:val="00B563B0"/>
    <w:rsid w:val="00B63325"/>
    <w:rsid w:val="00B64803"/>
    <w:rsid w:val="00B669C2"/>
    <w:rsid w:val="00B67BEF"/>
    <w:rsid w:val="00B733F4"/>
    <w:rsid w:val="00B753F6"/>
    <w:rsid w:val="00B77E13"/>
    <w:rsid w:val="00B80AE1"/>
    <w:rsid w:val="00B812FA"/>
    <w:rsid w:val="00B819B5"/>
    <w:rsid w:val="00B81F2C"/>
    <w:rsid w:val="00B826CA"/>
    <w:rsid w:val="00B834B1"/>
    <w:rsid w:val="00B8571E"/>
    <w:rsid w:val="00B86CAB"/>
    <w:rsid w:val="00B8744F"/>
    <w:rsid w:val="00B90C3C"/>
    <w:rsid w:val="00B9276C"/>
    <w:rsid w:val="00B95895"/>
    <w:rsid w:val="00B9613A"/>
    <w:rsid w:val="00B96E3F"/>
    <w:rsid w:val="00BA0605"/>
    <w:rsid w:val="00BA244F"/>
    <w:rsid w:val="00BA5767"/>
    <w:rsid w:val="00BB1434"/>
    <w:rsid w:val="00BB1637"/>
    <w:rsid w:val="00BB1EB1"/>
    <w:rsid w:val="00BB22C4"/>
    <w:rsid w:val="00BB2E63"/>
    <w:rsid w:val="00BB6AB7"/>
    <w:rsid w:val="00BC01C3"/>
    <w:rsid w:val="00BC2B8D"/>
    <w:rsid w:val="00BC320F"/>
    <w:rsid w:val="00BC6CDC"/>
    <w:rsid w:val="00BD0607"/>
    <w:rsid w:val="00BD1280"/>
    <w:rsid w:val="00BD207E"/>
    <w:rsid w:val="00BD3D37"/>
    <w:rsid w:val="00BD6FB9"/>
    <w:rsid w:val="00BE0081"/>
    <w:rsid w:val="00BE2343"/>
    <w:rsid w:val="00BE2FB7"/>
    <w:rsid w:val="00BE375F"/>
    <w:rsid w:val="00BE37DF"/>
    <w:rsid w:val="00BE6474"/>
    <w:rsid w:val="00BF0272"/>
    <w:rsid w:val="00BF108A"/>
    <w:rsid w:val="00BF1DD2"/>
    <w:rsid w:val="00BF4058"/>
    <w:rsid w:val="00BF41BB"/>
    <w:rsid w:val="00BF4506"/>
    <w:rsid w:val="00BF7544"/>
    <w:rsid w:val="00C13FB4"/>
    <w:rsid w:val="00C14340"/>
    <w:rsid w:val="00C21B48"/>
    <w:rsid w:val="00C234A9"/>
    <w:rsid w:val="00C23AED"/>
    <w:rsid w:val="00C24F17"/>
    <w:rsid w:val="00C30301"/>
    <w:rsid w:val="00C35BE2"/>
    <w:rsid w:val="00C3764B"/>
    <w:rsid w:val="00C4111D"/>
    <w:rsid w:val="00C448F0"/>
    <w:rsid w:val="00C45BEC"/>
    <w:rsid w:val="00C45E1B"/>
    <w:rsid w:val="00C4785D"/>
    <w:rsid w:val="00C514AE"/>
    <w:rsid w:val="00C5159C"/>
    <w:rsid w:val="00C52AD6"/>
    <w:rsid w:val="00C54A10"/>
    <w:rsid w:val="00C6115C"/>
    <w:rsid w:val="00C62A9F"/>
    <w:rsid w:val="00C64120"/>
    <w:rsid w:val="00C64A4D"/>
    <w:rsid w:val="00C67D41"/>
    <w:rsid w:val="00C70575"/>
    <w:rsid w:val="00C73296"/>
    <w:rsid w:val="00C73FFB"/>
    <w:rsid w:val="00C7447E"/>
    <w:rsid w:val="00C748A6"/>
    <w:rsid w:val="00C814A4"/>
    <w:rsid w:val="00C82213"/>
    <w:rsid w:val="00C85696"/>
    <w:rsid w:val="00C85B9A"/>
    <w:rsid w:val="00C869D3"/>
    <w:rsid w:val="00C87BCD"/>
    <w:rsid w:val="00C9017A"/>
    <w:rsid w:val="00C9196F"/>
    <w:rsid w:val="00C9251D"/>
    <w:rsid w:val="00C93960"/>
    <w:rsid w:val="00CA1E4E"/>
    <w:rsid w:val="00CA22E3"/>
    <w:rsid w:val="00CA3C2A"/>
    <w:rsid w:val="00CA5B75"/>
    <w:rsid w:val="00CB1B28"/>
    <w:rsid w:val="00CB6285"/>
    <w:rsid w:val="00CC0BE0"/>
    <w:rsid w:val="00CC449B"/>
    <w:rsid w:val="00CC4D2F"/>
    <w:rsid w:val="00CC6D52"/>
    <w:rsid w:val="00CC6DC5"/>
    <w:rsid w:val="00CD0AFF"/>
    <w:rsid w:val="00CD33BA"/>
    <w:rsid w:val="00CD389B"/>
    <w:rsid w:val="00CD50A9"/>
    <w:rsid w:val="00CD54EC"/>
    <w:rsid w:val="00CE326A"/>
    <w:rsid w:val="00CE5A28"/>
    <w:rsid w:val="00CE5CA5"/>
    <w:rsid w:val="00CE5F14"/>
    <w:rsid w:val="00CF0645"/>
    <w:rsid w:val="00CF0F48"/>
    <w:rsid w:val="00CF2DA1"/>
    <w:rsid w:val="00CF2EF3"/>
    <w:rsid w:val="00CF4529"/>
    <w:rsid w:val="00CF45E5"/>
    <w:rsid w:val="00CF490D"/>
    <w:rsid w:val="00CF50E3"/>
    <w:rsid w:val="00CF513D"/>
    <w:rsid w:val="00CF7DD1"/>
    <w:rsid w:val="00D0037F"/>
    <w:rsid w:val="00D01FCE"/>
    <w:rsid w:val="00D02802"/>
    <w:rsid w:val="00D04805"/>
    <w:rsid w:val="00D1048A"/>
    <w:rsid w:val="00D13C31"/>
    <w:rsid w:val="00D16770"/>
    <w:rsid w:val="00D179C8"/>
    <w:rsid w:val="00D20140"/>
    <w:rsid w:val="00D20EEB"/>
    <w:rsid w:val="00D21076"/>
    <w:rsid w:val="00D221A5"/>
    <w:rsid w:val="00D2598F"/>
    <w:rsid w:val="00D26753"/>
    <w:rsid w:val="00D27C58"/>
    <w:rsid w:val="00D306CE"/>
    <w:rsid w:val="00D30A27"/>
    <w:rsid w:val="00D30D3F"/>
    <w:rsid w:val="00D318B4"/>
    <w:rsid w:val="00D3253C"/>
    <w:rsid w:val="00D32E76"/>
    <w:rsid w:val="00D33770"/>
    <w:rsid w:val="00D41BA0"/>
    <w:rsid w:val="00D440DB"/>
    <w:rsid w:val="00D46652"/>
    <w:rsid w:val="00D46AFE"/>
    <w:rsid w:val="00D472DE"/>
    <w:rsid w:val="00D47469"/>
    <w:rsid w:val="00D47FCB"/>
    <w:rsid w:val="00D51805"/>
    <w:rsid w:val="00D526FF"/>
    <w:rsid w:val="00D54FC9"/>
    <w:rsid w:val="00D61084"/>
    <w:rsid w:val="00D6535D"/>
    <w:rsid w:val="00D65EC2"/>
    <w:rsid w:val="00D67BF3"/>
    <w:rsid w:val="00D7065B"/>
    <w:rsid w:val="00D716E7"/>
    <w:rsid w:val="00D7296F"/>
    <w:rsid w:val="00D75596"/>
    <w:rsid w:val="00D755C1"/>
    <w:rsid w:val="00D80914"/>
    <w:rsid w:val="00D8267F"/>
    <w:rsid w:val="00D85166"/>
    <w:rsid w:val="00D8519C"/>
    <w:rsid w:val="00D85DC5"/>
    <w:rsid w:val="00D86608"/>
    <w:rsid w:val="00D86D42"/>
    <w:rsid w:val="00D9032C"/>
    <w:rsid w:val="00D90D5B"/>
    <w:rsid w:val="00D92F89"/>
    <w:rsid w:val="00D95011"/>
    <w:rsid w:val="00D96ABF"/>
    <w:rsid w:val="00D96D9A"/>
    <w:rsid w:val="00DA1D74"/>
    <w:rsid w:val="00DA4968"/>
    <w:rsid w:val="00DB0C9B"/>
    <w:rsid w:val="00DB42D4"/>
    <w:rsid w:val="00DB43CF"/>
    <w:rsid w:val="00DB52CC"/>
    <w:rsid w:val="00DC1F04"/>
    <w:rsid w:val="00DC5C89"/>
    <w:rsid w:val="00DC6048"/>
    <w:rsid w:val="00DC7180"/>
    <w:rsid w:val="00DC7FD0"/>
    <w:rsid w:val="00DD0524"/>
    <w:rsid w:val="00DD13DD"/>
    <w:rsid w:val="00DD18E7"/>
    <w:rsid w:val="00DD233D"/>
    <w:rsid w:val="00DD28C8"/>
    <w:rsid w:val="00DD332B"/>
    <w:rsid w:val="00DD5555"/>
    <w:rsid w:val="00DD7553"/>
    <w:rsid w:val="00DD78AC"/>
    <w:rsid w:val="00DE20CD"/>
    <w:rsid w:val="00DE266D"/>
    <w:rsid w:val="00DE3558"/>
    <w:rsid w:val="00DE381A"/>
    <w:rsid w:val="00DE43E4"/>
    <w:rsid w:val="00DE4C57"/>
    <w:rsid w:val="00DE564A"/>
    <w:rsid w:val="00DE6D2C"/>
    <w:rsid w:val="00DF041B"/>
    <w:rsid w:val="00DF1658"/>
    <w:rsid w:val="00DF27F2"/>
    <w:rsid w:val="00DF3FBE"/>
    <w:rsid w:val="00DF5946"/>
    <w:rsid w:val="00DF6E64"/>
    <w:rsid w:val="00E051B6"/>
    <w:rsid w:val="00E052EE"/>
    <w:rsid w:val="00E05B54"/>
    <w:rsid w:val="00E1265B"/>
    <w:rsid w:val="00E136A7"/>
    <w:rsid w:val="00E15402"/>
    <w:rsid w:val="00E17E94"/>
    <w:rsid w:val="00E20179"/>
    <w:rsid w:val="00E22FF7"/>
    <w:rsid w:val="00E35923"/>
    <w:rsid w:val="00E3649E"/>
    <w:rsid w:val="00E369A4"/>
    <w:rsid w:val="00E36AC5"/>
    <w:rsid w:val="00E433FE"/>
    <w:rsid w:val="00E4442B"/>
    <w:rsid w:val="00E44DF8"/>
    <w:rsid w:val="00E601A2"/>
    <w:rsid w:val="00E61AF7"/>
    <w:rsid w:val="00E629B8"/>
    <w:rsid w:val="00E67496"/>
    <w:rsid w:val="00E67880"/>
    <w:rsid w:val="00E70777"/>
    <w:rsid w:val="00E70D5C"/>
    <w:rsid w:val="00E713CB"/>
    <w:rsid w:val="00E743BA"/>
    <w:rsid w:val="00E750D8"/>
    <w:rsid w:val="00E762BB"/>
    <w:rsid w:val="00E769BD"/>
    <w:rsid w:val="00E80A7B"/>
    <w:rsid w:val="00E8310B"/>
    <w:rsid w:val="00E83389"/>
    <w:rsid w:val="00E870B9"/>
    <w:rsid w:val="00E8773C"/>
    <w:rsid w:val="00E90E83"/>
    <w:rsid w:val="00E91990"/>
    <w:rsid w:val="00E91D05"/>
    <w:rsid w:val="00E93914"/>
    <w:rsid w:val="00E95E4F"/>
    <w:rsid w:val="00E97302"/>
    <w:rsid w:val="00EA0D45"/>
    <w:rsid w:val="00EA2D3E"/>
    <w:rsid w:val="00EA36D0"/>
    <w:rsid w:val="00EA6DA3"/>
    <w:rsid w:val="00EA7A26"/>
    <w:rsid w:val="00EB07D5"/>
    <w:rsid w:val="00EB1C0E"/>
    <w:rsid w:val="00EB216A"/>
    <w:rsid w:val="00EB24D0"/>
    <w:rsid w:val="00EB530B"/>
    <w:rsid w:val="00EB70BA"/>
    <w:rsid w:val="00EB7302"/>
    <w:rsid w:val="00EC1C8E"/>
    <w:rsid w:val="00EC36D8"/>
    <w:rsid w:val="00EC54F5"/>
    <w:rsid w:val="00EC617B"/>
    <w:rsid w:val="00EC65C3"/>
    <w:rsid w:val="00ED0571"/>
    <w:rsid w:val="00ED0B67"/>
    <w:rsid w:val="00EE0324"/>
    <w:rsid w:val="00EF0D91"/>
    <w:rsid w:val="00EF281D"/>
    <w:rsid w:val="00EF4818"/>
    <w:rsid w:val="00EF5C94"/>
    <w:rsid w:val="00F02DD9"/>
    <w:rsid w:val="00F04DBF"/>
    <w:rsid w:val="00F07CB8"/>
    <w:rsid w:val="00F112D2"/>
    <w:rsid w:val="00F12584"/>
    <w:rsid w:val="00F13570"/>
    <w:rsid w:val="00F14493"/>
    <w:rsid w:val="00F169CE"/>
    <w:rsid w:val="00F17598"/>
    <w:rsid w:val="00F178F7"/>
    <w:rsid w:val="00F228BA"/>
    <w:rsid w:val="00F22BEC"/>
    <w:rsid w:val="00F242DB"/>
    <w:rsid w:val="00F25D52"/>
    <w:rsid w:val="00F26580"/>
    <w:rsid w:val="00F26A33"/>
    <w:rsid w:val="00F26A68"/>
    <w:rsid w:val="00F35840"/>
    <w:rsid w:val="00F40A9C"/>
    <w:rsid w:val="00F43BDD"/>
    <w:rsid w:val="00F43C99"/>
    <w:rsid w:val="00F44FA6"/>
    <w:rsid w:val="00F451E3"/>
    <w:rsid w:val="00F466C3"/>
    <w:rsid w:val="00F46708"/>
    <w:rsid w:val="00F508A7"/>
    <w:rsid w:val="00F508DB"/>
    <w:rsid w:val="00F50F7A"/>
    <w:rsid w:val="00F51267"/>
    <w:rsid w:val="00F52AE3"/>
    <w:rsid w:val="00F5370A"/>
    <w:rsid w:val="00F53860"/>
    <w:rsid w:val="00F542F4"/>
    <w:rsid w:val="00F546D0"/>
    <w:rsid w:val="00F54946"/>
    <w:rsid w:val="00F549D7"/>
    <w:rsid w:val="00F55D8A"/>
    <w:rsid w:val="00F5650D"/>
    <w:rsid w:val="00F6070F"/>
    <w:rsid w:val="00F609E2"/>
    <w:rsid w:val="00F60B73"/>
    <w:rsid w:val="00F626F9"/>
    <w:rsid w:val="00F63B19"/>
    <w:rsid w:val="00F64758"/>
    <w:rsid w:val="00F715FF"/>
    <w:rsid w:val="00F72018"/>
    <w:rsid w:val="00F802E7"/>
    <w:rsid w:val="00F84C6D"/>
    <w:rsid w:val="00F861A8"/>
    <w:rsid w:val="00F9087A"/>
    <w:rsid w:val="00F92102"/>
    <w:rsid w:val="00F92881"/>
    <w:rsid w:val="00F94652"/>
    <w:rsid w:val="00F94B40"/>
    <w:rsid w:val="00F94BC4"/>
    <w:rsid w:val="00FA11EE"/>
    <w:rsid w:val="00FA6898"/>
    <w:rsid w:val="00FB04C4"/>
    <w:rsid w:val="00FB698C"/>
    <w:rsid w:val="00FB7A2A"/>
    <w:rsid w:val="00FC2A11"/>
    <w:rsid w:val="00FC653E"/>
    <w:rsid w:val="00FC66E6"/>
    <w:rsid w:val="00FC6B8A"/>
    <w:rsid w:val="00FD1EDE"/>
    <w:rsid w:val="00FD2EFF"/>
    <w:rsid w:val="00FD3D36"/>
    <w:rsid w:val="00FD7842"/>
    <w:rsid w:val="00FE04C5"/>
    <w:rsid w:val="00FE1EF4"/>
    <w:rsid w:val="00FE4587"/>
    <w:rsid w:val="00FE785B"/>
    <w:rsid w:val="00FF0135"/>
    <w:rsid w:val="00FF0A20"/>
    <w:rsid w:val="00FF11A5"/>
    <w:rsid w:val="00FF571F"/>
    <w:rsid w:val="00FF6694"/>
    <w:rsid w:val="00FF69F4"/>
    <w:rsid w:val="011870C3"/>
    <w:rsid w:val="01255120"/>
    <w:rsid w:val="01272039"/>
    <w:rsid w:val="01714809"/>
    <w:rsid w:val="01A764E0"/>
    <w:rsid w:val="01F2428B"/>
    <w:rsid w:val="01FF3BC3"/>
    <w:rsid w:val="02186A33"/>
    <w:rsid w:val="022E0B37"/>
    <w:rsid w:val="02605587"/>
    <w:rsid w:val="027B01B1"/>
    <w:rsid w:val="02B6794E"/>
    <w:rsid w:val="02D50DC8"/>
    <w:rsid w:val="035A370F"/>
    <w:rsid w:val="0371289F"/>
    <w:rsid w:val="03A72764"/>
    <w:rsid w:val="040A73BF"/>
    <w:rsid w:val="043A7135"/>
    <w:rsid w:val="04763EE5"/>
    <w:rsid w:val="04784101"/>
    <w:rsid w:val="047F3F60"/>
    <w:rsid w:val="04836C64"/>
    <w:rsid w:val="04E01DD0"/>
    <w:rsid w:val="055C132D"/>
    <w:rsid w:val="056326BB"/>
    <w:rsid w:val="05A13F57"/>
    <w:rsid w:val="05FB78F1"/>
    <w:rsid w:val="060A2B37"/>
    <w:rsid w:val="061A5470"/>
    <w:rsid w:val="06497B03"/>
    <w:rsid w:val="06526160"/>
    <w:rsid w:val="0687687D"/>
    <w:rsid w:val="068B1EC9"/>
    <w:rsid w:val="06976448"/>
    <w:rsid w:val="06AA3FE6"/>
    <w:rsid w:val="06AC0092"/>
    <w:rsid w:val="06FE6B3F"/>
    <w:rsid w:val="070457D8"/>
    <w:rsid w:val="072639A0"/>
    <w:rsid w:val="07BD1E2F"/>
    <w:rsid w:val="07CC09EB"/>
    <w:rsid w:val="082500FC"/>
    <w:rsid w:val="08467226"/>
    <w:rsid w:val="085602B5"/>
    <w:rsid w:val="086504F8"/>
    <w:rsid w:val="088F6118"/>
    <w:rsid w:val="089A2898"/>
    <w:rsid w:val="08B651F8"/>
    <w:rsid w:val="08BC33A9"/>
    <w:rsid w:val="08EB0276"/>
    <w:rsid w:val="090917CB"/>
    <w:rsid w:val="09524F20"/>
    <w:rsid w:val="095624EB"/>
    <w:rsid w:val="09A74581"/>
    <w:rsid w:val="09C3197A"/>
    <w:rsid w:val="09EA33AB"/>
    <w:rsid w:val="0A4C5E14"/>
    <w:rsid w:val="0A59408D"/>
    <w:rsid w:val="0A6A44EC"/>
    <w:rsid w:val="0A6F03ED"/>
    <w:rsid w:val="0A876E4C"/>
    <w:rsid w:val="0A93759F"/>
    <w:rsid w:val="0ABA2B73"/>
    <w:rsid w:val="0AC05EBA"/>
    <w:rsid w:val="0ACF4D7E"/>
    <w:rsid w:val="0AEE6ECB"/>
    <w:rsid w:val="0B487917"/>
    <w:rsid w:val="0B4F53B8"/>
    <w:rsid w:val="0B6149B5"/>
    <w:rsid w:val="0B640F3B"/>
    <w:rsid w:val="0B696551"/>
    <w:rsid w:val="0B7C0033"/>
    <w:rsid w:val="0B7D3DAB"/>
    <w:rsid w:val="0B835865"/>
    <w:rsid w:val="0B923CFA"/>
    <w:rsid w:val="0B971310"/>
    <w:rsid w:val="0BA9618B"/>
    <w:rsid w:val="0BF64289"/>
    <w:rsid w:val="0C0A4976"/>
    <w:rsid w:val="0C2152DD"/>
    <w:rsid w:val="0C761043"/>
    <w:rsid w:val="0CFF0F1B"/>
    <w:rsid w:val="0D0E73B0"/>
    <w:rsid w:val="0D352A6D"/>
    <w:rsid w:val="0D4000F2"/>
    <w:rsid w:val="0D8568C3"/>
    <w:rsid w:val="0DD70047"/>
    <w:rsid w:val="0E4A266A"/>
    <w:rsid w:val="0E845E21"/>
    <w:rsid w:val="0E9733D5"/>
    <w:rsid w:val="0ED62150"/>
    <w:rsid w:val="0EE2505A"/>
    <w:rsid w:val="0EEF3211"/>
    <w:rsid w:val="0F0F11BE"/>
    <w:rsid w:val="0F24171F"/>
    <w:rsid w:val="0F391A89"/>
    <w:rsid w:val="0F4F1D2A"/>
    <w:rsid w:val="0F547044"/>
    <w:rsid w:val="0F6459AD"/>
    <w:rsid w:val="0F73174D"/>
    <w:rsid w:val="0F8C0A60"/>
    <w:rsid w:val="0FDA5EF9"/>
    <w:rsid w:val="0FE829F7"/>
    <w:rsid w:val="100B5E29"/>
    <w:rsid w:val="100F5919"/>
    <w:rsid w:val="101E3DAE"/>
    <w:rsid w:val="101F2E80"/>
    <w:rsid w:val="10BA4B7A"/>
    <w:rsid w:val="10D502CD"/>
    <w:rsid w:val="10DD77C5"/>
    <w:rsid w:val="10E01064"/>
    <w:rsid w:val="10EA1EE2"/>
    <w:rsid w:val="11274EE5"/>
    <w:rsid w:val="114C5A78"/>
    <w:rsid w:val="115433FE"/>
    <w:rsid w:val="115B4B8E"/>
    <w:rsid w:val="1170063A"/>
    <w:rsid w:val="11740332"/>
    <w:rsid w:val="11C24C0D"/>
    <w:rsid w:val="11C73FD2"/>
    <w:rsid w:val="11CB53D4"/>
    <w:rsid w:val="11FC3056"/>
    <w:rsid w:val="122A4C8C"/>
    <w:rsid w:val="123C7A2D"/>
    <w:rsid w:val="12593A6F"/>
    <w:rsid w:val="127D22AD"/>
    <w:rsid w:val="127F39AB"/>
    <w:rsid w:val="129E1F80"/>
    <w:rsid w:val="12D15108"/>
    <w:rsid w:val="13113756"/>
    <w:rsid w:val="13541E3A"/>
    <w:rsid w:val="135E2714"/>
    <w:rsid w:val="13C20EF5"/>
    <w:rsid w:val="13D12EE6"/>
    <w:rsid w:val="14321BD6"/>
    <w:rsid w:val="147A17CF"/>
    <w:rsid w:val="1487021E"/>
    <w:rsid w:val="14FA07F7"/>
    <w:rsid w:val="14FC6DA4"/>
    <w:rsid w:val="14FE298E"/>
    <w:rsid w:val="156277D2"/>
    <w:rsid w:val="15634011"/>
    <w:rsid w:val="158C17BA"/>
    <w:rsid w:val="15A207A1"/>
    <w:rsid w:val="15E2587E"/>
    <w:rsid w:val="15E45C7A"/>
    <w:rsid w:val="161D68B6"/>
    <w:rsid w:val="167F131F"/>
    <w:rsid w:val="16AE7AA1"/>
    <w:rsid w:val="16C136E5"/>
    <w:rsid w:val="16FE34B1"/>
    <w:rsid w:val="174C5E13"/>
    <w:rsid w:val="178D35C8"/>
    <w:rsid w:val="17936E30"/>
    <w:rsid w:val="18140DA2"/>
    <w:rsid w:val="18C4126B"/>
    <w:rsid w:val="18CD6371"/>
    <w:rsid w:val="18D41D00"/>
    <w:rsid w:val="190F364D"/>
    <w:rsid w:val="1991760D"/>
    <w:rsid w:val="19A30E80"/>
    <w:rsid w:val="19B07C28"/>
    <w:rsid w:val="19BB441C"/>
    <w:rsid w:val="19E35721"/>
    <w:rsid w:val="1A065E7B"/>
    <w:rsid w:val="1A862C7C"/>
    <w:rsid w:val="1A8E38DF"/>
    <w:rsid w:val="1AAE5D2F"/>
    <w:rsid w:val="1AF75928"/>
    <w:rsid w:val="1AF852E5"/>
    <w:rsid w:val="1B4712B4"/>
    <w:rsid w:val="1B481B67"/>
    <w:rsid w:val="1B6F1962"/>
    <w:rsid w:val="1B701236"/>
    <w:rsid w:val="1BA610EE"/>
    <w:rsid w:val="1BE834C2"/>
    <w:rsid w:val="1CA05B4B"/>
    <w:rsid w:val="1D012A8E"/>
    <w:rsid w:val="1D047E88"/>
    <w:rsid w:val="1D085BCA"/>
    <w:rsid w:val="1D1739A1"/>
    <w:rsid w:val="1D2C30D2"/>
    <w:rsid w:val="1D33420F"/>
    <w:rsid w:val="1D4604A0"/>
    <w:rsid w:val="1D833254"/>
    <w:rsid w:val="1D940436"/>
    <w:rsid w:val="1D9531D6"/>
    <w:rsid w:val="1DBE272D"/>
    <w:rsid w:val="1DC006E8"/>
    <w:rsid w:val="1DD91315"/>
    <w:rsid w:val="1DDA4326"/>
    <w:rsid w:val="1DEF28E6"/>
    <w:rsid w:val="1E1467F1"/>
    <w:rsid w:val="1E4A3FC0"/>
    <w:rsid w:val="1E522E75"/>
    <w:rsid w:val="1E6432D4"/>
    <w:rsid w:val="1EA5569B"/>
    <w:rsid w:val="1EBF050A"/>
    <w:rsid w:val="1EE40821"/>
    <w:rsid w:val="1F63358C"/>
    <w:rsid w:val="1F813A12"/>
    <w:rsid w:val="1F974FE3"/>
    <w:rsid w:val="1FD224BF"/>
    <w:rsid w:val="200A7EAB"/>
    <w:rsid w:val="20174376"/>
    <w:rsid w:val="203E1903"/>
    <w:rsid w:val="20983709"/>
    <w:rsid w:val="20BB2F53"/>
    <w:rsid w:val="2100305C"/>
    <w:rsid w:val="2113467D"/>
    <w:rsid w:val="21313216"/>
    <w:rsid w:val="217C75F4"/>
    <w:rsid w:val="219C7E2C"/>
    <w:rsid w:val="21A760DD"/>
    <w:rsid w:val="221D6484"/>
    <w:rsid w:val="22715102"/>
    <w:rsid w:val="22D4098D"/>
    <w:rsid w:val="22FF35CB"/>
    <w:rsid w:val="233E1464"/>
    <w:rsid w:val="237C10C0"/>
    <w:rsid w:val="23C465C3"/>
    <w:rsid w:val="247F468B"/>
    <w:rsid w:val="248B0E8F"/>
    <w:rsid w:val="24E0567E"/>
    <w:rsid w:val="25AD37B3"/>
    <w:rsid w:val="25E61914"/>
    <w:rsid w:val="26094761"/>
    <w:rsid w:val="260B672B"/>
    <w:rsid w:val="261C26E6"/>
    <w:rsid w:val="26301CEE"/>
    <w:rsid w:val="26571970"/>
    <w:rsid w:val="26712A32"/>
    <w:rsid w:val="268A69F1"/>
    <w:rsid w:val="26A80F07"/>
    <w:rsid w:val="26A821CC"/>
    <w:rsid w:val="26B23532"/>
    <w:rsid w:val="26D1527F"/>
    <w:rsid w:val="26D60AE7"/>
    <w:rsid w:val="278A3680"/>
    <w:rsid w:val="27B66AB6"/>
    <w:rsid w:val="27D35027"/>
    <w:rsid w:val="27F03E2A"/>
    <w:rsid w:val="288822B5"/>
    <w:rsid w:val="289F315B"/>
    <w:rsid w:val="28A86F9B"/>
    <w:rsid w:val="291122AA"/>
    <w:rsid w:val="29143B49"/>
    <w:rsid w:val="291E6775"/>
    <w:rsid w:val="29534671"/>
    <w:rsid w:val="295938E3"/>
    <w:rsid w:val="295B75EF"/>
    <w:rsid w:val="29AF3270"/>
    <w:rsid w:val="29AF73CD"/>
    <w:rsid w:val="29CF181E"/>
    <w:rsid w:val="29E208F7"/>
    <w:rsid w:val="29FB0865"/>
    <w:rsid w:val="2A007C29"/>
    <w:rsid w:val="2A067935"/>
    <w:rsid w:val="2A2E3B2B"/>
    <w:rsid w:val="2A661F53"/>
    <w:rsid w:val="2A8617E9"/>
    <w:rsid w:val="2AAA6513"/>
    <w:rsid w:val="2ACA70BC"/>
    <w:rsid w:val="2B285689"/>
    <w:rsid w:val="2B2A6445"/>
    <w:rsid w:val="2B3D7387"/>
    <w:rsid w:val="2B5E52C8"/>
    <w:rsid w:val="2B7B0CB5"/>
    <w:rsid w:val="2B8F395A"/>
    <w:rsid w:val="2B9351F9"/>
    <w:rsid w:val="2B940F71"/>
    <w:rsid w:val="2BFA5278"/>
    <w:rsid w:val="2C3A1B18"/>
    <w:rsid w:val="2C486535"/>
    <w:rsid w:val="2C572D9B"/>
    <w:rsid w:val="2C752B50"/>
    <w:rsid w:val="2CC17B44"/>
    <w:rsid w:val="2CF41CC7"/>
    <w:rsid w:val="2D0219A9"/>
    <w:rsid w:val="2D0A3299"/>
    <w:rsid w:val="2D145EC5"/>
    <w:rsid w:val="2D974F5D"/>
    <w:rsid w:val="2E3E65DD"/>
    <w:rsid w:val="2E3F45EA"/>
    <w:rsid w:val="2E701821"/>
    <w:rsid w:val="2E725599"/>
    <w:rsid w:val="2E7B7AB9"/>
    <w:rsid w:val="2E9D3376"/>
    <w:rsid w:val="2EA414CB"/>
    <w:rsid w:val="2EAA029D"/>
    <w:rsid w:val="2EB9568B"/>
    <w:rsid w:val="2F0D3A9E"/>
    <w:rsid w:val="2F7C632F"/>
    <w:rsid w:val="2F9868DB"/>
    <w:rsid w:val="2FAF3D45"/>
    <w:rsid w:val="2FB7522E"/>
    <w:rsid w:val="2FBE480E"/>
    <w:rsid w:val="2FDB0F1C"/>
    <w:rsid w:val="2FE763B2"/>
    <w:rsid w:val="2FEF26AC"/>
    <w:rsid w:val="2FFB2B49"/>
    <w:rsid w:val="301D7787"/>
    <w:rsid w:val="301E0E9D"/>
    <w:rsid w:val="302C7114"/>
    <w:rsid w:val="303C4231"/>
    <w:rsid w:val="30BE3641"/>
    <w:rsid w:val="30EC0449"/>
    <w:rsid w:val="31127634"/>
    <w:rsid w:val="31480833"/>
    <w:rsid w:val="3152520E"/>
    <w:rsid w:val="315F682A"/>
    <w:rsid w:val="318C4BC4"/>
    <w:rsid w:val="31A01A6B"/>
    <w:rsid w:val="31A8774A"/>
    <w:rsid w:val="31B35C97"/>
    <w:rsid w:val="31D2634F"/>
    <w:rsid w:val="31E452BB"/>
    <w:rsid w:val="32116E77"/>
    <w:rsid w:val="3284589B"/>
    <w:rsid w:val="328978DF"/>
    <w:rsid w:val="329B0E37"/>
    <w:rsid w:val="329B2BE5"/>
    <w:rsid w:val="32BF0681"/>
    <w:rsid w:val="32F123B1"/>
    <w:rsid w:val="32FD30F2"/>
    <w:rsid w:val="336631F3"/>
    <w:rsid w:val="336E3329"/>
    <w:rsid w:val="33770F5C"/>
    <w:rsid w:val="337C2A16"/>
    <w:rsid w:val="337F6768"/>
    <w:rsid w:val="339B32F9"/>
    <w:rsid w:val="33AF5350"/>
    <w:rsid w:val="33DE0FDB"/>
    <w:rsid w:val="33FC76B3"/>
    <w:rsid w:val="348F734B"/>
    <w:rsid w:val="34943D90"/>
    <w:rsid w:val="34BD32E6"/>
    <w:rsid w:val="34CC3529"/>
    <w:rsid w:val="34F0546A"/>
    <w:rsid w:val="35044A71"/>
    <w:rsid w:val="35103416"/>
    <w:rsid w:val="351F18AB"/>
    <w:rsid w:val="35245113"/>
    <w:rsid w:val="355F439E"/>
    <w:rsid w:val="35646427"/>
    <w:rsid w:val="357F1A33"/>
    <w:rsid w:val="35894ABA"/>
    <w:rsid w:val="35904557"/>
    <w:rsid w:val="365361A8"/>
    <w:rsid w:val="366D030F"/>
    <w:rsid w:val="369D6F2B"/>
    <w:rsid w:val="36D50F3F"/>
    <w:rsid w:val="37070849"/>
    <w:rsid w:val="37307E53"/>
    <w:rsid w:val="37411FAD"/>
    <w:rsid w:val="37712385"/>
    <w:rsid w:val="37A25F41"/>
    <w:rsid w:val="37AF33BA"/>
    <w:rsid w:val="37C256AF"/>
    <w:rsid w:val="37EB1F18"/>
    <w:rsid w:val="3809239F"/>
    <w:rsid w:val="38105C68"/>
    <w:rsid w:val="38194CD8"/>
    <w:rsid w:val="382C4A0B"/>
    <w:rsid w:val="3835423E"/>
    <w:rsid w:val="3848736B"/>
    <w:rsid w:val="388859B9"/>
    <w:rsid w:val="388D1185"/>
    <w:rsid w:val="38D66AFF"/>
    <w:rsid w:val="390810C8"/>
    <w:rsid w:val="392576AC"/>
    <w:rsid w:val="39447068"/>
    <w:rsid w:val="398A1596"/>
    <w:rsid w:val="39C11183"/>
    <w:rsid w:val="39C56137"/>
    <w:rsid w:val="39E46F19"/>
    <w:rsid w:val="39FF4D5B"/>
    <w:rsid w:val="3A085004"/>
    <w:rsid w:val="3A574D58"/>
    <w:rsid w:val="3A7234DE"/>
    <w:rsid w:val="3A986AFB"/>
    <w:rsid w:val="3AA82343"/>
    <w:rsid w:val="3AB26D1E"/>
    <w:rsid w:val="3AE92F30"/>
    <w:rsid w:val="3AEF7F72"/>
    <w:rsid w:val="3AF37A62"/>
    <w:rsid w:val="3B2A0FAA"/>
    <w:rsid w:val="3B5D4EDB"/>
    <w:rsid w:val="3B757195"/>
    <w:rsid w:val="3B9A181B"/>
    <w:rsid w:val="3C700C3E"/>
    <w:rsid w:val="3CDB07AE"/>
    <w:rsid w:val="3CF4361D"/>
    <w:rsid w:val="3D0575D8"/>
    <w:rsid w:val="3D0F59E6"/>
    <w:rsid w:val="3D841CF7"/>
    <w:rsid w:val="3DA45043"/>
    <w:rsid w:val="3DDC47DD"/>
    <w:rsid w:val="3DEF477E"/>
    <w:rsid w:val="3E1321C9"/>
    <w:rsid w:val="3E532240"/>
    <w:rsid w:val="3E594080"/>
    <w:rsid w:val="3E78202C"/>
    <w:rsid w:val="3E980B0E"/>
    <w:rsid w:val="3EAD1CD6"/>
    <w:rsid w:val="3ED410E4"/>
    <w:rsid w:val="3ED90D1D"/>
    <w:rsid w:val="3F2521B4"/>
    <w:rsid w:val="3F2C3542"/>
    <w:rsid w:val="3F6C7DE3"/>
    <w:rsid w:val="3F6F51DD"/>
    <w:rsid w:val="3F7F64A7"/>
    <w:rsid w:val="40237C35"/>
    <w:rsid w:val="404E1296"/>
    <w:rsid w:val="4050327D"/>
    <w:rsid w:val="40FD66AE"/>
    <w:rsid w:val="41287D39"/>
    <w:rsid w:val="41A07CDB"/>
    <w:rsid w:val="41A2189A"/>
    <w:rsid w:val="41BC374E"/>
    <w:rsid w:val="41BD70F8"/>
    <w:rsid w:val="41E35DF5"/>
    <w:rsid w:val="41E55C2A"/>
    <w:rsid w:val="41FB544E"/>
    <w:rsid w:val="42132798"/>
    <w:rsid w:val="4246491B"/>
    <w:rsid w:val="42507548"/>
    <w:rsid w:val="426E3E72"/>
    <w:rsid w:val="42864D18"/>
    <w:rsid w:val="42C45840"/>
    <w:rsid w:val="431E3F60"/>
    <w:rsid w:val="438569A9"/>
    <w:rsid w:val="438751EB"/>
    <w:rsid w:val="43B21B3C"/>
    <w:rsid w:val="43C26B9E"/>
    <w:rsid w:val="43CD6976"/>
    <w:rsid w:val="43F16B09"/>
    <w:rsid w:val="440E76BA"/>
    <w:rsid w:val="443133A9"/>
    <w:rsid w:val="446948F1"/>
    <w:rsid w:val="447C2876"/>
    <w:rsid w:val="44A122DD"/>
    <w:rsid w:val="44AB315B"/>
    <w:rsid w:val="44BD15A4"/>
    <w:rsid w:val="44C44324"/>
    <w:rsid w:val="44E30791"/>
    <w:rsid w:val="4528655A"/>
    <w:rsid w:val="45392515"/>
    <w:rsid w:val="454F7F8B"/>
    <w:rsid w:val="457A48DC"/>
    <w:rsid w:val="458850E0"/>
    <w:rsid w:val="45C06792"/>
    <w:rsid w:val="45D13B14"/>
    <w:rsid w:val="45D87F80"/>
    <w:rsid w:val="45E0412E"/>
    <w:rsid w:val="45FB4075"/>
    <w:rsid w:val="46026DAB"/>
    <w:rsid w:val="464B5E7D"/>
    <w:rsid w:val="46505D94"/>
    <w:rsid w:val="467B090B"/>
    <w:rsid w:val="46843C64"/>
    <w:rsid w:val="469559DB"/>
    <w:rsid w:val="469C7200"/>
    <w:rsid w:val="47056F93"/>
    <w:rsid w:val="47D227AD"/>
    <w:rsid w:val="47F60B91"/>
    <w:rsid w:val="4803505C"/>
    <w:rsid w:val="48164D90"/>
    <w:rsid w:val="48221986"/>
    <w:rsid w:val="484E1A14"/>
    <w:rsid w:val="48855A71"/>
    <w:rsid w:val="489342D0"/>
    <w:rsid w:val="48CC36A0"/>
    <w:rsid w:val="48EF016E"/>
    <w:rsid w:val="492E435B"/>
    <w:rsid w:val="49494CF1"/>
    <w:rsid w:val="49623809"/>
    <w:rsid w:val="49BB19CE"/>
    <w:rsid w:val="4A050C18"/>
    <w:rsid w:val="4A114B07"/>
    <w:rsid w:val="4A447B5B"/>
    <w:rsid w:val="4A4A2ACF"/>
    <w:rsid w:val="4A9E754B"/>
    <w:rsid w:val="4AA76173"/>
    <w:rsid w:val="4AB32D6A"/>
    <w:rsid w:val="4ABA2E41"/>
    <w:rsid w:val="4AD108C0"/>
    <w:rsid w:val="4AF64A04"/>
    <w:rsid w:val="4B320057"/>
    <w:rsid w:val="4B38326F"/>
    <w:rsid w:val="4B481704"/>
    <w:rsid w:val="4B5A17FD"/>
    <w:rsid w:val="4BB52B12"/>
    <w:rsid w:val="4BBE294C"/>
    <w:rsid w:val="4BBE7404"/>
    <w:rsid w:val="4BF76C86"/>
    <w:rsid w:val="4CA7245A"/>
    <w:rsid w:val="4CD36027"/>
    <w:rsid w:val="4CE27936"/>
    <w:rsid w:val="4CF50029"/>
    <w:rsid w:val="4D3161C8"/>
    <w:rsid w:val="4D370CBE"/>
    <w:rsid w:val="4D852E94"/>
    <w:rsid w:val="4DBA61BD"/>
    <w:rsid w:val="4DC825A5"/>
    <w:rsid w:val="4E33507E"/>
    <w:rsid w:val="4E4741A3"/>
    <w:rsid w:val="4E780FC3"/>
    <w:rsid w:val="4E9E163B"/>
    <w:rsid w:val="4EAD7AD0"/>
    <w:rsid w:val="4EB946C7"/>
    <w:rsid w:val="4EC5306C"/>
    <w:rsid w:val="4ED60DD5"/>
    <w:rsid w:val="4EFB083B"/>
    <w:rsid w:val="4F820F5D"/>
    <w:rsid w:val="4FCD667C"/>
    <w:rsid w:val="50154ED1"/>
    <w:rsid w:val="50792360"/>
    <w:rsid w:val="5080549C"/>
    <w:rsid w:val="508B3E41"/>
    <w:rsid w:val="50DD7D17"/>
    <w:rsid w:val="50F96B5F"/>
    <w:rsid w:val="51355EE5"/>
    <w:rsid w:val="513B7615"/>
    <w:rsid w:val="515B3056"/>
    <w:rsid w:val="515C2381"/>
    <w:rsid w:val="516C543B"/>
    <w:rsid w:val="51A918B6"/>
    <w:rsid w:val="51B178D7"/>
    <w:rsid w:val="51B61FAC"/>
    <w:rsid w:val="51C07B1A"/>
    <w:rsid w:val="51C94C21"/>
    <w:rsid w:val="51D535C6"/>
    <w:rsid w:val="51DD691E"/>
    <w:rsid w:val="52081BED"/>
    <w:rsid w:val="5221680B"/>
    <w:rsid w:val="524C51BF"/>
    <w:rsid w:val="527276B4"/>
    <w:rsid w:val="529671F9"/>
    <w:rsid w:val="52AF2069"/>
    <w:rsid w:val="52D63A99"/>
    <w:rsid w:val="52D97EBD"/>
    <w:rsid w:val="52E01769"/>
    <w:rsid w:val="53024A18"/>
    <w:rsid w:val="537B5903"/>
    <w:rsid w:val="53CE4770"/>
    <w:rsid w:val="53D31B19"/>
    <w:rsid w:val="53D97703"/>
    <w:rsid w:val="543620E7"/>
    <w:rsid w:val="54694499"/>
    <w:rsid w:val="54817A35"/>
    <w:rsid w:val="54A454D1"/>
    <w:rsid w:val="555E5B90"/>
    <w:rsid w:val="55662F14"/>
    <w:rsid w:val="55BE25C3"/>
    <w:rsid w:val="55C52AF9"/>
    <w:rsid w:val="56552F27"/>
    <w:rsid w:val="566D0271"/>
    <w:rsid w:val="56772E9D"/>
    <w:rsid w:val="56A417B8"/>
    <w:rsid w:val="56EE169C"/>
    <w:rsid w:val="571F6A41"/>
    <w:rsid w:val="5730129E"/>
    <w:rsid w:val="5765719A"/>
    <w:rsid w:val="57763155"/>
    <w:rsid w:val="57821531"/>
    <w:rsid w:val="57C02622"/>
    <w:rsid w:val="58020E8D"/>
    <w:rsid w:val="58313520"/>
    <w:rsid w:val="58A837E2"/>
    <w:rsid w:val="58E0799F"/>
    <w:rsid w:val="58F80B9F"/>
    <w:rsid w:val="590A1B95"/>
    <w:rsid w:val="591F6D3E"/>
    <w:rsid w:val="59215342"/>
    <w:rsid w:val="59417793"/>
    <w:rsid w:val="59440349"/>
    <w:rsid w:val="595B2784"/>
    <w:rsid w:val="597B2CA5"/>
    <w:rsid w:val="597E5671"/>
    <w:rsid w:val="59B212B6"/>
    <w:rsid w:val="59B5223B"/>
    <w:rsid w:val="59C70E20"/>
    <w:rsid w:val="59CA3582"/>
    <w:rsid w:val="59E3084A"/>
    <w:rsid w:val="59F1552F"/>
    <w:rsid w:val="5A0031AA"/>
    <w:rsid w:val="5A1161F7"/>
    <w:rsid w:val="5A13112F"/>
    <w:rsid w:val="5AB26B9A"/>
    <w:rsid w:val="5B2A2BD4"/>
    <w:rsid w:val="5B747E08"/>
    <w:rsid w:val="5B7C71A8"/>
    <w:rsid w:val="5BA069F2"/>
    <w:rsid w:val="5BA30291"/>
    <w:rsid w:val="5BC70EDD"/>
    <w:rsid w:val="5BC77666"/>
    <w:rsid w:val="5C190B70"/>
    <w:rsid w:val="5C6F2ADC"/>
    <w:rsid w:val="5CA24EBA"/>
    <w:rsid w:val="5CAD579C"/>
    <w:rsid w:val="5CB07109"/>
    <w:rsid w:val="5CDF179C"/>
    <w:rsid w:val="5CF73483"/>
    <w:rsid w:val="5D5201C0"/>
    <w:rsid w:val="5D706898"/>
    <w:rsid w:val="5DBF512A"/>
    <w:rsid w:val="5E323B4E"/>
    <w:rsid w:val="5E386EB0"/>
    <w:rsid w:val="5E3D49CC"/>
    <w:rsid w:val="5E587A58"/>
    <w:rsid w:val="5E804B8E"/>
    <w:rsid w:val="5EDD7C2F"/>
    <w:rsid w:val="5EF003F4"/>
    <w:rsid w:val="5EFE18BE"/>
    <w:rsid w:val="5F012B13"/>
    <w:rsid w:val="5F04373C"/>
    <w:rsid w:val="5F2E6A0B"/>
    <w:rsid w:val="5F3240BE"/>
    <w:rsid w:val="5FC058B5"/>
    <w:rsid w:val="602821CF"/>
    <w:rsid w:val="60964868"/>
    <w:rsid w:val="60A87DF2"/>
    <w:rsid w:val="60A972A5"/>
    <w:rsid w:val="60B66CB8"/>
    <w:rsid w:val="60F17CF0"/>
    <w:rsid w:val="615838CB"/>
    <w:rsid w:val="61736957"/>
    <w:rsid w:val="61B71C2B"/>
    <w:rsid w:val="61CE3B8D"/>
    <w:rsid w:val="62774225"/>
    <w:rsid w:val="62EA4922"/>
    <w:rsid w:val="62EE098B"/>
    <w:rsid w:val="632C14B3"/>
    <w:rsid w:val="63365E8E"/>
    <w:rsid w:val="635A7DCF"/>
    <w:rsid w:val="635B58F5"/>
    <w:rsid w:val="635B7642"/>
    <w:rsid w:val="63690012"/>
    <w:rsid w:val="63696264"/>
    <w:rsid w:val="638B61DA"/>
    <w:rsid w:val="63C67212"/>
    <w:rsid w:val="63DC4C88"/>
    <w:rsid w:val="63E87188"/>
    <w:rsid w:val="64030466"/>
    <w:rsid w:val="646B664C"/>
    <w:rsid w:val="647850EC"/>
    <w:rsid w:val="64A47AAA"/>
    <w:rsid w:val="64AA6B34"/>
    <w:rsid w:val="64EC77C7"/>
    <w:rsid w:val="65240694"/>
    <w:rsid w:val="6532781A"/>
    <w:rsid w:val="653463FD"/>
    <w:rsid w:val="65556AA0"/>
    <w:rsid w:val="65835534"/>
    <w:rsid w:val="65962C14"/>
    <w:rsid w:val="659A2704"/>
    <w:rsid w:val="65A74E21"/>
    <w:rsid w:val="65AE4402"/>
    <w:rsid w:val="65E816C2"/>
    <w:rsid w:val="65EE0CA2"/>
    <w:rsid w:val="65F5080E"/>
    <w:rsid w:val="66546D57"/>
    <w:rsid w:val="665D4B9D"/>
    <w:rsid w:val="66787F09"/>
    <w:rsid w:val="66C35257"/>
    <w:rsid w:val="66D042C7"/>
    <w:rsid w:val="66F916AD"/>
    <w:rsid w:val="670A1B0C"/>
    <w:rsid w:val="670A5545"/>
    <w:rsid w:val="67545239"/>
    <w:rsid w:val="67566AFF"/>
    <w:rsid w:val="678A67A9"/>
    <w:rsid w:val="67A16354"/>
    <w:rsid w:val="67EF0D81"/>
    <w:rsid w:val="680B5EB3"/>
    <w:rsid w:val="681D761D"/>
    <w:rsid w:val="6841155D"/>
    <w:rsid w:val="685E210F"/>
    <w:rsid w:val="68686AEA"/>
    <w:rsid w:val="6876507C"/>
    <w:rsid w:val="68B7181F"/>
    <w:rsid w:val="68EE341D"/>
    <w:rsid w:val="68F77D59"/>
    <w:rsid w:val="690C3919"/>
    <w:rsid w:val="698433E2"/>
    <w:rsid w:val="69CF1E5C"/>
    <w:rsid w:val="69E74C2E"/>
    <w:rsid w:val="6A026ACA"/>
    <w:rsid w:val="6A0E36C1"/>
    <w:rsid w:val="6A130886"/>
    <w:rsid w:val="6A3A44B6"/>
    <w:rsid w:val="6A6F1338"/>
    <w:rsid w:val="6A731776"/>
    <w:rsid w:val="6A8E65B0"/>
    <w:rsid w:val="6ADE3093"/>
    <w:rsid w:val="6B225394"/>
    <w:rsid w:val="6B363FCA"/>
    <w:rsid w:val="6B6712DB"/>
    <w:rsid w:val="6B826114"/>
    <w:rsid w:val="6BF16DF6"/>
    <w:rsid w:val="6BF608B1"/>
    <w:rsid w:val="6C0C59DE"/>
    <w:rsid w:val="6C4D2CDF"/>
    <w:rsid w:val="6C731F01"/>
    <w:rsid w:val="6CA974DD"/>
    <w:rsid w:val="6CBE13CE"/>
    <w:rsid w:val="6D195F0B"/>
    <w:rsid w:val="6D1A412B"/>
    <w:rsid w:val="6D6A6E60"/>
    <w:rsid w:val="6D88378A"/>
    <w:rsid w:val="6DA07B18"/>
    <w:rsid w:val="6DE76703"/>
    <w:rsid w:val="6E3000AA"/>
    <w:rsid w:val="6E4C47B8"/>
    <w:rsid w:val="6E6715F2"/>
    <w:rsid w:val="6E69536A"/>
    <w:rsid w:val="6E8C308E"/>
    <w:rsid w:val="6E957F0D"/>
    <w:rsid w:val="6EA42846"/>
    <w:rsid w:val="6F5778B8"/>
    <w:rsid w:val="6F7C2E7B"/>
    <w:rsid w:val="6F854425"/>
    <w:rsid w:val="6FCA1E38"/>
    <w:rsid w:val="70001CFD"/>
    <w:rsid w:val="700D4CF7"/>
    <w:rsid w:val="701646C9"/>
    <w:rsid w:val="706C2EEF"/>
    <w:rsid w:val="70974410"/>
    <w:rsid w:val="70F80C27"/>
    <w:rsid w:val="713F23B2"/>
    <w:rsid w:val="71473A67"/>
    <w:rsid w:val="71535E5D"/>
    <w:rsid w:val="71970C7F"/>
    <w:rsid w:val="71A74D85"/>
    <w:rsid w:val="71BD15B8"/>
    <w:rsid w:val="71F15DA2"/>
    <w:rsid w:val="72104066"/>
    <w:rsid w:val="72432B76"/>
    <w:rsid w:val="7249173A"/>
    <w:rsid w:val="724C2FD8"/>
    <w:rsid w:val="729606F7"/>
    <w:rsid w:val="72DD00D4"/>
    <w:rsid w:val="73133AF6"/>
    <w:rsid w:val="731E1686"/>
    <w:rsid w:val="73353A6C"/>
    <w:rsid w:val="738670B1"/>
    <w:rsid w:val="73DD4830"/>
    <w:rsid w:val="74367F1C"/>
    <w:rsid w:val="752124FA"/>
    <w:rsid w:val="75502DDF"/>
    <w:rsid w:val="75630D65"/>
    <w:rsid w:val="75A50741"/>
    <w:rsid w:val="75A650F5"/>
    <w:rsid w:val="7610686D"/>
    <w:rsid w:val="761A57F1"/>
    <w:rsid w:val="765406AD"/>
    <w:rsid w:val="766507CE"/>
    <w:rsid w:val="76727DD3"/>
    <w:rsid w:val="76946CFC"/>
    <w:rsid w:val="76B05500"/>
    <w:rsid w:val="76B4739E"/>
    <w:rsid w:val="76FF4ABD"/>
    <w:rsid w:val="7705218E"/>
    <w:rsid w:val="772A140E"/>
    <w:rsid w:val="772E090A"/>
    <w:rsid w:val="77400C32"/>
    <w:rsid w:val="77AB07A1"/>
    <w:rsid w:val="77B05DB7"/>
    <w:rsid w:val="77EF2DE0"/>
    <w:rsid w:val="78060075"/>
    <w:rsid w:val="780D3DBD"/>
    <w:rsid w:val="78947487"/>
    <w:rsid w:val="78F87A16"/>
    <w:rsid w:val="79022643"/>
    <w:rsid w:val="793A1DDD"/>
    <w:rsid w:val="793A6280"/>
    <w:rsid w:val="793B5B55"/>
    <w:rsid w:val="795766F4"/>
    <w:rsid w:val="79A8735B"/>
    <w:rsid w:val="79C268F7"/>
    <w:rsid w:val="79D8521D"/>
    <w:rsid w:val="79F842EC"/>
    <w:rsid w:val="79FF4DD4"/>
    <w:rsid w:val="7A1E0906"/>
    <w:rsid w:val="7A55265D"/>
    <w:rsid w:val="7A7E3F4B"/>
    <w:rsid w:val="7AF91823"/>
    <w:rsid w:val="7B1E128A"/>
    <w:rsid w:val="7B84236A"/>
    <w:rsid w:val="7B8C2698"/>
    <w:rsid w:val="7BC736D0"/>
    <w:rsid w:val="7BEE3D32"/>
    <w:rsid w:val="7C25519A"/>
    <w:rsid w:val="7C3E1BE4"/>
    <w:rsid w:val="7C507B69"/>
    <w:rsid w:val="7C7552A4"/>
    <w:rsid w:val="7CB65A35"/>
    <w:rsid w:val="7CBB7BDD"/>
    <w:rsid w:val="7CEF1D89"/>
    <w:rsid w:val="7D140B97"/>
    <w:rsid w:val="7D254A84"/>
    <w:rsid w:val="7D40500C"/>
    <w:rsid w:val="7D441C2B"/>
    <w:rsid w:val="7DA2235D"/>
    <w:rsid w:val="7E01111B"/>
    <w:rsid w:val="7E374B3D"/>
    <w:rsid w:val="7E556B31"/>
    <w:rsid w:val="7E722019"/>
    <w:rsid w:val="7E77378E"/>
    <w:rsid w:val="7E8607EA"/>
    <w:rsid w:val="7EF207A1"/>
    <w:rsid w:val="7EF649F8"/>
    <w:rsid w:val="7F08297D"/>
    <w:rsid w:val="7F2A28F3"/>
    <w:rsid w:val="7F2D4191"/>
    <w:rsid w:val="7F517E80"/>
    <w:rsid w:val="7F581391"/>
    <w:rsid w:val="7F6556D9"/>
    <w:rsid w:val="7F842003"/>
    <w:rsid w:val="7F945FBF"/>
    <w:rsid w:val="7F967F89"/>
    <w:rsid w:val="7FDB18E9"/>
    <w:rsid w:val="7FF71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zh-TW" w:eastAsia="zh-TW" w:bidi="zh-TW"/>
    </w:rPr>
  </w:style>
  <w:style w:type="paragraph" w:styleId="2">
    <w:name w:val="heading 1"/>
    <w:basedOn w:val="1"/>
    <w:next w:val="1"/>
    <w:link w:val="51"/>
    <w:qFormat/>
    <w:uiPriority w:val="9"/>
    <w:pPr>
      <w:numPr>
        <w:ilvl w:val="0"/>
        <w:numId w:val="1"/>
      </w:numPr>
      <w:spacing w:before="63"/>
      <w:outlineLvl w:val="0"/>
    </w:pPr>
    <w:rPr>
      <w:rFonts w:ascii="黑体" w:hAnsi="黑体" w:eastAsia="黑体" w:cs="黑体"/>
      <w:b/>
      <w:sz w:val="36"/>
      <w:szCs w:val="36"/>
    </w:rPr>
  </w:style>
  <w:style w:type="paragraph" w:styleId="3">
    <w:name w:val="heading 2"/>
    <w:basedOn w:val="1"/>
    <w:next w:val="1"/>
    <w:link w:val="38"/>
    <w:unhideWhenUsed/>
    <w:qFormat/>
    <w:uiPriority w:val="9"/>
    <w:pPr>
      <w:keepNext/>
      <w:keepLines/>
      <w:spacing w:before="260" w:line="360" w:lineRule="auto"/>
      <w:outlineLvl w:val="1"/>
    </w:pPr>
    <w:rPr>
      <w:rFonts w:asciiTheme="majorHAnsi" w:hAnsiTheme="majorHAnsi" w:eastAsiaTheme="majorEastAsia" w:cstheme="majorBidi"/>
      <w:b/>
      <w:bCs/>
      <w:sz w:val="32"/>
      <w:szCs w:val="32"/>
    </w:rPr>
  </w:style>
  <w:style w:type="paragraph" w:styleId="4">
    <w:name w:val="heading 3"/>
    <w:basedOn w:val="1"/>
    <w:next w:val="1"/>
    <w:link w:val="39"/>
    <w:unhideWhenUsed/>
    <w:qFormat/>
    <w:uiPriority w:val="9"/>
    <w:pPr>
      <w:keepNext/>
      <w:keepLines/>
      <w:numPr>
        <w:ilvl w:val="2"/>
        <w:numId w:val="1"/>
      </w:numPr>
      <w:spacing w:before="120" w:line="360" w:lineRule="auto"/>
      <w:outlineLvl w:val="2"/>
    </w:pPr>
    <w:rPr>
      <w:rFonts w:eastAsia="黑体"/>
      <w:b/>
      <w:bCs/>
      <w:sz w:val="28"/>
      <w:szCs w:val="32"/>
    </w:rPr>
  </w:style>
  <w:style w:type="paragraph" w:styleId="5">
    <w:name w:val="heading 4"/>
    <w:basedOn w:val="1"/>
    <w:next w:val="1"/>
    <w:link w:val="40"/>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1"/>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42"/>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43"/>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44"/>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45"/>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320"/>
    </w:pPr>
    <w:rPr>
      <w:rFonts w:asciiTheme="minorHAnsi" w:hAnsiTheme="minorHAnsi" w:cstheme="minorHAnsi"/>
      <w:sz w:val="18"/>
      <w:szCs w:val="18"/>
    </w:rPr>
  </w:style>
  <w:style w:type="paragraph" w:styleId="12">
    <w:name w:val="annotation text"/>
    <w:basedOn w:val="1"/>
    <w:link w:val="58"/>
    <w:semiHidden/>
    <w:unhideWhenUsed/>
    <w:qFormat/>
    <w:uiPriority w:val="99"/>
  </w:style>
  <w:style w:type="paragraph" w:styleId="13">
    <w:name w:val="Body Text"/>
    <w:basedOn w:val="1"/>
    <w:next w:val="1"/>
    <w:link w:val="49"/>
    <w:qFormat/>
    <w:uiPriority w:val="1"/>
    <w:pPr>
      <w:spacing w:before="50" w:beforeLines="50" w:line="312" w:lineRule="auto"/>
      <w:ind w:left="50" w:leftChars="50" w:right="50" w:rightChars="50" w:firstLine="200" w:firstLineChars="200"/>
      <w:jc w:val="both"/>
    </w:pPr>
    <w:rPr>
      <w:sz w:val="32"/>
      <w:szCs w:val="32"/>
    </w:rPr>
  </w:style>
  <w:style w:type="paragraph" w:styleId="14">
    <w:name w:val="toc 5"/>
    <w:basedOn w:val="1"/>
    <w:next w:val="1"/>
    <w:unhideWhenUsed/>
    <w:qFormat/>
    <w:uiPriority w:val="39"/>
    <w:pPr>
      <w:ind w:left="880"/>
    </w:pPr>
    <w:rPr>
      <w:rFonts w:asciiTheme="minorHAnsi" w:hAnsiTheme="minorHAnsi" w:cstheme="minorHAnsi"/>
      <w:sz w:val="18"/>
      <w:szCs w:val="18"/>
    </w:rPr>
  </w:style>
  <w:style w:type="paragraph" w:styleId="15">
    <w:name w:val="toc 3"/>
    <w:basedOn w:val="1"/>
    <w:next w:val="1"/>
    <w:unhideWhenUsed/>
    <w:qFormat/>
    <w:uiPriority w:val="39"/>
    <w:pPr>
      <w:ind w:left="440"/>
    </w:pPr>
    <w:rPr>
      <w:rFonts w:asciiTheme="minorHAnsi" w:hAnsiTheme="minorHAnsi" w:cstheme="minorHAnsi"/>
      <w:i/>
      <w:iCs/>
      <w:sz w:val="20"/>
      <w:szCs w:val="20"/>
    </w:rPr>
  </w:style>
  <w:style w:type="paragraph" w:styleId="16">
    <w:name w:val="toc 8"/>
    <w:basedOn w:val="1"/>
    <w:next w:val="1"/>
    <w:unhideWhenUsed/>
    <w:qFormat/>
    <w:uiPriority w:val="39"/>
    <w:pPr>
      <w:ind w:left="1540"/>
    </w:pPr>
    <w:rPr>
      <w:rFonts w:asciiTheme="minorHAnsi" w:hAnsiTheme="minorHAnsi" w:cstheme="minorHAnsi"/>
      <w:sz w:val="18"/>
      <w:szCs w:val="18"/>
    </w:rPr>
  </w:style>
  <w:style w:type="paragraph" w:styleId="17">
    <w:name w:val="footer"/>
    <w:basedOn w:val="1"/>
    <w:link w:val="37"/>
    <w:unhideWhenUsed/>
    <w:qFormat/>
    <w:uiPriority w:val="99"/>
    <w:pPr>
      <w:tabs>
        <w:tab w:val="center" w:pos="4153"/>
        <w:tab w:val="right" w:pos="8306"/>
      </w:tabs>
      <w:snapToGrid w:val="0"/>
    </w:pPr>
    <w:rPr>
      <w:sz w:val="18"/>
      <w:szCs w:val="18"/>
    </w:rPr>
  </w:style>
  <w:style w:type="paragraph" w:styleId="18">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pPr>
    <w:rPr>
      <w:rFonts w:asciiTheme="minorHAnsi" w:hAnsiTheme="minorHAnsi" w:cstheme="minorHAnsi"/>
      <w:b/>
      <w:bCs/>
      <w:caps/>
      <w:sz w:val="20"/>
      <w:szCs w:val="20"/>
    </w:rPr>
  </w:style>
  <w:style w:type="paragraph" w:styleId="20">
    <w:name w:val="toc 4"/>
    <w:basedOn w:val="1"/>
    <w:next w:val="1"/>
    <w:unhideWhenUsed/>
    <w:qFormat/>
    <w:uiPriority w:val="39"/>
    <w:pPr>
      <w:ind w:left="660"/>
    </w:pPr>
    <w:rPr>
      <w:rFonts w:asciiTheme="minorHAnsi" w:hAnsiTheme="minorHAnsi" w:cstheme="minorHAnsi"/>
      <w:sz w:val="18"/>
      <w:szCs w:val="18"/>
    </w:rPr>
  </w:style>
  <w:style w:type="paragraph" w:styleId="21">
    <w:name w:val="toc 6"/>
    <w:basedOn w:val="1"/>
    <w:next w:val="1"/>
    <w:unhideWhenUsed/>
    <w:qFormat/>
    <w:uiPriority w:val="39"/>
    <w:pPr>
      <w:ind w:left="1100"/>
    </w:pPr>
    <w:rPr>
      <w:rFonts w:asciiTheme="minorHAnsi" w:hAnsiTheme="minorHAnsi" w:cstheme="minorHAnsi"/>
      <w:sz w:val="18"/>
      <w:szCs w:val="18"/>
    </w:rPr>
  </w:style>
  <w:style w:type="paragraph" w:styleId="22">
    <w:name w:val="toc 2"/>
    <w:basedOn w:val="1"/>
    <w:next w:val="1"/>
    <w:qFormat/>
    <w:uiPriority w:val="39"/>
    <w:pPr>
      <w:ind w:left="220"/>
    </w:pPr>
    <w:rPr>
      <w:rFonts w:asciiTheme="minorHAnsi" w:hAnsiTheme="minorHAnsi" w:cstheme="minorHAnsi"/>
      <w:smallCaps/>
      <w:sz w:val="20"/>
      <w:szCs w:val="20"/>
    </w:rPr>
  </w:style>
  <w:style w:type="paragraph" w:styleId="23">
    <w:name w:val="toc 9"/>
    <w:basedOn w:val="1"/>
    <w:next w:val="1"/>
    <w:unhideWhenUsed/>
    <w:qFormat/>
    <w:uiPriority w:val="39"/>
    <w:pPr>
      <w:ind w:left="1760"/>
    </w:pPr>
    <w:rPr>
      <w:rFonts w:asciiTheme="minorHAnsi" w:hAnsiTheme="minorHAnsi" w:cstheme="minorHAnsi"/>
      <w:sz w:val="18"/>
      <w:szCs w:val="18"/>
    </w:rPr>
  </w:style>
  <w:style w:type="paragraph" w:styleId="24">
    <w:name w:val="Normal (Web)"/>
    <w:basedOn w:val="1"/>
    <w:semiHidden/>
    <w:unhideWhenUsed/>
    <w:qFormat/>
    <w:uiPriority w:val="99"/>
    <w:pPr>
      <w:spacing w:beforeAutospacing="1" w:afterAutospacing="1"/>
    </w:pPr>
    <w:rPr>
      <w:rFonts w:cs="Times New Roman"/>
      <w:sz w:val="24"/>
      <w:lang w:val="en-US" w:eastAsia="zh-CN" w:bidi="ar-SA"/>
    </w:rPr>
  </w:style>
  <w:style w:type="paragraph" w:styleId="25">
    <w:name w:val="annotation subject"/>
    <w:basedOn w:val="12"/>
    <w:next w:val="12"/>
    <w:link w:val="59"/>
    <w:semiHidden/>
    <w:unhideWhenUsed/>
    <w:qFormat/>
    <w:uiPriority w:val="99"/>
    <w:rPr>
      <w:b/>
      <w:bCs/>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semiHidden/>
    <w:unhideWhenUsed/>
    <w:qFormat/>
    <w:uiPriority w:val="99"/>
    <w:rPr>
      <w:color w:val="800080" w:themeColor="followedHyperlink"/>
      <w:u w:val="single"/>
      <w14:textFill>
        <w14:solidFill>
          <w14:schemeClr w14:val="folHlink"/>
        </w14:solidFill>
      </w14:textFill>
    </w:rPr>
  </w:style>
  <w:style w:type="character" w:styleId="30">
    <w:name w:val="Emphasis"/>
    <w:basedOn w:val="28"/>
    <w:qFormat/>
    <w:uiPriority w:val="20"/>
    <w:rPr>
      <w:i/>
    </w:rPr>
  </w:style>
  <w:style w:type="character" w:styleId="31">
    <w:name w:val="Hyperlink"/>
    <w:basedOn w:val="28"/>
    <w:unhideWhenUsed/>
    <w:qFormat/>
    <w:uiPriority w:val="99"/>
    <w:rPr>
      <w:color w:val="0000FF" w:themeColor="hyperlink"/>
      <w:u w:val="single"/>
      <w14:textFill>
        <w14:solidFill>
          <w14:schemeClr w14:val="hlink"/>
        </w14:solidFill>
      </w14:textFill>
    </w:rPr>
  </w:style>
  <w:style w:type="character" w:styleId="32">
    <w:name w:val="annotation reference"/>
    <w:basedOn w:val="28"/>
    <w:semiHidden/>
    <w:unhideWhenUsed/>
    <w:qFormat/>
    <w:uiPriority w:val="99"/>
    <w:rPr>
      <w:sz w:val="21"/>
      <w:szCs w:val="21"/>
    </w:rPr>
  </w:style>
  <w:style w:type="table" w:customStyle="1" w:styleId="33">
    <w:name w:val="Table Normal"/>
    <w:semiHidden/>
    <w:unhideWhenUsed/>
    <w:qFormat/>
    <w:uiPriority w:val="2"/>
    <w:tblPr>
      <w:tblCellMar>
        <w:top w:w="0" w:type="dxa"/>
        <w:left w:w="0" w:type="dxa"/>
        <w:bottom w:w="0" w:type="dxa"/>
        <w:right w:w="0" w:type="dxa"/>
      </w:tblCellMar>
    </w:tblPr>
  </w:style>
  <w:style w:type="paragraph" w:styleId="34">
    <w:name w:val="List Paragraph"/>
    <w:basedOn w:val="1"/>
    <w:qFormat/>
    <w:uiPriority w:val="34"/>
  </w:style>
  <w:style w:type="paragraph" w:customStyle="1" w:styleId="35">
    <w:name w:val="Table Paragraph"/>
    <w:basedOn w:val="1"/>
    <w:qFormat/>
    <w:uiPriority w:val="1"/>
  </w:style>
  <w:style w:type="character" w:customStyle="1" w:styleId="36">
    <w:name w:val="页眉 字符"/>
    <w:basedOn w:val="28"/>
    <w:link w:val="18"/>
    <w:qFormat/>
    <w:uiPriority w:val="99"/>
    <w:rPr>
      <w:rFonts w:ascii="仿宋" w:hAnsi="仿宋" w:eastAsia="仿宋" w:cs="仿宋"/>
      <w:sz w:val="18"/>
      <w:szCs w:val="18"/>
      <w:lang w:val="zh-TW" w:eastAsia="zh-TW" w:bidi="zh-TW"/>
    </w:rPr>
  </w:style>
  <w:style w:type="character" w:customStyle="1" w:styleId="37">
    <w:name w:val="页脚 字符"/>
    <w:basedOn w:val="28"/>
    <w:link w:val="17"/>
    <w:qFormat/>
    <w:uiPriority w:val="99"/>
    <w:rPr>
      <w:rFonts w:ascii="仿宋" w:hAnsi="仿宋" w:eastAsia="仿宋" w:cs="仿宋"/>
      <w:sz w:val="18"/>
      <w:szCs w:val="18"/>
      <w:lang w:val="zh-TW" w:eastAsia="zh-TW" w:bidi="zh-TW"/>
    </w:rPr>
  </w:style>
  <w:style w:type="character" w:customStyle="1" w:styleId="38">
    <w:name w:val="标题 2 字符"/>
    <w:basedOn w:val="28"/>
    <w:link w:val="3"/>
    <w:qFormat/>
    <w:uiPriority w:val="9"/>
    <w:rPr>
      <w:rFonts w:asciiTheme="majorHAnsi" w:hAnsiTheme="majorHAnsi" w:eastAsiaTheme="majorEastAsia" w:cstheme="majorBidi"/>
      <w:b/>
      <w:bCs/>
      <w:sz w:val="32"/>
      <w:szCs w:val="32"/>
      <w:lang w:val="zh-TW" w:eastAsia="zh-TW" w:bidi="zh-TW"/>
    </w:rPr>
  </w:style>
  <w:style w:type="character" w:customStyle="1" w:styleId="39">
    <w:name w:val="标题 3 字符"/>
    <w:basedOn w:val="28"/>
    <w:link w:val="4"/>
    <w:qFormat/>
    <w:uiPriority w:val="9"/>
    <w:rPr>
      <w:rFonts w:ascii="仿宋" w:hAnsi="仿宋" w:eastAsia="黑体" w:cs="仿宋"/>
      <w:b/>
      <w:bCs/>
      <w:sz w:val="28"/>
      <w:szCs w:val="32"/>
      <w:lang w:val="zh-TW" w:eastAsia="zh-TW" w:bidi="zh-TW"/>
    </w:rPr>
  </w:style>
  <w:style w:type="character" w:customStyle="1" w:styleId="40">
    <w:name w:val="标题 4 字符"/>
    <w:basedOn w:val="28"/>
    <w:link w:val="5"/>
    <w:qFormat/>
    <w:uiPriority w:val="9"/>
    <w:rPr>
      <w:rFonts w:asciiTheme="majorHAnsi" w:hAnsiTheme="majorHAnsi" w:eastAsiaTheme="majorEastAsia" w:cstheme="majorBidi"/>
      <w:b/>
      <w:bCs/>
      <w:sz w:val="28"/>
      <w:szCs w:val="28"/>
      <w:lang w:val="zh-TW" w:eastAsia="zh-TW" w:bidi="zh-TW"/>
    </w:rPr>
  </w:style>
  <w:style w:type="character" w:customStyle="1" w:styleId="41">
    <w:name w:val="标题 5 字符"/>
    <w:basedOn w:val="28"/>
    <w:link w:val="6"/>
    <w:qFormat/>
    <w:uiPriority w:val="9"/>
    <w:rPr>
      <w:rFonts w:ascii="仿宋" w:hAnsi="仿宋" w:eastAsia="仿宋" w:cs="仿宋"/>
      <w:b/>
      <w:bCs/>
      <w:sz w:val="28"/>
      <w:szCs w:val="28"/>
      <w:lang w:val="zh-TW" w:eastAsia="zh-TW" w:bidi="zh-TW"/>
    </w:rPr>
  </w:style>
  <w:style w:type="character" w:customStyle="1" w:styleId="42">
    <w:name w:val="标题 6 字符"/>
    <w:basedOn w:val="28"/>
    <w:link w:val="7"/>
    <w:semiHidden/>
    <w:qFormat/>
    <w:uiPriority w:val="9"/>
    <w:rPr>
      <w:rFonts w:asciiTheme="majorHAnsi" w:hAnsiTheme="majorHAnsi" w:eastAsiaTheme="majorEastAsia" w:cstheme="majorBidi"/>
      <w:b/>
      <w:bCs/>
      <w:sz w:val="24"/>
      <w:szCs w:val="24"/>
      <w:lang w:val="zh-TW" w:eastAsia="zh-TW" w:bidi="zh-TW"/>
    </w:rPr>
  </w:style>
  <w:style w:type="character" w:customStyle="1" w:styleId="43">
    <w:name w:val="标题 7 字符"/>
    <w:basedOn w:val="28"/>
    <w:link w:val="8"/>
    <w:semiHidden/>
    <w:qFormat/>
    <w:uiPriority w:val="9"/>
    <w:rPr>
      <w:rFonts w:ascii="仿宋" w:hAnsi="仿宋" w:eastAsia="仿宋" w:cs="仿宋"/>
      <w:b/>
      <w:bCs/>
      <w:sz w:val="24"/>
      <w:szCs w:val="24"/>
      <w:lang w:val="zh-TW" w:eastAsia="zh-TW" w:bidi="zh-TW"/>
    </w:rPr>
  </w:style>
  <w:style w:type="character" w:customStyle="1" w:styleId="44">
    <w:name w:val="标题 8 字符"/>
    <w:basedOn w:val="28"/>
    <w:link w:val="9"/>
    <w:semiHidden/>
    <w:qFormat/>
    <w:uiPriority w:val="9"/>
    <w:rPr>
      <w:rFonts w:asciiTheme="majorHAnsi" w:hAnsiTheme="majorHAnsi" w:eastAsiaTheme="majorEastAsia" w:cstheme="majorBidi"/>
      <w:sz w:val="24"/>
      <w:szCs w:val="24"/>
      <w:lang w:val="zh-TW" w:eastAsia="zh-TW" w:bidi="zh-TW"/>
    </w:rPr>
  </w:style>
  <w:style w:type="character" w:customStyle="1" w:styleId="45">
    <w:name w:val="标题 9 字符"/>
    <w:basedOn w:val="28"/>
    <w:link w:val="10"/>
    <w:semiHidden/>
    <w:qFormat/>
    <w:uiPriority w:val="9"/>
    <w:rPr>
      <w:rFonts w:asciiTheme="majorHAnsi" w:hAnsiTheme="majorHAnsi" w:eastAsiaTheme="majorEastAsia" w:cstheme="majorBidi"/>
      <w:sz w:val="21"/>
      <w:szCs w:val="21"/>
      <w:lang w:val="zh-TW" w:eastAsia="zh-TW" w:bidi="zh-TW"/>
    </w:rPr>
  </w:style>
  <w:style w:type="paragraph" w:customStyle="1" w:styleId="46">
    <w:name w:val="样式1"/>
    <w:basedOn w:val="4"/>
    <w:link w:val="48"/>
    <w:qFormat/>
    <w:uiPriority w:val="0"/>
    <w:pPr>
      <w:numPr>
        <w:ilvl w:val="0"/>
        <w:numId w:val="2"/>
      </w:numPr>
      <w:spacing w:line="312" w:lineRule="auto"/>
    </w:pPr>
  </w:style>
  <w:style w:type="paragraph" w:customStyle="1" w:styleId="47">
    <w:name w:val="样式2"/>
    <w:basedOn w:val="4"/>
    <w:link w:val="50"/>
    <w:qFormat/>
    <w:uiPriority w:val="0"/>
    <w:pPr>
      <w:numPr>
        <w:ilvl w:val="0"/>
        <w:numId w:val="3"/>
      </w:numPr>
    </w:pPr>
  </w:style>
  <w:style w:type="character" w:customStyle="1" w:styleId="48">
    <w:name w:val="样式1 字符"/>
    <w:basedOn w:val="39"/>
    <w:link w:val="46"/>
    <w:qFormat/>
    <w:uiPriority w:val="0"/>
    <w:rPr>
      <w:rFonts w:ascii="仿宋" w:hAnsi="仿宋" w:eastAsia="黑体" w:cs="仿宋"/>
      <w:sz w:val="28"/>
      <w:szCs w:val="32"/>
      <w:lang w:val="zh-TW" w:eastAsia="zh-TW" w:bidi="zh-TW"/>
    </w:rPr>
  </w:style>
  <w:style w:type="character" w:customStyle="1" w:styleId="49">
    <w:name w:val="正文文本 字符"/>
    <w:basedOn w:val="28"/>
    <w:link w:val="13"/>
    <w:qFormat/>
    <w:uiPriority w:val="1"/>
    <w:rPr>
      <w:rFonts w:ascii="仿宋" w:hAnsi="仿宋" w:eastAsia="仿宋" w:cs="仿宋"/>
      <w:sz w:val="32"/>
      <w:szCs w:val="32"/>
      <w:lang w:val="zh-TW" w:eastAsia="zh-TW" w:bidi="zh-TW"/>
    </w:rPr>
  </w:style>
  <w:style w:type="character" w:customStyle="1" w:styleId="50">
    <w:name w:val="样式2 字符"/>
    <w:basedOn w:val="39"/>
    <w:link w:val="47"/>
    <w:qFormat/>
    <w:uiPriority w:val="0"/>
    <w:rPr>
      <w:rFonts w:ascii="仿宋" w:hAnsi="仿宋" w:eastAsia="黑体" w:cs="仿宋"/>
      <w:sz w:val="28"/>
      <w:szCs w:val="32"/>
      <w:lang w:val="zh-TW" w:eastAsia="zh-TW" w:bidi="zh-TW"/>
    </w:rPr>
  </w:style>
  <w:style w:type="character" w:customStyle="1" w:styleId="51">
    <w:name w:val="标题 1 字符"/>
    <w:basedOn w:val="28"/>
    <w:link w:val="2"/>
    <w:qFormat/>
    <w:uiPriority w:val="9"/>
    <w:rPr>
      <w:rFonts w:ascii="黑体" w:hAnsi="黑体" w:eastAsia="黑体" w:cs="黑体"/>
      <w:b/>
      <w:sz w:val="36"/>
      <w:szCs w:val="36"/>
      <w:lang w:val="zh-TW" w:eastAsia="zh-TW" w:bidi="zh-TW"/>
    </w:rPr>
  </w:style>
  <w:style w:type="paragraph" w:customStyle="1" w:styleId="52">
    <w:name w:val="专栏标题"/>
    <w:basedOn w:val="1"/>
    <w:link w:val="54"/>
    <w:qFormat/>
    <w:uiPriority w:val="0"/>
    <w:pPr>
      <w:autoSpaceDE/>
      <w:autoSpaceDN/>
      <w:spacing w:before="48" w:after="20" w:afterLines="20"/>
      <w:jc w:val="center"/>
    </w:pPr>
    <w:rPr>
      <w:rFonts w:ascii="Times New Roman" w:hAnsi="Times New Roman" w:eastAsia="黑体" w:cs="Times New Roman"/>
      <w:bCs/>
      <w:sz w:val="30"/>
      <w:szCs w:val="28"/>
      <w:lang w:val="en-US" w:eastAsia="zh-CN" w:bidi="ar-SA"/>
    </w:rPr>
  </w:style>
  <w:style w:type="paragraph" w:customStyle="1" w:styleId="53">
    <w:name w:val="专栏正文"/>
    <w:basedOn w:val="1"/>
    <w:link w:val="55"/>
    <w:qFormat/>
    <w:uiPriority w:val="0"/>
    <w:pPr>
      <w:autoSpaceDE/>
      <w:autoSpaceDN/>
      <w:adjustRightInd w:val="0"/>
      <w:snapToGrid w:val="0"/>
      <w:spacing w:before="48" w:line="500" w:lineRule="exact"/>
      <w:ind w:firstLine="200" w:firstLineChars="200"/>
      <w:jc w:val="both"/>
    </w:pPr>
    <w:rPr>
      <w:rFonts w:ascii="Times New Roman" w:hAnsi="Times New Roman" w:eastAsia="仿宋_GB2312" w:cs="Times New Roman"/>
      <w:sz w:val="24"/>
      <w:szCs w:val="28"/>
      <w:lang w:val="en-US" w:eastAsia="zh-CN" w:bidi="ar-SA"/>
    </w:rPr>
  </w:style>
  <w:style w:type="character" w:customStyle="1" w:styleId="54">
    <w:name w:val="专栏标题 字符"/>
    <w:basedOn w:val="28"/>
    <w:link w:val="52"/>
    <w:qFormat/>
    <w:uiPriority w:val="0"/>
    <w:rPr>
      <w:rFonts w:ascii="Times New Roman" w:hAnsi="Times New Roman" w:eastAsia="黑体" w:cs="Times New Roman"/>
      <w:bCs/>
      <w:sz w:val="30"/>
      <w:szCs w:val="28"/>
      <w:lang w:eastAsia="zh-CN"/>
    </w:rPr>
  </w:style>
  <w:style w:type="character" w:customStyle="1" w:styleId="55">
    <w:name w:val="专栏正文 字符"/>
    <w:basedOn w:val="28"/>
    <w:link w:val="53"/>
    <w:qFormat/>
    <w:uiPriority w:val="0"/>
    <w:rPr>
      <w:rFonts w:ascii="Times New Roman" w:hAnsi="Times New Roman" w:eastAsia="仿宋_GB2312" w:cs="Times New Roman"/>
      <w:sz w:val="24"/>
      <w:szCs w:val="28"/>
      <w:lang w:eastAsia="zh-CN"/>
    </w:rPr>
  </w:style>
  <w:style w:type="character" w:customStyle="1" w:styleId="56">
    <w:name w:val="font21"/>
    <w:basedOn w:val="28"/>
    <w:qFormat/>
    <w:uiPriority w:val="0"/>
    <w:rPr>
      <w:rFonts w:hint="eastAsia" w:ascii="宋体" w:hAnsi="宋体" w:eastAsia="宋体"/>
      <w:color w:val="000000"/>
      <w:sz w:val="21"/>
      <w:szCs w:val="21"/>
      <w:u w:val="none"/>
    </w:rPr>
  </w:style>
  <w:style w:type="character" w:customStyle="1" w:styleId="57">
    <w:name w:val="font11"/>
    <w:basedOn w:val="28"/>
    <w:qFormat/>
    <w:uiPriority w:val="0"/>
    <w:rPr>
      <w:rFonts w:hint="default" w:ascii="Times New Roman" w:hAnsi="Times New Roman" w:cs="Times New Roman"/>
      <w:color w:val="000000"/>
      <w:sz w:val="21"/>
      <w:szCs w:val="21"/>
      <w:u w:val="none"/>
    </w:rPr>
  </w:style>
  <w:style w:type="character" w:customStyle="1" w:styleId="58">
    <w:name w:val="批注文字 字符"/>
    <w:basedOn w:val="28"/>
    <w:link w:val="12"/>
    <w:semiHidden/>
    <w:qFormat/>
    <w:uiPriority w:val="99"/>
    <w:rPr>
      <w:rFonts w:ascii="仿宋" w:hAnsi="仿宋" w:eastAsia="仿宋" w:cs="仿宋"/>
      <w:sz w:val="22"/>
      <w:szCs w:val="22"/>
      <w:lang w:val="zh-TW" w:eastAsia="zh-TW" w:bidi="zh-TW"/>
    </w:rPr>
  </w:style>
  <w:style w:type="character" w:customStyle="1" w:styleId="59">
    <w:name w:val="批注主题 字符"/>
    <w:basedOn w:val="58"/>
    <w:link w:val="25"/>
    <w:semiHidden/>
    <w:qFormat/>
    <w:uiPriority w:val="99"/>
    <w:rPr>
      <w:rFonts w:ascii="仿宋" w:hAnsi="仿宋" w:eastAsia="仿宋" w:cs="仿宋"/>
      <w:b/>
      <w:bCs/>
      <w:sz w:val="22"/>
      <w:szCs w:val="22"/>
      <w:lang w:val="zh-TW" w:eastAsia="zh-TW" w:bidi="zh-TW"/>
    </w:rPr>
  </w:style>
  <w:style w:type="character" w:customStyle="1" w:styleId="60">
    <w:name w:val="专栏正文 Char"/>
    <w:qFormat/>
    <w:uiPriority w:val="0"/>
    <w:rPr>
      <w:rFonts w:ascii="方正仿宋_GB2312" w:hAnsi="方正仿宋_GB2312" w:eastAsia="方正仿宋_GB2312" w:cs="方正仿宋_GB2312"/>
      <w:kern w:val="2"/>
      <w:sz w:val="28"/>
      <w:szCs w:val="32"/>
    </w:rPr>
  </w:style>
  <w:style w:type="paragraph" w:customStyle="1" w:styleId="61">
    <w:name w:val="专栏"/>
    <w:qFormat/>
    <w:uiPriority w:val="0"/>
    <w:pPr>
      <w:autoSpaceDE w:val="0"/>
      <w:autoSpaceDN w:val="0"/>
      <w:ind w:firstLine="560"/>
    </w:pPr>
    <w:rPr>
      <w:rFonts w:ascii="Times New Roman" w:hAnsi="Times New Roman" w:eastAsia="仿宋_GB2312" w:cs="仿宋"/>
      <w:sz w:val="24"/>
      <w:szCs w:val="22"/>
      <w:lang w:val="zh-TW" w:eastAsia="zh-TW" w:bidi="zh-TW"/>
    </w:rPr>
  </w:style>
  <w:style w:type="paragraph" w:customStyle="1" w:styleId="62">
    <w:name w:val="0-专栏"/>
    <w:basedOn w:val="1"/>
    <w:qFormat/>
    <w:uiPriority w:val="0"/>
    <w:pPr>
      <w:ind w:firstLine="562"/>
    </w:pPr>
    <w:rPr>
      <w:b/>
      <w:sz w:val="28"/>
      <w:szCs w:val="28"/>
    </w:rPr>
  </w:style>
  <w:style w:type="paragraph" w:customStyle="1" w:styleId="63">
    <w:name w:val="表格"/>
    <w:qFormat/>
    <w:uiPriority w:val="0"/>
    <w:pPr>
      <w:jc w:val="center"/>
    </w:pPr>
    <w:rPr>
      <w:rFonts w:ascii="Times New Roman" w:hAnsi="Times New Roman" w:eastAsia="仿宋_GB2312" w:cs="仿宋"/>
      <w:sz w:val="21"/>
      <w:szCs w:val="22"/>
      <w:lang w:val="zh-TW" w:eastAsia="zh-TW" w:bidi="zh-TW"/>
    </w:rPr>
  </w:style>
  <w:style w:type="paragraph" w:customStyle="1" w:styleId="64">
    <w:name w:val="Table Text"/>
    <w:basedOn w:val="1"/>
    <w:semiHidden/>
    <w:qFormat/>
    <w:uiPriority w:val="0"/>
    <w:rPr>
      <w:rFonts w:ascii="Arial" w:hAnsi="Arial" w:eastAsia="Arial" w:cs="Arial"/>
      <w:sz w:val="21"/>
      <w:szCs w:val="21"/>
      <w:lang w:val="en-US" w:eastAsia="en-US" w:bidi="ar-SA"/>
    </w:rPr>
  </w:style>
  <w:style w:type="paragraph" w:customStyle="1" w:styleId="65">
    <w:name w:val="修订1"/>
    <w:hidden/>
    <w:unhideWhenUsed/>
    <w:qFormat/>
    <w:uiPriority w:val="99"/>
    <w:rPr>
      <w:rFonts w:ascii="仿宋" w:hAnsi="仿宋" w:eastAsia="仿宋" w:cs="仿宋"/>
      <w:sz w:val="22"/>
      <w:szCs w:val="22"/>
      <w:lang w:val="zh-TW" w:eastAsia="zh-TW" w:bidi="zh-TW"/>
    </w:rPr>
  </w:style>
  <w:style w:type="paragraph" w:customStyle="1" w:styleId="66">
    <w:name w:val="修订2"/>
    <w:hidden/>
    <w:unhideWhenUsed/>
    <w:qFormat/>
    <w:uiPriority w:val="99"/>
    <w:rPr>
      <w:rFonts w:ascii="仿宋" w:hAnsi="仿宋" w:eastAsia="仿宋" w:cs="仿宋"/>
      <w:sz w:val="22"/>
      <w:szCs w:val="22"/>
      <w:lang w:val="zh-TW" w:eastAsia="zh-TW" w:bidi="zh-TW"/>
    </w:rPr>
  </w:style>
  <w:style w:type="character" w:customStyle="1" w:styleId="67">
    <w:name w:val="font31"/>
    <w:basedOn w:val="28"/>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023A3D-9A44-4B72-B516-D739887475C8}">
  <ds:schemaRefs/>
</ds:datastoreItem>
</file>

<file path=docProps/app.xml><?xml version="1.0" encoding="utf-8"?>
<Properties xmlns="http://schemas.openxmlformats.org/officeDocument/2006/extended-properties" xmlns:vt="http://schemas.openxmlformats.org/officeDocument/2006/docPropsVTypes">
  <Template>Normal.dotm</Template>
  <Pages>68</Pages>
  <Words>17257</Words>
  <Characters>17484</Characters>
  <Lines>310</Lines>
  <Paragraphs>87</Paragraphs>
  <TotalTime>0</TotalTime>
  <ScaleCrop>false</ScaleCrop>
  <LinksUpToDate>false</LinksUpToDate>
  <CharactersWithSpaces>17605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2025-10-26T00:34:00Z</dcterms:created>
  <dc:creator>ZYP</dc:creator>
  <cp:lastModifiedBy>换装的卡片</cp:lastModifiedBy>
  <cp:lastPrinted>2025-10-29T07:26:00Z</cp:lastPrinted>
  <dcterms:modified xsi:type="dcterms:W3CDTF">2025-12-05T02:46:27Z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2023-08-01T00:00:00Z</vt:filetime>
  </property>
  <property fmtid="{D5CDD505-2E9C-101B-9397-08002B2CF9AE}" pid="3" name="Creator">
    <vt:lpwstr>Microsoft® Word 2021</vt:lpwstr>
  </property>
  <property fmtid="{D5CDD505-2E9C-101B-9397-08002B2CF9AE}" pid="4" name="LastSaved">
    <vt:filetime>2023-08-07T00:00:00Z</vt:filetime>
  </property>
  <property fmtid="{D5CDD505-2E9C-101B-9397-08002B2CF9AE}" pid="5" name="KSOProductBuildVer">
    <vt:lpwstr>2052-12.1.0.24034</vt:lpwstr>
  </property>
  <property fmtid="{D5CDD505-2E9C-101B-9397-08002B2CF9AE}" pid="6" name="ICV">
    <vt:lpwstr>EECC7F0BC63B4F5A866FE6C7C4405DF5_13</vt:lpwstr>
  </property>
  <property fmtid="{D5CDD505-2E9C-101B-9397-08002B2CF9AE}" pid="7" name="KSOTemplateDocerSaveRecord">
    <vt:lpwstr>eyJoZGlkIjoiZDZhMmYzMzA1MjIzNjQyZTczZGI2MjFkYjM2Mjk5ODUiLCJ1c2VySWQiOiIzMTAxMDA2NTEifQ==</vt:lpwstr>
  </property>
</Properties>
</file>