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D9821">
      <w:pPr>
        <w:pStyle w:val="13"/>
        <w:spacing w:before="120"/>
        <w:ind w:left="0" w:leftChars="0" w:right="110" w:firstLine="426" w:firstLineChars="213"/>
        <w:rPr>
          <w:rFonts w:ascii="Times New Roman"/>
          <w:sz w:val="20"/>
          <w:highlight w:val="none"/>
        </w:rPr>
      </w:pPr>
      <w:r>
        <w:rPr>
          <w:rFonts w:ascii="Times New Roman"/>
          <w:sz w:val="20"/>
          <w:highlight w:val="none"/>
          <w:lang w:val="en-US" w:eastAsia="zh-CN" w:bidi="ar-SA"/>
        </w:rPr>
        <w:drawing>
          <wp:inline distT="0" distB="0" distL="0" distR="0">
            <wp:extent cx="354965" cy="15633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355231" cy="1563624"/>
                    </a:xfrm>
                    <a:prstGeom prst="rect">
                      <a:avLst/>
                    </a:prstGeom>
                  </pic:spPr>
                </pic:pic>
              </a:graphicData>
            </a:graphic>
          </wp:inline>
        </w:drawing>
      </w:r>
    </w:p>
    <w:p w14:paraId="02F20987">
      <w:pPr>
        <w:spacing w:before="12"/>
        <w:ind w:right="297"/>
        <w:jc w:val="center"/>
        <w:rPr>
          <w:rFonts w:ascii="方正小标宋_GBK" w:hAnsi="方正小标宋_GBK" w:eastAsia="方正小标宋_GBK"/>
          <w:b/>
          <w:sz w:val="50"/>
          <w:highlight w:val="none"/>
        </w:rPr>
      </w:pPr>
      <w:r>
        <w:rPr>
          <w:rFonts w:hint="eastAsia" w:ascii="方正小标宋_GBK" w:hAnsi="方正小标宋_GBK" w:eastAsia="方正小标宋_GBK"/>
          <w:b/>
          <w:sz w:val="50"/>
          <w:highlight w:val="none"/>
          <w:lang w:val="en-US" w:eastAsia="zh-CN"/>
        </w:rPr>
        <w:t>宿州</w:t>
      </w:r>
      <w:r>
        <w:rPr>
          <w:rFonts w:hint="eastAsia" w:ascii="方正小标宋_GBK" w:hAnsi="方正小标宋_GBK" w:eastAsia="方正小标宋_GBK"/>
          <w:b/>
          <w:sz w:val="50"/>
          <w:highlight w:val="none"/>
        </w:rPr>
        <w:t>市</w:t>
      </w:r>
      <w:r>
        <w:rPr>
          <w:rFonts w:hint="eastAsia" w:ascii="方正小标宋_GBK" w:hAnsi="方正小标宋_GBK" w:eastAsia="方正小标宋_GBK"/>
          <w:b/>
          <w:sz w:val="50"/>
          <w:highlight w:val="none"/>
          <w:lang w:val="en-US" w:eastAsia="zh-CN"/>
        </w:rPr>
        <w:t>萧</w:t>
      </w:r>
      <w:r>
        <w:rPr>
          <w:rFonts w:hint="eastAsia" w:ascii="方正小标宋_GBK" w:hAnsi="方正小标宋_GBK" w:eastAsia="方正小标宋_GBK"/>
          <w:b/>
          <w:sz w:val="50"/>
          <w:highlight w:val="none"/>
        </w:rPr>
        <w:t>县</w:t>
      </w:r>
      <w:r>
        <w:rPr>
          <w:rFonts w:hint="eastAsia" w:ascii="方正小标宋_GBK" w:hAnsi="方正小标宋_GBK" w:eastAsia="方正小标宋_GBK"/>
          <w:b/>
          <w:sz w:val="50"/>
          <w:highlight w:val="none"/>
          <w:lang w:val="en-US" w:eastAsia="zh-CN"/>
        </w:rPr>
        <w:t>闫集镇</w:t>
      </w:r>
      <w:r>
        <w:rPr>
          <w:rFonts w:hint="eastAsia" w:ascii="方正小标宋_GBK" w:hAnsi="方正小标宋_GBK" w:eastAsia="方正小标宋_GBK"/>
          <w:b/>
          <w:sz w:val="50"/>
          <w:highlight w:val="none"/>
        </w:rPr>
        <w:t>国土空间总体规划</w:t>
      </w:r>
    </w:p>
    <w:p w14:paraId="1A6423DC">
      <w:pPr>
        <w:spacing w:before="66"/>
        <w:ind w:right="297" w:firstLine="468" w:firstLineChars="213"/>
        <w:jc w:val="center"/>
        <w:rPr>
          <w:rFonts w:ascii="方正小标宋_GBK" w:hAnsi="方正小标宋_GBK" w:eastAsia="方正小标宋_GBK"/>
          <w:b/>
          <w:sz w:val="50"/>
          <w:highlight w:val="none"/>
        </w:rPr>
      </w:pPr>
      <w:r>
        <w:rPr>
          <w:rFonts w:ascii="方正小标宋_GBK" w:hAnsi="方正小标宋_GBK" w:eastAsia="方正小标宋_GBK"/>
          <w:highlight w:val="none"/>
          <w:lang w:val="en-US" w:eastAsia="zh-CN" w:bidi="ar-SA"/>
        </w:rPr>
        <w:drawing>
          <wp:anchor distT="0" distB="0" distL="0" distR="0" simplePos="0" relativeHeight="251659264" behindDoc="1" locked="0" layoutInCell="1" allowOverlap="1">
            <wp:simplePos x="0" y="0"/>
            <wp:positionH relativeFrom="page">
              <wp:posOffset>5036820</wp:posOffset>
            </wp:positionH>
            <wp:positionV relativeFrom="paragraph">
              <wp:posOffset>225425</wp:posOffset>
            </wp:positionV>
            <wp:extent cx="356870" cy="39497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9" cstate="print"/>
                    <a:stretch>
                      <a:fillRect/>
                    </a:stretch>
                  </pic:blipFill>
                  <pic:spPr>
                    <a:xfrm>
                      <a:off x="0" y="0"/>
                      <a:ext cx="356615" cy="394716"/>
                    </a:xfrm>
                    <a:prstGeom prst="rect">
                      <a:avLst/>
                    </a:prstGeom>
                  </pic:spPr>
                </pic:pic>
              </a:graphicData>
            </a:graphic>
          </wp:anchor>
        </w:drawing>
      </w:r>
      <w:r>
        <w:rPr>
          <w:rFonts w:hint="eastAsia" w:ascii="方正小标宋_GBK" w:hAnsi="方正小标宋_GBK" w:eastAsia="方正小标宋_GBK"/>
          <w:b/>
          <w:sz w:val="50"/>
          <w:highlight w:val="none"/>
        </w:rPr>
        <w:t>（2021-2035 年）</w:t>
      </w:r>
    </w:p>
    <w:p w14:paraId="0EC08206">
      <w:pPr>
        <w:spacing w:line="734" w:lineRule="exact"/>
        <w:ind w:right="297"/>
        <w:jc w:val="center"/>
        <w:rPr>
          <w:rFonts w:ascii="方正小标宋_GBK" w:hAnsi="方正小标宋_GBK" w:eastAsia="PMingLiU-ExtB"/>
          <w:b/>
          <w:sz w:val="36"/>
          <w:szCs w:val="36"/>
          <w:highlight w:val="none"/>
          <w:lang w:eastAsia="zh-CN"/>
        </w:rPr>
      </w:pPr>
      <w:r>
        <w:rPr>
          <w:rFonts w:hint="eastAsia" w:ascii="方正小标宋_GBK" w:hAnsi="方正小标宋_GBK" w:eastAsia="方正小标宋_GBK"/>
          <w:b/>
          <w:sz w:val="36"/>
          <w:szCs w:val="36"/>
          <w:highlight w:val="none"/>
        </w:rPr>
        <w:t>文 本</w:t>
      </w:r>
      <w:r>
        <w:rPr>
          <w:rFonts w:hint="eastAsia" w:ascii="方正小标宋_GBK" w:hAnsi="方正小标宋_GBK" w:eastAsia="方正小标宋_GBK"/>
          <w:b/>
          <w:sz w:val="36"/>
          <w:szCs w:val="36"/>
          <w:highlight w:val="none"/>
          <w:lang w:eastAsia="zh-CN"/>
        </w:rPr>
        <w:t xml:space="preserve"> </w:t>
      </w:r>
      <w:r>
        <w:rPr>
          <w:rFonts w:hint="eastAsia" w:ascii="方正小标宋_GBK" w:hAnsi="方正小标宋_GBK" w:eastAsia="方正小标宋_GBK"/>
          <w:b/>
          <w:sz w:val="36"/>
          <w:szCs w:val="36"/>
          <w:highlight w:val="none"/>
        </w:rPr>
        <w:t>·</w:t>
      </w:r>
      <w:r>
        <w:rPr>
          <w:rFonts w:hint="eastAsia" w:ascii="方正小标宋_GBK" w:hAnsi="方正小标宋_GBK" w:eastAsia="方正小标宋_GBK"/>
          <w:b/>
          <w:sz w:val="36"/>
          <w:szCs w:val="36"/>
          <w:highlight w:val="none"/>
          <w:lang w:eastAsia="zh-CN"/>
        </w:rPr>
        <w:t xml:space="preserve"> </w:t>
      </w:r>
      <w:r>
        <w:rPr>
          <w:rFonts w:hint="eastAsia" w:ascii="方正小标宋_GBK" w:hAnsi="方正小标宋_GBK" w:eastAsia="方正小标宋_GBK"/>
          <w:b/>
          <w:sz w:val="36"/>
          <w:szCs w:val="36"/>
          <w:highlight w:val="none"/>
        </w:rPr>
        <w:t>图</w:t>
      </w:r>
      <w:r>
        <w:rPr>
          <w:rFonts w:hint="eastAsia" w:ascii="方正小标宋_GBK" w:hAnsi="方正小标宋_GBK" w:eastAsia="方正小标宋_GBK"/>
          <w:b/>
          <w:sz w:val="36"/>
          <w:szCs w:val="36"/>
          <w:highlight w:val="none"/>
          <w:lang w:eastAsia="zh-CN"/>
        </w:rPr>
        <w:t xml:space="preserve"> 集</w:t>
      </w:r>
    </w:p>
    <w:p w14:paraId="0A48D528">
      <w:pPr>
        <w:spacing w:line="734" w:lineRule="exact"/>
        <w:ind w:right="297"/>
        <w:jc w:val="center"/>
        <w:rPr>
          <w:rFonts w:ascii="方正小标宋_GBK" w:hAnsi="方正小标宋_GBK" w:eastAsia="PMingLiU-ExtB"/>
          <w:b/>
          <w:sz w:val="40"/>
          <w:highlight w:val="none"/>
        </w:rPr>
      </w:pPr>
    </w:p>
    <w:p w14:paraId="2726231E">
      <w:pPr>
        <w:spacing w:line="734" w:lineRule="exact"/>
        <w:ind w:right="297"/>
        <w:jc w:val="center"/>
        <w:rPr>
          <w:bCs/>
          <w:sz w:val="36"/>
          <w:szCs w:val="21"/>
          <w:highlight w:val="none"/>
        </w:rPr>
      </w:pPr>
      <w:r>
        <w:rPr>
          <w:rFonts w:hint="eastAsia"/>
          <w:bCs/>
          <w:sz w:val="36"/>
          <w:szCs w:val="21"/>
          <w:highlight w:val="none"/>
        </w:rPr>
        <w:t>（</w:t>
      </w:r>
      <w:r>
        <w:rPr>
          <w:rFonts w:hint="eastAsia"/>
          <w:bCs/>
          <w:sz w:val="36"/>
          <w:szCs w:val="21"/>
          <w:highlight w:val="none"/>
          <w:lang w:val="en-US" w:eastAsia="zh-CN"/>
        </w:rPr>
        <w:t>公示</w:t>
      </w:r>
      <w:r>
        <w:rPr>
          <w:rFonts w:hint="eastAsia"/>
          <w:bCs/>
          <w:sz w:val="36"/>
          <w:szCs w:val="21"/>
          <w:highlight w:val="none"/>
        </w:rPr>
        <w:t>稿）</w:t>
      </w:r>
    </w:p>
    <w:p w14:paraId="7D1E0997">
      <w:pPr>
        <w:spacing w:line="734" w:lineRule="exact"/>
        <w:ind w:right="297"/>
        <w:jc w:val="center"/>
        <w:rPr>
          <w:bCs/>
          <w:sz w:val="36"/>
          <w:szCs w:val="21"/>
          <w:highlight w:val="none"/>
        </w:rPr>
      </w:pPr>
    </w:p>
    <w:p w14:paraId="0462E1F1">
      <w:pPr>
        <w:spacing w:line="734" w:lineRule="exact"/>
        <w:ind w:right="297"/>
        <w:jc w:val="center"/>
        <w:rPr>
          <w:bCs/>
          <w:sz w:val="36"/>
          <w:szCs w:val="21"/>
          <w:highlight w:val="none"/>
        </w:rPr>
      </w:pPr>
    </w:p>
    <w:p w14:paraId="6082863B">
      <w:pPr>
        <w:spacing w:line="734" w:lineRule="exact"/>
        <w:ind w:right="297"/>
        <w:jc w:val="center"/>
        <w:rPr>
          <w:bCs/>
          <w:sz w:val="36"/>
          <w:szCs w:val="21"/>
          <w:highlight w:val="none"/>
        </w:rPr>
      </w:pPr>
    </w:p>
    <w:p w14:paraId="0A6481AB">
      <w:pPr>
        <w:spacing w:line="734" w:lineRule="exact"/>
        <w:ind w:right="297"/>
        <w:jc w:val="center"/>
        <w:rPr>
          <w:bCs/>
          <w:sz w:val="36"/>
          <w:szCs w:val="21"/>
          <w:highlight w:val="none"/>
        </w:rPr>
      </w:pPr>
    </w:p>
    <w:p w14:paraId="4CCF36BE">
      <w:pPr>
        <w:spacing w:line="734" w:lineRule="exact"/>
        <w:ind w:right="297"/>
        <w:jc w:val="center"/>
        <w:rPr>
          <w:bCs/>
          <w:sz w:val="36"/>
          <w:szCs w:val="21"/>
          <w:highlight w:val="none"/>
        </w:rPr>
      </w:pPr>
    </w:p>
    <w:p w14:paraId="4473E4A6">
      <w:pPr>
        <w:spacing w:line="734" w:lineRule="exact"/>
        <w:ind w:right="297"/>
        <w:jc w:val="center"/>
        <w:rPr>
          <w:bCs/>
          <w:sz w:val="36"/>
          <w:szCs w:val="21"/>
          <w:highlight w:val="none"/>
        </w:rPr>
      </w:pPr>
    </w:p>
    <w:p w14:paraId="2D17950A">
      <w:pPr>
        <w:spacing w:line="734" w:lineRule="exact"/>
        <w:ind w:right="297"/>
        <w:jc w:val="center"/>
        <w:rPr>
          <w:bCs/>
          <w:sz w:val="36"/>
          <w:szCs w:val="21"/>
          <w:highlight w:val="none"/>
        </w:rPr>
      </w:pPr>
    </w:p>
    <w:p w14:paraId="7CBD6736">
      <w:pPr>
        <w:spacing w:line="734" w:lineRule="exact"/>
        <w:ind w:right="297"/>
        <w:jc w:val="center"/>
        <w:rPr>
          <w:bCs/>
          <w:sz w:val="36"/>
          <w:szCs w:val="21"/>
          <w:highlight w:val="none"/>
        </w:rPr>
      </w:pPr>
    </w:p>
    <w:p w14:paraId="092D86DF">
      <w:pPr>
        <w:autoSpaceDE/>
        <w:autoSpaceDN/>
        <w:jc w:val="center"/>
        <w:rPr>
          <w:rFonts w:ascii="黑体" w:hAnsi="黑体" w:eastAsia="黑体" w:cstheme="minorBidi"/>
          <w:kern w:val="2"/>
          <w:sz w:val="24"/>
          <w:szCs w:val="24"/>
          <w:highlight w:val="none"/>
          <w:lang w:val="en-US" w:eastAsia="zh-CN" w:bidi="ar-SA"/>
        </w:rPr>
      </w:pPr>
      <w:r>
        <w:rPr>
          <w:rFonts w:hint="eastAsia" w:ascii="黑体" w:hAnsi="黑体" w:eastAsia="黑体" w:cstheme="minorBidi"/>
          <w:kern w:val="2"/>
          <w:sz w:val="24"/>
          <w:szCs w:val="24"/>
          <w:highlight w:val="none"/>
          <w:lang w:val="en-US" w:eastAsia="zh-CN" w:bidi="ar-SA"/>
        </w:rPr>
        <w:t>闫集镇人民政府</w:t>
      </w:r>
    </w:p>
    <w:p w14:paraId="329BBD0E">
      <w:pPr>
        <w:autoSpaceDE/>
        <w:autoSpaceDN/>
        <w:spacing w:before="120"/>
        <w:ind w:right="110"/>
        <w:jc w:val="center"/>
        <w:rPr>
          <w:rFonts w:ascii="黑体" w:hAnsi="黑体" w:eastAsia="黑体" w:cstheme="minorBidi"/>
          <w:kern w:val="2"/>
          <w:sz w:val="24"/>
          <w:szCs w:val="24"/>
          <w:highlight w:val="none"/>
          <w:lang w:val="en-US" w:eastAsia="zh-CN" w:bidi="ar-SA"/>
        </w:rPr>
      </w:pPr>
      <w:r>
        <w:rPr>
          <w:rFonts w:hint="eastAsia" w:ascii="黑体" w:hAnsi="黑体" w:eastAsia="黑体" w:cstheme="minorBidi"/>
          <w:kern w:val="2"/>
          <w:sz w:val="24"/>
          <w:szCs w:val="24"/>
          <w:highlight w:val="none"/>
          <w:lang w:val="en-US" w:eastAsia="zh-CN" w:bidi="ar-SA"/>
        </w:rPr>
        <w:t>2025年1</w:t>
      </w:r>
      <w:r>
        <w:rPr>
          <w:rFonts w:ascii="黑体" w:hAnsi="黑体" w:eastAsia="黑体" w:cstheme="minorBidi"/>
          <w:kern w:val="2"/>
          <w:sz w:val="24"/>
          <w:szCs w:val="24"/>
          <w:highlight w:val="none"/>
          <w:lang w:val="en-US" w:eastAsia="zh-CN" w:bidi="ar-SA"/>
        </w:rPr>
        <w:t>1</w:t>
      </w:r>
      <w:r>
        <w:rPr>
          <w:rFonts w:hint="eastAsia" w:ascii="黑体" w:hAnsi="黑体" w:eastAsia="黑体" w:cstheme="minorBidi"/>
          <w:kern w:val="2"/>
          <w:sz w:val="24"/>
          <w:szCs w:val="24"/>
          <w:highlight w:val="none"/>
          <w:lang w:val="en-US" w:eastAsia="zh-CN" w:bidi="ar-SA"/>
        </w:rPr>
        <w:t>月</w:t>
      </w:r>
    </w:p>
    <w:p w14:paraId="1BB083BA">
      <w:pPr>
        <w:spacing w:line="225" w:lineRule="auto"/>
        <w:ind w:firstLine="468" w:firstLineChars="213"/>
        <w:jc w:val="center"/>
        <w:rPr>
          <w:rFonts w:ascii="微软雅黑" w:eastAsia="微软雅黑"/>
          <w:highlight w:val="none"/>
          <w:lang w:eastAsia="zh-CN"/>
        </w:rPr>
      </w:pPr>
    </w:p>
    <w:p w14:paraId="5DBA2E8A">
      <w:pPr>
        <w:spacing w:line="225" w:lineRule="auto"/>
        <w:ind w:firstLine="468" w:firstLineChars="213"/>
        <w:jc w:val="center"/>
        <w:rPr>
          <w:rFonts w:ascii="微软雅黑" w:eastAsia="微软雅黑"/>
          <w:highlight w:val="none"/>
          <w:lang w:eastAsia="zh-CN"/>
        </w:rPr>
      </w:pPr>
    </w:p>
    <w:p w14:paraId="4A985845">
      <w:pPr>
        <w:spacing w:line="225" w:lineRule="auto"/>
        <w:ind w:firstLine="468" w:firstLineChars="213"/>
        <w:jc w:val="center"/>
        <w:rPr>
          <w:rFonts w:ascii="微软雅黑" w:eastAsia="微软雅黑"/>
          <w:highlight w:val="none"/>
          <w:lang w:eastAsia="zh-CN"/>
        </w:rPr>
      </w:pPr>
    </w:p>
    <w:p w14:paraId="517F3DBC">
      <w:pPr>
        <w:spacing w:line="225" w:lineRule="auto"/>
        <w:ind w:firstLine="468" w:firstLineChars="213"/>
        <w:jc w:val="center"/>
        <w:rPr>
          <w:rFonts w:ascii="微软雅黑" w:eastAsia="微软雅黑"/>
          <w:highlight w:val="none"/>
          <w:lang w:eastAsia="zh-CN"/>
        </w:rPr>
      </w:pPr>
    </w:p>
    <w:p w14:paraId="19703A01">
      <w:pPr>
        <w:spacing w:line="225" w:lineRule="auto"/>
        <w:ind w:firstLine="468" w:firstLineChars="213"/>
        <w:jc w:val="center"/>
        <w:rPr>
          <w:rFonts w:ascii="微软雅黑" w:eastAsia="微软雅黑"/>
          <w:highlight w:val="none"/>
          <w:lang w:eastAsia="zh-CN"/>
        </w:rPr>
      </w:pPr>
    </w:p>
    <w:p w14:paraId="016DF0A3">
      <w:pPr>
        <w:pStyle w:val="13"/>
        <w:spacing w:before="120"/>
        <w:ind w:left="0" w:leftChars="0" w:right="110" w:firstLine="0" w:firstLineChars="0"/>
        <w:jc w:val="center"/>
        <w:rPr>
          <w:rFonts w:eastAsiaTheme="minorEastAsia"/>
          <w:highlight w:val="none"/>
          <w:lang w:eastAsia="zh-CN"/>
        </w:rPr>
      </w:pPr>
    </w:p>
    <w:p w14:paraId="71B5607F">
      <w:pPr>
        <w:pStyle w:val="13"/>
        <w:spacing w:before="120"/>
        <w:ind w:left="0" w:leftChars="0" w:right="110" w:firstLine="0" w:firstLineChars="0"/>
        <w:jc w:val="center"/>
        <w:rPr>
          <w:rFonts w:eastAsiaTheme="minorEastAsia"/>
          <w:highlight w:val="none"/>
          <w:lang w:eastAsia="zh-CN"/>
        </w:rPr>
      </w:pPr>
    </w:p>
    <w:p w14:paraId="5643ECAF">
      <w:pPr>
        <w:pStyle w:val="13"/>
        <w:spacing w:before="120"/>
        <w:ind w:left="0" w:leftChars="0" w:right="110" w:firstLine="0" w:firstLineChars="0"/>
        <w:jc w:val="center"/>
        <w:rPr>
          <w:rFonts w:eastAsiaTheme="minorEastAsia"/>
          <w:highlight w:val="none"/>
          <w:lang w:eastAsia="zh-CN"/>
        </w:rPr>
      </w:pPr>
    </w:p>
    <w:p w14:paraId="06DBE765">
      <w:pPr>
        <w:pStyle w:val="13"/>
        <w:spacing w:before="120"/>
        <w:ind w:left="0" w:leftChars="0" w:right="110" w:firstLine="0" w:firstLineChars="0"/>
        <w:jc w:val="center"/>
        <w:rPr>
          <w:rFonts w:eastAsiaTheme="minorEastAsia"/>
          <w:highlight w:val="none"/>
          <w:lang w:eastAsia="zh-CN"/>
        </w:rPr>
      </w:pPr>
    </w:p>
    <w:p w14:paraId="3D48BDCC">
      <w:pPr>
        <w:pStyle w:val="13"/>
        <w:spacing w:before="120"/>
        <w:ind w:left="0" w:leftChars="0" w:right="110" w:firstLine="0" w:firstLineChars="0"/>
        <w:jc w:val="center"/>
        <w:rPr>
          <w:rFonts w:eastAsiaTheme="minorEastAsia"/>
          <w:highlight w:val="none"/>
          <w:lang w:eastAsia="zh-CN"/>
        </w:rPr>
      </w:pPr>
    </w:p>
    <w:p w14:paraId="2AA6061D">
      <w:pPr>
        <w:pStyle w:val="13"/>
        <w:spacing w:before="120"/>
        <w:ind w:left="0" w:leftChars="0" w:right="110" w:firstLine="0" w:firstLineChars="0"/>
        <w:jc w:val="center"/>
        <w:rPr>
          <w:rFonts w:eastAsiaTheme="minorEastAsia"/>
          <w:highlight w:val="none"/>
          <w:lang w:eastAsia="zh-CN"/>
        </w:rPr>
      </w:pPr>
    </w:p>
    <w:p w14:paraId="3E45598E">
      <w:pPr>
        <w:pStyle w:val="13"/>
        <w:spacing w:before="120"/>
        <w:ind w:left="0" w:leftChars="0" w:right="110" w:firstLine="0" w:firstLineChars="0"/>
        <w:jc w:val="center"/>
        <w:rPr>
          <w:rFonts w:eastAsiaTheme="minorEastAsia"/>
          <w:highlight w:val="none"/>
          <w:lang w:eastAsia="zh-CN"/>
        </w:rPr>
      </w:pPr>
    </w:p>
    <w:p w14:paraId="05898052">
      <w:pPr>
        <w:pStyle w:val="13"/>
        <w:spacing w:before="120"/>
        <w:ind w:left="0" w:leftChars="0" w:right="110" w:firstLine="0" w:firstLineChars="0"/>
        <w:jc w:val="center"/>
        <w:rPr>
          <w:rFonts w:eastAsiaTheme="minorEastAsia"/>
          <w:highlight w:val="none"/>
          <w:lang w:eastAsia="zh-CN"/>
        </w:rPr>
      </w:pPr>
    </w:p>
    <w:p w14:paraId="070C7434">
      <w:pPr>
        <w:pStyle w:val="13"/>
        <w:spacing w:before="120"/>
        <w:ind w:left="0" w:leftChars="0" w:right="110" w:firstLine="0" w:firstLineChars="0"/>
        <w:jc w:val="center"/>
        <w:rPr>
          <w:rFonts w:eastAsiaTheme="minorEastAsia"/>
          <w:highlight w:val="none"/>
          <w:lang w:eastAsia="zh-CN"/>
        </w:rPr>
      </w:pPr>
    </w:p>
    <w:p w14:paraId="03D29B07">
      <w:pPr>
        <w:spacing w:before="12"/>
        <w:jc w:val="center"/>
        <w:rPr>
          <w:rFonts w:ascii="方正小标宋_GBK" w:hAnsi="方正小标宋_GBK" w:eastAsia="方正小标宋_GBK"/>
          <w:b/>
          <w:sz w:val="50"/>
          <w:highlight w:val="none"/>
          <w:lang w:eastAsia="zh-CN"/>
        </w:rPr>
      </w:pPr>
      <w:r>
        <w:rPr>
          <w:rFonts w:hint="eastAsia" w:ascii="方正小标宋_GBK" w:hAnsi="方正小标宋_GBK" w:eastAsia="方正小标宋_GBK"/>
          <w:b/>
          <w:sz w:val="50"/>
          <w:highlight w:val="none"/>
          <w:lang w:eastAsia="zh-CN"/>
        </w:rPr>
        <w:t>规划文本</w:t>
      </w:r>
      <w:r>
        <w:rPr>
          <w:rFonts w:ascii="方正小标宋_GBK" w:hAnsi="方正小标宋_GBK" w:eastAsia="方正小标宋_GBK"/>
          <w:b/>
          <w:sz w:val="50"/>
          <w:highlight w:val="none"/>
          <w:lang w:eastAsia="zh-CN"/>
        </w:rPr>
        <w:br w:type="page"/>
      </w:r>
    </w:p>
    <w:p w14:paraId="41920E7F">
      <w:pPr>
        <w:spacing w:line="225" w:lineRule="auto"/>
        <w:ind w:firstLine="468" w:firstLineChars="213"/>
        <w:jc w:val="center"/>
        <w:rPr>
          <w:rFonts w:ascii="微软雅黑" w:eastAsia="微软雅黑"/>
          <w:highlight w:val="none"/>
          <w:lang w:eastAsia="zh-CN"/>
        </w:rPr>
        <w:sectPr>
          <w:type w:val="continuous"/>
          <w:pgSz w:w="11910" w:h="16850"/>
          <w:pgMar w:top="1400" w:right="1380" w:bottom="280" w:left="1560" w:header="720" w:footer="720" w:gutter="0"/>
          <w:cols w:space="720" w:num="1"/>
        </w:sectPr>
      </w:pPr>
    </w:p>
    <w:p w14:paraId="1B42E565">
      <w:pPr>
        <w:pStyle w:val="13"/>
        <w:spacing w:before="120"/>
        <w:ind w:left="0" w:leftChars="0" w:right="110" w:firstLine="0" w:firstLineChars="0"/>
        <w:jc w:val="center"/>
        <w:rPr>
          <w:rFonts w:ascii="微软雅黑"/>
          <w:b/>
          <w:bCs/>
          <w:sz w:val="36"/>
          <w:szCs w:val="160"/>
          <w:highlight w:val="none"/>
        </w:rPr>
      </w:pPr>
      <w:r>
        <w:rPr>
          <w:rFonts w:hint="eastAsia" w:ascii="微软雅黑"/>
          <w:b/>
          <w:bCs/>
          <w:sz w:val="36"/>
          <w:szCs w:val="160"/>
          <w:highlight w:val="none"/>
        </w:rPr>
        <w:t>目录</w:t>
      </w:r>
      <w:bookmarkStart w:id="103" w:name="_GoBack"/>
      <w:bookmarkEnd w:id="103"/>
    </w:p>
    <w:p w14:paraId="38910B26">
      <w:pPr>
        <w:pStyle w:val="19"/>
        <w:tabs>
          <w:tab w:val="right" w:leader="dot" w:pos="8970"/>
        </w:tabs>
      </w:pPr>
      <w:r>
        <w:rPr>
          <w:rFonts w:asciiTheme="minorEastAsia" w:hAnsiTheme="minorEastAsia" w:eastAsiaTheme="minorEastAsia"/>
          <w:sz w:val="40"/>
          <w:szCs w:val="40"/>
          <w:highlight w:val="none"/>
        </w:rPr>
        <w:fldChar w:fldCharType="begin"/>
      </w:r>
      <w:r>
        <w:rPr>
          <w:rFonts w:asciiTheme="minorEastAsia" w:hAnsiTheme="minorEastAsia" w:eastAsiaTheme="minorEastAsia"/>
          <w:sz w:val="40"/>
          <w:szCs w:val="40"/>
          <w:highlight w:val="none"/>
        </w:rPr>
        <w:instrText xml:space="preserve"> TOC \o "1-2" \h \z \u </w:instrText>
      </w:r>
      <w:r>
        <w:rPr>
          <w:rFonts w:asciiTheme="minorEastAsia" w:hAnsiTheme="minorEastAsia" w:eastAsiaTheme="minorEastAsia"/>
          <w:sz w:val="40"/>
          <w:szCs w:val="40"/>
          <w:highlight w:val="none"/>
        </w:rPr>
        <w:fldChar w:fldCharType="separate"/>
      </w:r>
      <w:r>
        <w:rPr>
          <w:rFonts w:asciiTheme="minorEastAsia" w:hAnsiTheme="minorEastAsia" w:eastAsiaTheme="minorEastAsia"/>
          <w:szCs w:val="40"/>
          <w:highlight w:val="none"/>
        </w:rPr>
        <w:fldChar w:fldCharType="begin"/>
      </w:r>
      <w:r>
        <w:rPr>
          <w:rFonts w:asciiTheme="minorEastAsia" w:hAnsiTheme="minorEastAsia" w:eastAsiaTheme="minorEastAsia"/>
          <w:szCs w:val="40"/>
          <w:highlight w:val="none"/>
        </w:rPr>
        <w:instrText xml:space="preserve"> HYPERLINK \l _Toc30822 </w:instrText>
      </w:r>
      <w:r>
        <w:rPr>
          <w:rFonts w:asciiTheme="minorEastAsia" w:hAnsiTheme="minorEastAsia" w:eastAsiaTheme="minorEastAsia"/>
          <w:szCs w:val="40"/>
          <w:highlight w:val="none"/>
        </w:rPr>
        <w:fldChar w:fldCharType="separate"/>
      </w:r>
      <w:r>
        <w:rPr>
          <w:rFonts w:hint="eastAsia" w:ascii="方正小标宋_GBK" w:hAnsi="黑体" w:eastAsia="方正小标宋_GBK"/>
          <w:spacing w:val="5"/>
        </w:rPr>
        <w:t xml:space="preserve">第一章 </w:t>
      </w:r>
      <w:r>
        <w:rPr>
          <w:rFonts w:ascii="方正小标宋_GBK" w:hAnsi="方正小标宋_GBK" w:eastAsia="方正小标宋_GBK"/>
          <w:spacing w:val="5"/>
          <w:highlight w:val="none"/>
        </w:rPr>
        <w:t>发展定位与目标</w:t>
      </w:r>
      <w:r>
        <w:tab/>
      </w:r>
      <w:r>
        <w:fldChar w:fldCharType="begin"/>
      </w:r>
      <w:r>
        <w:instrText xml:space="preserve"> PAGEREF _Toc30822 \h </w:instrText>
      </w:r>
      <w:r>
        <w:fldChar w:fldCharType="separate"/>
      </w:r>
      <w:r>
        <w:t>3</w:t>
      </w:r>
      <w:r>
        <w:fldChar w:fldCharType="end"/>
      </w:r>
      <w:r>
        <w:rPr>
          <w:rFonts w:asciiTheme="minorEastAsia" w:hAnsiTheme="minorEastAsia" w:eastAsiaTheme="minorEastAsia"/>
          <w:szCs w:val="40"/>
          <w:highlight w:val="none"/>
        </w:rPr>
        <w:fldChar w:fldCharType="end"/>
      </w:r>
    </w:p>
    <w:p w14:paraId="084EC578">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_Toc21841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发展定位</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_Toc21841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7931580D">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_Toc28111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国土空间开发保护目标</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_Toc28111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56722D07">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_Toc22473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国土空间开发保护策略</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_Toc22473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170183F7">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_Toc31726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rPr>
        <w:t xml:space="preserve">第二章 </w:t>
      </w:r>
      <w:r>
        <w:rPr>
          <w:rFonts w:hint="eastAsia" w:ascii="方正小标宋_GBK" w:hAnsi="方正小标宋_GBK" w:eastAsia="方正小标宋_GBK"/>
          <w:spacing w:val="5"/>
          <w:highlight w:val="none"/>
        </w:rPr>
        <w:t>以</w:t>
      </w:r>
      <w:r>
        <w:rPr>
          <w:rFonts w:hint="eastAsia" w:ascii="方正小标宋_GBK" w:hAnsi="方正小标宋_GBK" w:eastAsia="方正小标宋_GBK"/>
          <w:spacing w:val="5"/>
          <w:highlight w:val="none"/>
          <w:lang w:eastAsia="zh-CN"/>
        </w:rPr>
        <w:t>“</w:t>
      </w:r>
      <w:r>
        <w:rPr>
          <w:rFonts w:hint="eastAsia" w:ascii="方正小标宋_GBK" w:hAnsi="方正小标宋_GBK" w:eastAsia="方正小标宋_GBK"/>
          <w:spacing w:val="5"/>
          <w:highlight w:val="none"/>
        </w:rPr>
        <w:t>三区三线</w:t>
      </w:r>
      <w:r>
        <w:rPr>
          <w:rFonts w:hint="eastAsia" w:ascii="方正小标宋_GBK" w:hAnsi="方正小标宋_GBK" w:eastAsia="方正小标宋_GBK"/>
          <w:spacing w:val="5"/>
          <w:highlight w:val="none"/>
          <w:lang w:eastAsia="zh-CN"/>
        </w:rPr>
        <w:t>”</w:t>
      </w:r>
      <w:r>
        <w:rPr>
          <w:rFonts w:hint="eastAsia" w:ascii="方正小标宋_GBK" w:hAnsi="方正小标宋_GBK" w:eastAsia="方正小标宋_GBK"/>
          <w:spacing w:val="5"/>
          <w:highlight w:val="none"/>
        </w:rPr>
        <w:t>为基础，构建</w:t>
      </w:r>
      <w:r>
        <w:rPr>
          <w:rFonts w:ascii="方正小标宋_GBK" w:hAnsi="方正小标宋_GBK" w:eastAsia="方正小标宋_GBK"/>
          <w:spacing w:val="5"/>
          <w:highlight w:val="none"/>
        </w:rPr>
        <w:t>国土空间</w:t>
      </w:r>
      <w:r>
        <w:rPr>
          <w:rFonts w:hint="eastAsia" w:ascii="方正小标宋_GBK" w:hAnsi="方正小标宋_GBK" w:eastAsia="方正小标宋_GBK"/>
          <w:spacing w:val="5"/>
          <w:highlight w:val="none"/>
        </w:rPr>
        <w:t>开发保护新</w:t>
      </w:r>
      <w:r>
        <w:rPr>
          <w:rFonts w:ascii="方正小标宋_GBK" w:hAnsi="方正小标宋_GBK" w:eastAsia="方正小标宋_GBK"/>
          <w:spacing w:val="5"/>
          <w:highlight w:val="none"/>
        </w:rPr>
        <w:t>格局</w:t>
      </w:r>
      <w:r>
        <w:tab/>
      </w:r>
      <w:r>
        <w:fldChar w:fldCharType="begin"/>
      </w:r>
      <w:r>
        <w:instrText xml:space="preserve"> PAGEREF _Toc31726 \h </w:instrText>
      </w:r>
      <w:r>
        <w:fldChar w:fldCharType="separate"/>
      </w:r>
      <w:r>
        <w:t>6</w:t>
      </w:r>
      <w:r>
        <w:fldChar w:fldCharType="end"/>
      </w:r>
      <w:r>
        <w:rPr>
          <w:rFonts w:asciiTheme="minorEastAsia" w:hAnsiTheme="minorEastAsia" w:eastAsiaTheme="minorEastAsia"/>
          <w:szCs w:val="48"/>
          <w:highlight w:val="none"/>
        </w:rPr>
        <w:fldChar w:fldCharType="end"/>
      </w:r>
    </w:p>
    <w:p w14:paraId="4F907011">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_Toc13300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高标准高质量落实“三区三线”</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_Toc13300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6</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4E6F1F1">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_Toc32365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塑造镇域发展新格局</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_Toc32365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6</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6A79BCDC">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_Toc26514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优化国土空间功能结构</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_Toc26514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7</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747C1D14">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_Toc12768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rPr>
        <w:t xml:space="preserve">第三章 </w:t>
      </w:r>
      <w:r>
        <w:rPr>
          <w:rFonts w:hint="eastAsia" w:ascii="方正小标宋_GBK" w:hAnsi="方正小标宋_GBK" w:eastAsia="方正小标宋_GBK"/>
          <w:spacing w:val="5"/>
          <w:highlight w:val="none"/>
        </w:rPr>
        <w:t>塑造绿色高效农业空间，保障现代化农业发展</w:t>
      </w:r>
      <w:r>
        <w:tab/>
      </w:r>
      <w:r>
        <w:fldChar w:fldCharType="begin"/>
      </w:r>
      <w:r>
        <w:instrText xml:space="preserve"> PAGEREF _Toc12768 \h </w:instrText>
      </w:r>
      <w:r>
        <w:fldChar w:fldCharType="separate"/>
      </w:r>
      <w:r>
        <w:t>9</w:t>
      </w:r>
      <w:r>
        <w:fldChar w:fldCharType="end"/>
      </w:r>
      <w:r>
        <w:rPr>
          <w:rFonts w:asciiTheme="minorEastAsia" w:hAnsiTheme="minorEastAsia" w:eastAsiaTheme="minorEastAsia"/>
          <w:szCs w:val="48"/>
          <w:highlight w:val="none"/>
        </w:rPr>
        <w:fldChar w:fldCharType="end"/>
      </w:r>
    </w:p>
    <w:p w14:paraId="1F19511C">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_Toc25457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加强耕地“三位一体”保护</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_Toc25457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9</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0BB50163">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_Toc30783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保障特色农产品生产空间</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_Toc30783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11</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C7853DC">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_Toc27776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加强国土空间综合整治</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_Toc27776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11</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6067B4CD">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_Toc10799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lang w:eastAsia="zh-CN"/>
        </w:rPr>
        <w:t xml:space="preserve">第四章 </w:t>
      </w:r>
      <w:r>
        <w:rPr>
          <w:rFonts w:hint="eastAsia" w:ascii="方正小标宋_GBK" w:hAnsi="方正小标宋_GBK" w:eastAsia="方正小标宋_GBK"/>
          <w:spacing w:val="5"/>
          <w:highlight w:val="none"/>
        </w:rPr>
        <w:t>构筑蓝绿</w:t>
      </w:r>
      <w:r>
        <w:rPr>
          <w:rFonts w:hint="eastAsia" w:ascii="方正小标宋_GBK" w:hAnsi="方正小标宋_GBK" w:eastAsia="方正小标宋_GBK"/>
          <w:spacing w:val="5"/>
          <w:highlight w:val="none"/>
          <w:lang w:val="en-US" w:eastAsia="zh-CN"/>
        </w:rPr>
        <w:t>交织、</w:t>
      </w:r>
      <w:r>
        <w:rPr>
          <w:rFonts w:hint="eastAsia" w:ascii="方正小标宋_GBK" w:hAnsi="方正小标宋_GBK" w:eastAsia="方正小标宋_GBK"/>
          <w:spacing w:val="5"/>
          <w:highlight w:val="none"/>
        </w:rPr>
        <w:t>田</w:t>
      </w:r>
      <w:r>
        <w:rPr>
          <w:rFonts w:hint="eastAsia" w:ascii="方正小标宋_GBK" w:hAnsi="方正小标宋_GBK" w:eastAsia="方正小标宋_GBK"/>
          <w:spacing w:val="5"/>
          <w:highlight w:val="none"/>
          <w:lang w:val="en-US" w:eastAsia="zh-CN"/>
        </w:rPr>
        <w:t>城</w:t>
      </w:r>
      <w:r>
        <w:rPr>
          <w:rFonts w:hint="eastAsia" w:ascii="方正小标宋_GBK" w:hAnsi="方正小标宋_GBK" w:eastAsia="方正小标宋_GBK"/>
          <w:spacing w:val="5"/>
          <w:highlight w:val="none"/>
        </w:rPr>
        <w:t>相</w:t>
      </w:r>
      <w:r>
        <w:rPr>
          <w:rFonts w:hint="eastAsia" w:ascii="方正小标宋_GBK" w:hAnsi="方正小标宋_GBK" w:eastAsia="方正小标宋_GBK"/>
          <w:spacing w:val="5"/>
          <w:highlight w:val="none"/>
          <w:lang w:val="en-US" w:eastAsia="zh-CN"/>
        </w:rPr>
        <w:t>拥</w:t>
      </w:r>
      <w:r>
        <w:rPr>
          <w:rFonts w:hint="eastAsia" w:ascii="方正小标宋_GBK" w:hAnsi="方正小标宋_GBK" w:eastAsia="方正小标宋_GBK"/>
          <w:spacing w:val="5"/>
          <w:highlight w:val="none"/>
        </w:rPr>
        <w:t>生态空间，促进人与自然和谐共生</w:t>
      </w:r>
      <w:r>
        <w:tab/>
      </w:r>
      <w:r>
        <w:fldChar w:fldCharType="begin"/>
      </w:r>
      <w:r>
        <w:instrText xml:space="preserve"> PAGEREF _Toc10799 \h </w:instrText>
      </w:r>
      <w:r>
        <w:fldChar w:fldCharType="separate"/>
      </w:r>
      <w:r>
        <w:t>13</w:t>
      </w:r>
      <w:r>
        <w:fldChar w:fldCharType="end"/>
      </w:r>
      <w:r>
        <w:rPr>
          <w:rFonts w:asciiTheme="minorEastAsia" w:hAnsiTheme="minorEastAsia" w:eastAsiaTheme="minorEastAsia"/>
          <w:szCs w:val="48"/>
          <w:highlight w:val="none"/>
        </w:rPr>
        <w:fldChar w:fldCharType="end"/>
      </w:r>
    </w:p>
    <w:p w14:paraId="7954831E">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_Toc19068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加强河湖生态管控</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_Toc19068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13</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BA4956D">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_Toc9083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构建绿色生态屏障</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_Toc9083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14</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7C7DF090">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_Toc22779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系统实施生态修复</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_Toc22779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15</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5312B2BF">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_Toc27759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rPr>
        <w:t xml:space="preserve">第五章 </w:t>
      </w:r>
      <w:r>
        <w:rPr>
          <w:rFonts w:hint="eastAsia" w:ascii="方正小标宋_GBK" w:hAnsi="方正小标宋_GBK" w:eastAsia="方正小标宋_GBK"/>
          <w:spacing w:val="5"/>
          <w:highlight w:val="none"/>
        </w:rPr>
        <w:t>促进城乡统筹，建设乡村振兴高地</w:t>
      </w:r>
      <w:r>
        <w:tab/>
      </w:r>
      <w:r>
        <w:fldChar w:fldCharType="begin"/>
      </w:r>
      <w:r>
        <w:instrText xml:space="preserve"> PAGEREF _Toc27759 \h </w:instrText>
      </w:r>
      <w:r>
        <w:fldChar w:fldCharType="separate"/>
      </w:r>
      <w:r>
        <w:t>16</w:t>
      </w:r>
      <w:r>
        <w:fldChar w:fldCharType="end"/>
      </w:r>
      <w:r>
        <w:rPr>
          <w:rFonts w:asciiTheme="minorEastAsia" w:hAnsiTheme="minorEastAsia" w:eastAsiaTheme="minorEastAsia"/>
          <w:szCs w:val="48"/>
          <w:highlight w:val="none"/>
        </w:rPr>
        <w:fldChar w:fldCharType="end"/>
      </w:r>
    </w:p>
    <w:p w14:paraId="71912E47">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_Toc30184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优化村庄布局</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_Toc30184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16</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0A31CD27">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_Toc12019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优化城乡公共服务设施配置</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_Toc12019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17</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298D1B91">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_Toc24737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构建区域协同的产业发展格局</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_Toc24737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19</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18CB8115">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_Toc23959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rPr>
        <w:t xml:space="preserve">第六章 </w:t>
      </w:r>
      <w:r>
        <w:rPr>
          <w:rFonts w:hint="eastAsia" w:ascii="方正小标宋_GBK" w:hAnsi="方正小标宋_GBK" w:eastAsia="方正小标宋_GBK"/>
          <w:spacing w:val="5"/>
          <w:highlight w:val="none"/>
        </w:rPr>
        <w:t>统筹基础设施布局，提升设施保障能力</w:t>
      </w:r>
      <w:r>
        <w:tab/>
      </w:r>
      <w:r>
        <w:fldChar w:fldCharType="begin"/>
      </w:r>
      <w:r>
        <w:instrText xml:space="preserve"> PAGEREF _Toc23959 \h </w:instrText>
      </w:r>
      <w:r>
        <w:fldChar w:fldCharType="separate"/>
      </w:r>
      <w:r>
        <w:t>21</w:t>
      </w:r>
      <w:r>
        <w:fldChar w:fldCharType="end"/>
      </w:r>
      <w:r>
        <w:rPr>
          <w:rFonts w:asciiTheme="minorEastAsia" w:hAnsiTheme="minorEastAsia" w:eastAsiaTheme="minorEastAsia"/>
          <w:szCs w:val="48"/>
          <w:highlight w:val="none"/>
        </w:rPr>
        <w:fldChar w:fldCharType="end"/>
      </w:r>
    </w:p>
    <w:p w14:paraId="2369F71D">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_Toc30561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发展绿色低碳智慧交通</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_Toc30561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21</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5323E951">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_Toc25587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建设绿色韧性市政基础设施</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_Toc25587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22</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F212748">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_Toc27801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构建综合防灾设施体系</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_Toc27801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24</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028C5E84">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_Toc13061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第四节 提升应对重大疫情风险能力</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_Toc13061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26</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41E76D9F">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_Toc7261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lang w:eastAsia="zh-CN"/>
        </w:rPr>
        <w:t xml:space="preserve">第七章 </w:t>
      </w:r>
      <w:r>
        <w:rPr>
          <w:rFonts w:hint="eastAsia" w:ascii="方正小标宋_GBK" w:hAnsi="方正小标宋_GBK" w:eastAsia="方正小标宋_GBK"/>
          <w:spacing w:val="5"/>
          <w:highlight w:val="none"/>
        </w:rPr>
        <w:t>传承历史文化</w:t>
      </w:r>
      <w:r>
        <w:rPr>
          <w:rFonts w:ascii="方正小标宋_GBK" w:hAnsi="方正小标宋_GBK" w:eastAsia="方正小标宋_GBK"/>
          <w:spacing w:val="5"/>
          <w:highlight w:val="none"/>
        </w:rPr>
        <w:t>，塑造特色风貌</w:t>
      </w:r>
      <w:r>
        <w:tab/>
      </w:r>
      <w:r>
        <w:fldChar w:fldCharType="begin"/>
      </w:r>
      <w:r>
        <w:instrText xml:space="preserve"> PAGEREF _Toc7261 \h </w:instrText>
      </w:r>
      <w:r>
        <w:fldChar w:fldCharType="separate"/>
      </w:r>
      <w:r>
        <w:t>27</w:t>
      </w:r>
      <w:r>
        <w:fldChar w:fldCharType="end"/>
      </w:r>
      <w:r>
        <w:rPr>
          <w:rFonts w:asciiTheme="minorEastAsia" w:hAnsiTheme="minorEastAsia" w:eastAsiaTheme="minorEastAsia"/>
          <w:szCs w:val="48"/>
          <w:highlight w:val="none"/>
        </w:rPr>
        <w:fldChar w:fldCharType="end"/>
      </w:r>
    </w:p>
    <w:p w14:paraId="2B426E57">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_Toc20845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保护利用历史文化遗产</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_Toc20845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27</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152A091">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_Toc10787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塑造自然生态魅力城镇</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_Toc10787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28</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0DB6B34F">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_Toc5826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凸显田园风光镇村特色</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_Toc5826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28</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2EB692F">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_Toc4432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rPr>
        <w:t xml:space="preserve">第八章 </w:t>
      </w:r>
      <w:r>
        <w:rPr>
          <w:rFonts w:hint="eastAsia" w:ascii="方正小标宋_GBK" w:hAnsi="方正小标宋_GBK" w:eastAsia="方正小标宋_GBK"/>
          <w:spacing w:val="5"/>
          <w:highlight w:val="none"/>
        </w:rPr>
        <w:t>优化镇区</w:t>
      </w:r>
      <w:r>
        <w:rPr>
          <w:rFonts w:ascii="方正小标宋_GBK" w:hAnsi="方正小标宋_GBK" w:eastAsia="方正小标宋_GBK"/>
          <w:spacing w:val="5"/>
          <w:highlight w:val="none"/>
        </w:rPr>
        <w:t>空间布局，提升乡镇宜居品质</w:t>
      </w:r>
      <w:r>
        <w:tab/>
      </w:r>
      <w:r>
        <w:fldChar w:fldCharType="begin"/>
      </w:r>
      <w:r>
        <w:instrText xml:space="preserve"> PAGEREF _Toc4432 \h </w:instrText>
      </w:r>
      <w:r>
        <w:fldChar w:fldCharType="separate"/>
      </w:r>
      <w:r>
        <w:t>30</w:t>
      </w:r>
      <w:r>
        <w:fldChar w:fldCharType="end"/>
      </w:r>
      <w:r>
        <w:rPr>
          <w:rFonts w:asciiTheme="minorEastAsia" w:hAnsiTheme="minorEastAsia" w:eastAsiaTheme="minorEastAsia"/>
          <w:szCs w:val="48"/>
          <w:highlight w:val="none"/>
        </w:rPr>
        <w:fldChar w:fldCharType="end"/>
      </w:r>
    </w:p>
    <w:p w14:paraId="1A80BFE6">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_Toc12883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优化镇区用地布局</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_Toc12883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30</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2DF6D547">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_Toc26483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构建绿色安全的交通网络</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_Toc26483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31</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1EAAFAD4">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_Toc24840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打造配套完善的公共服务设施</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_Toc24840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32</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11C57700">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_Toc17695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第四节 创建智慧绿色的城镇服务保障</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_Toc17695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33</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17EA75AA">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_Toc4933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第五节 提升防灾减灾和综合应急水平</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_Toc4933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35</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2BEDBA15">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_Toc12991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第六节 营造活力开放的特色空间</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_Toc12991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36</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2E61A9F9">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_Toc2817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第七节 塑造和美宜居的城镇风貌</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_Toc2817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37</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623C69AD">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_Toc8408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第八节 有序推进城镇更新</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_Toc8408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37</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0923A414">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_Toc31596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rPr>
        <w:t xml:space="preserve">第九章 </w:t>
      </w:r>
      <w:r>
        <w:rPr>
          <w:rFonts w:ascii="方正小标宋_GBK" w:hAnsi="方正小标宋_GBK" w:eastAsia="方正小标宋_GBK"/>
          <w:spacing w:val="5"/>
          <w:highlight w:val="none"/>
        </w:rPr>
        <w:t>规划传导实施与保障</w:t>
      </w:r>
      <w:r>
        <w:tab/>
      </w:r>
      <w:r>
        <w:fldChar w:fldCharType="begin"/>
      </w:r>
      <w:r>
        <w:instrText xml:space="preserve"> PAGEREF _Toc31596 \h </w:instrText>
      </w:r>
      <w:r>
        <w:fldChar w:fldCharType="separate"/>
      </w:r>
      <w:r>
        <w:t>39</w:t>
      </w:r>
      <w:r>
        <w:fldChar w:fldCharType="end"/>
      </w:r>
      <w:r>
        <w:rPr>
          <w:rFonts w:asciiTheme="minorEastAsia" w:hAnsiTheme="minorEastAsia" w:eastAsiaTheme="minorEastAsia"/>
          <w:szCs w:val="48"/>
          <w:highlight w:val="none"/>
        </w:rPr>
        <w:fldChar w:fldCharType="end"/>
      </w:r>
    </w:p>
    <w:p w14:paraId="4C3D820A">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_Toc28567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制定单元规划</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_Toc28567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39</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E373661">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_Toc16082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近期行动计划</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_Toc16082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40</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5CA2CEB8">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_Toc26528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规划实施保障</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_Toc26528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40</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40C4157D">
      <w:pPr>
        <w:pStyle w:val="19"/>
        <w:tabs>
          <w:tab w:val="right" w:leader="dot" w:pos="8970"/>
        </w:tabs>
      </w:pPr>
      <w:r>
        <w:rPr>
          <w:rFonts w:asciiTheme="minorEastAsia" w:hAnsiTheme="minorEastAsia" w:eastAsiaTheme="minorEastAsia"/>
          <w:szCs w:val="48"/>
          <w:highlight w:val="none"/>
        </w:rPr>
        <w:fldChar w:fldCharType="begin"/>
      </w:r>
      <w:r>
        <w:rPr>
          <w:rFonts w:asciiTheme="minorEastAsia" w:hAnsiTheme="minorEastAsia" w:eastAsiaTheme="minorEastAsia"/>
          <w:szCs w:val="48"/>
          <w:highlight w:val="none"/>
        </w:rPr>
        <w:instrText xml:space="preserve"> HYPERLINK \l _Toc7334 </w:instrText>
      </w:r>
      <w:r>
        <w:rPr>
          <w:rFonts w:asciiTheme="minorEastAsia" w:hAnsiTheme="minorEastAsia" w:eastAsiaTheme="minorEastAsia"/>
          <w:szCs w:val="48"/>
          <w:highlight w:val="none"/>
        </w:rPr>
        <w:fldChar w:fldCharType="separate"/>
      </w:r>
      <w:r>
        <w:rPr>
          <w:rFonts w:hint="eastAsia" w:ascii="方正小标宋_GBK" w:hAnsi="黑体" w:eastAsia="方正小标宋_GBK"/>
          <w:spacing w:val="5"/>
          <w:lang w:eastAsia="zh-CN"/>
        </w:rPr>
        <w:t xml:space="preserve">第十章 </w:t>
      </w:r>
      <w:r>
        <w:rPr>
          <w:rFonts w:hint="eastAsia" w:ascii="方正小标宋_GBK" w:hAnsi="方正小标宋_GBK" w:eastAsia="方正小标宋_GBK"/>
          <w:spacing w:val="5"/>
          <w:highlight w:val="none"/>
          <w:lang w:eastAsia="zh-CN"/>
        </w:rPr>
        <w:t>乡村地区“通则式”规划技术管理规定</w:t>
      </w:r>
      <w:r>
        <w:tab/>
      </w:r>
      <w:r>
        <w:fldChar w:fldCharType="begin"/>
      </w:r>
      <w:r>
        <w:instrText xml:space="preserve"> PAGEREF _Toc7334 \h </w:instrText>
      </w:r>
      <w:r>
        <w:fldChar w:fldCharType="separate"/>
      </w:r>
      <w:r>
        <w:t>43</w:t>
      </w:r>
      <w:r>
        <w:fldChar w:fldCharType="end"/>
      </w:r>
      <w:r>
        <w:rPr>
          <w:rFonts w:asciiTheme="minorEastAsia" w:hAnsiTheme="minorEastAsia" w:eastAsiaTheme="minorEastAsia"/>
          <w:szCs w:val="48"/>
          <w:highlight w:val="none"/>
        </w:rPr>
        <w:fldChar w:fldCharType="end"/>
      </w:r>
    </w:p>
    <w:p w14:paraId="6A49CE4B">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_Toc22133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第一节 总则</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_Toc22133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43</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0A59C322">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_Toc10456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第二节 镇村体系</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_Toc10456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44</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7291CAF8">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_Toc21229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第三节 底线管控</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_Toc21229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45</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6512844B">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_Toc20195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第四节 指标管控</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_Toc20195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48</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99FBCB9">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_Toc4757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第五节 用地布局</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_Toc4757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49</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78200075">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_Toc28209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第六节 建设控制</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_Toc28209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56</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2C8E5CFF">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_Toc16117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第七节 交通组织</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_Toc16117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58</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3069D0CE">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_Toc23247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第八节 人居环境整治与风貌提升</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_Toc23247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59</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5DB9F8B5">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_Toc29190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第九节 通用图则</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_Toc29190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61</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4B21D31A">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_Toc27775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第十节 实施管理规定</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_Toc27775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62</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748086D0">
      <w:pPr>
        <w:pStyle w:val="22"/>
        <w:tabs>
          <w:tab w:val="left" w:pos="1100"/>
          <w:tab w:val="right" w:leader="dot" w:pos="8960"/>
        </w:tabs>
        <w:rPr>
          <w:rStyle w:val="31"/>
          <w:rFonts w:hint="eastAsia" w:ascii="Times New Roman" w:hAnsi="Times New Roman" w:eastAsia="仿宋_GB2312" w:cs="Times New Roman"/>
          <w:sz w:val="21"/>
          <w:szCs w:val="21"/>
          <w:lang w:val="en-US" w:eastAsia="zh-CN"/>
        </w:rPr>
      </w:pP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HYPERLINK \l _Toc31590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第十一节 实施管理规定</w:t>
      </w:r>
      <w:r>
        <w:rPr>
          <w:rStyle w:val="31"/>
          <w:rFonts w:hint="eastAsia" w:ascii="Times New Roman" w:hAnsi="Times New Roman" w:eastAsia="仿宋_GB2312" w:cs="Times New Roman"/>
          <w:sz w:val="21"/>
          <w:szCs w:val="21"/>
          <w:lang w:val="en-US" w:eastAsia="zh-CN"/>
        </w:rPr>
        <w:tab/>
      </w:r>
      <w:r>
        <w:rPr>
          <w:rStyle w:val="31"/>
          <w:rFonts w:hint="eastAsia" w:ascii="Times New Roman" w:hAnsi="Times New Roman" w:eastAsia="仿宋_GB2312" w:cs="Times New Roman"/>
          <w:sz w:val="21"/>
          <w:szCs w:val="21"/>
          <w:lang w:val="en-US" w:eastAsia="zh-CN"/>
        </w:rPr>
        <w:fldChar w:fldCharType="begin"/>
      </w:r>
      <w:r>
        <w:rPr>
          <w:rStyle w:val="31"/>
          <w:rFonts w:hint="eastAsia" w:ascii="Times New Roman" w:hAnsi="Times New Roman" w:eastAsia="仿宋_GB2312" w:cs="Times New Roman"/>
          <w:sz w:val="21"/>
          <w:szCs w:val="21"/>
          <w:lang w:val="en-US" w:eastAsia="zh-CN"/>
        </w:rPr>
        <w:instrText xml:space="preserve"> PAGEREF _Toc31590 \h </w:instrText>
      </w:r>
      <w:r>
        <w:rPr>
          <w:rStyle w:val="31"/>
          <w:rFonts w:hint="eastAsia" w:ascii="Times New Roman" w:hAnsi="Times New Roman" w:eastAsia="仿宋_GB2312" w:cs="Times New Roman"/>
          <w:sz w:val="21"/>
          <w:szCs w:val="21"/>
          <w:lang w:val="en-US" w:eastAsia="zh-CN"/>
        </w:rPr>
        <w:fldChar w:fldCharType="separate"/>
      </w:r>
      <w:r>
        <w:rPr>
          <w:rStyle w:val="31"/>
          <w:rFonts w:hint="eastAsia" w:ascii="Times New Roman" w:hAnsi="Times New Roman" w:eastAsia="仿宋_GB2312" w:cs="Times New Roman"/>
          <w:sz w:val="21"/>
          <w:szCs w:val="21"/>
          <w:lang w:val="en-US" w:eastAsia="zh-CN"/>
        </w:rPr>
        <w:t>63</w:t>
      </w:r>
      <w:r>
        <w:rPr>
          <w:rStyle w:val="31"/>
          <w:rFonts w:hint="eastAsia" w:ascii="Times New Roman" w:hAnsi="Times New Roman" w:eastAsia="仿宋_GB2312" w:cs="Times New Roman"/>
          <w:sz w:val="21"/>
          <w:szCs w:val="21"/>
          <w:lang w:val="en-US" w:eastAsia="zh-CN"/>
        </w:rPr>
        <w:fldChar w:fldCharType="end"/>
      </w:r>
      <w:r>
        <w:rPr>
          <w:rStyle w:val="31"/>
          <w:rFonts w:hint="eastAsia" w:ascii="Times New Roman" w:hAnsi="Times New Roman" w:eastAsia="仿宋_GB2312" w:cs="Times New Roman"/>
          <w:sz w:val="21"/>
          <w:szCs w:val="21"/>
          <w:lang w:val="en-US" w:eastAsia="zh-CN"/>
        </w:rPr>
        <w:fldChar w:fldCharType="end"/>
      </w:r>
    </w:p>
    <w:p w14:paraId="1C658D2E">
      <w:pPr>
        <w:spacing w:line="288" w:lineRule="auto"/>
        <w:ind w:firstLine="468" w:firstLineChars="213"/>
        <w:jc w:val="center"/>
        <w:rPr>
          <w:rFonts w:ascii="宋体" w:eastAsia="宋体"/>
          <w:highlight w:val="none"/>
        </w:rPr>
        <w:sectPr>
          <w:headerReference r:id="rId3" w:type="default"/>
          <w:footerReference r:id="rId4" w:type="default"/>
          <w:pgSz w:w="11910" w:h="16850"/>
          <w:pgMar w:top="1360" w:right="1380" w:bottom="1898" w:left="1560" w:header="645" w:footer="1443" w:gutter="0"/>
          <w:pgNumType w:fmt="upperRoman" w:start="1"/>
          <w:cols w:space="720" w:num="1"/>
        </w:sectPr>
      </w:pPr>
      <w:r>
        <w:rPr>
          <w:rFonts w:asciiTheme="minorEastAsia" w:hAnsiTheme="minorEastAsia" w:eastAsiaTheme="minorEastAsia"/>
          <w:szCs w:val="48"/>
          <w:highlight w:val="none"/>
        </w:rPr>
        <w:fldChar w:fldCharType="end"/>
      </w:r>
    </w:p>
    <w:p w14:paraId="669C831C">
      <w:pPr>
        <w:pStyle w:val="2"/>
        <w:spacing w:before="0" w:line="360" w:lineRule="auto"/>
        <w:ind w:left="0" w:firstLine="0"/>
        <w:jc w:val="center"/>
        <w:rPr>
          <w:rFonts w:ascii="方正小标宋_GBK" w:hAnsi="方正小标宋_GBK" w:eastAsia="方正小标宋_GBK"/>
          <w:spacing w:val="5"/>
          <w:highlight w:val="none"/>
        </w:rPr>
      </w:pPr>
      <w:bookmarkStart w:id="0" w:name="_bookmark0"/>
      <w:bookmarkEnd w:id="0"/>
      <w:bookmarkStart w:id="1" w:name="_bookmark1"/>
      <w:bookmarkEnd w:id="1"/>
      <w:bookmarkStart w:id="2" w:name="_Toc30822"/>
      <w:r>
        <w:rPr>
          <w:rFonts w:ascii="方正小标宋_GBK" w:hAnsi="方正小标宋_GBK" w:eastAsia="方正小标宋_GBK"/>
          <w:spacing w:val="5"/>
          <w:highlight w:val="none"/>
        </w:rPr>
        <w:t>发展定位与目标</w:t>
      </w:r>
      <w:bookmarkEnd w:id="2"/>
    </w:p>
    <w:p w14:paraId="1D5EB9CB">
      <w:pPr>
        <w:pStyle w:val="13"/>
        <w:spacing w:before="0" w:beforeLines="0" w:line="360" w:lineRule="auto"/>
        <w:ind w:left="0" w:leftChars="0" w:right="0" w:rightChars="0" w:firstLine="640"/>
        <w:rPr>
          <w:rFonts w:ascii="仿宋_GB2312" w:hAnsi="仿宋_GB2312" w:eastAsia="仿宋_GB2312" w:cs="仿宋_GB2312"/>
          <w:highlight w:val="none"/>
          <w:lang w:val="en-US"/>
        </w:rPr>
      </w:pPr>
      <w:r>
        <w:rPr>
          <w:rFonts w:hint="eastAsia" w:ascii="仿宋_GB2312" w:hAnsi="仿宋_GB2312" w:eastAsia="仿宋_GB2312" w:cs="仿宋_GB2312"/>
          <w:highlight w:val="none"/>
        </w:rPr>
        <w:t>全面落实乡村振兴战略，积极推进城乡统筹发展，形成资源节约、环境友好、经济高效、社会和谐的城镇发展新格局。科学确定国土空间开发保护的目标定位和规划策略，优化镇村布局结构和城镇空间布局结构，加快发展，形成特色，尽快把</w:t>
      </w:r>
      <w:r>
        <w:rPr>
          <w:rFonts w:hint="eastAsia" w:ascii="仿宋_GB2312" w:hAnsi="仿宋_GB2312" w:eastAsia="仿宋_GB2312" w:cs="仿宋_GB2312"/>
          <w:highlight w:val="none"/>
          <w:lang w:val="en-US" w:eastAsia="zh-CN"/>
        </w:rPr>
        <w:t>闫集</w:t>
      </w:r>
      <w:r>
        <w:rPr>
          <w:rFonts w:hint="eastAsia" w:ascii="仿宋_GB2312" w:hAnsi="仿宋_GB2312" w:eastAsia="仿宋_GB2312" w:cs="仿宋_GB2312"/>
          <w:highlight w:val="none"/>
        </w:rPr>
        <w:t>镇建设成为</w:t>
      </w:r>
      <w:r>
        <w:rPr>
          <w:rFonts w:hint="eastAsia" w:ascii="仿宋_GB2312" w:hAnsi="仿宋_GB2312" w:eastAsia="仿宋_GB2312" w:cs="仿宋_GB2312"/>
          <w:highlight w:val="none"/>
          <w:lang w:val="en-US"/>
        </w:rPr>
        <w:t>萧县现代高效农业示范基地</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rPr>
        <w:t>萧县西北部生态宜居小城镇。</w:t>
      </w:r>
    </w:p>
    <w:p w14:paraId="560A5472">
      <w:pPr>
        <w:pStyle w:val="3"/>
        <w:numPr>
          <w:ilvl w:val="0"/>
          <w:numId w:val="4"/>
        </w:numPr>
        <w:spacing w:before="240" w:after="240"/>
        <w:ind w:left="0" w:firstLine="0"/>
        <w:jc w:val="center"/>
        <w:rPr>
          <w:rFonts w:ascii="黑体" w:hAnsi="黑体" w:eastAsia="黑体"/>
          <w:highlight w:val="none"/>
          <w:lang w:eastAsia="zh-CN"/>
        </w:rPr>
      </w:pPr>
      <w:bookmarkStart w:id="3" w:name="_bookmark2"/>
      <w:bookmarkEnd w:id="3"/>
      <w:bookmarkStart w:id="4" w:name="_Toc21841"/>
      <w:r>
        <w:rPr>
          <w:rFonts w:hint="eastAsia" w:ascii="黑体" w:hAnsi="黑体" w:eastAsia="黑体"/>
          <w:highlight w:val="none"/>
          <w:lang w:eastAsia="zh-CN"/>
        </w:rPr>
        <w:t>发展定位</w:t>
      </w:r>
      <w:bookmarkEnd w:id="4"/>
    </w:p>
    <w:p w14:paraId="65567FFD">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发展定位</w:t>
      </w:r>
    </w:p>
    <w:p w14:paraId="4279004D">
      <w:pPr>
        <w:pStyle w:val="13"/>
        <w:spacing w:before="0" w:beforeLines="0" w:line="360" w:lineRule="auto"/>
        <w:ind w:left="0" w:leftChars="0" w:right="0" w:rightChars="0" w:firstLine="640"/>
        <w:rPr>
          <w:rFonts w:ascii="仿宋_GB2312" w:hAnsi="仿宋_GB2312" w:eastAsia="仿宋_GB2312" w:cs="仿宋_GB2312"/>
          <w:highlight w:val="none"/>
        </w:rPr>
      </w:pPr>
      <w:r>
        <w:rPr>
          <w:rFonts w:hint="eastAsia" w:ascii="仿宋_GB2312" w:hAnsi="仿宋_GB2312" w:eastAsia="仿宋_GB2312" w:cs="仿宋_GB2312"/>
          <w:highlight w:val="none"/>
          <w:lang w:val="en-US"/>
        </w:rPr>
        <w:t>萧县现代高效农业示范基地</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rPr>
        <w:t>萧县西北部生态宜居小城镇</w:t>
      </w:r>
      <w:r>
        <w:rPr>
          <w:rFonts w:hint="eastAsia" w:ascii="仿宋_GB2312" w:hAnsi="仿宋_GB2312" w:eastAsia="仿宋_GB2312" w:cs="仿宋_GB2312"/>
          <w:highlight w:val="none"/>
        </w:rPr>
        <w:t>。</w:t>
      </w:r>
    </w:p>
    <w:p w14:paraId="38F1B1EF">
      <w:pPr>
        <w:pStyle w:val="3"/>
        <w:numPr>
          <w:ilvl w:val="0"/>
          <w:numId w:val="4"/>
        </w:numPr>
        <w:spacing w:before="240" w:after="240"/>
        <w:ind w:left="0" w:firstLine="0"/>
        <w:jc w:val="center"/>
        <w:rPr>
          <w:rFonts w:ascii="黑体" w:hAnsi="黑体" w:eastAsia="黑体"/>
          <w:highlight w:val="none"/>
          <w:lang w:eastAsia="zh-CN"/>
        </w:rPr>
      </w:pPr>
      <w:bookmarkStart w:id="5" w:name="_bookmark3"/>
      <w:bookmarkEnd w:id="5"/>
      <w:bookmarkStart w:id="6" w:name="_Toc28111"/>
      <w:r>
        <w:rPr>
          <w:rFonts w:hint="eastAsia" w:ascii="黑体" w:hAnsi="黑体" w:eastAsia="黑体"/>
          <w:highlight w:val="none"/>
          <w:lang w:eastAsia="zh-CN"/>
        </w:rPr>
        <w:t>国土空间开发保护目标</w:t>
      </w:r>
      <w:bookmarkEnd w:id="6"/>
    </w:p>
    <w:p w14:paraId="2B43FC3C">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总体目标</w:t>
      </w:r>
    </w:p>
    <w:p w14:paraId="6A305E8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到2025年，底线管控进一步强化，空间格局进一步优化，产业空间高效，公共设施布局提升，为城乡统筹发展做好支撑；至2035年，形成底线牢固、生态优先、协调发展、资源高效利用的国土空间开发保护新格局，镇域空间品质、创新环境、综合实力大幅跃升，全面建成</w:t>
      </w:r>
      <w:r>
        <w:rPr>
          <w:rFonts w:hint="eastAsia" w:ascii="仿宋_GB2312" w:hAnsi="仿宋_GB2312" w:eastAsia="仿宋_GB2312" w:cs="仿宋_GB2312"/>
          <w:highlight w:val="none"/>
          <w:lang w:val="en-US"/>
        </w:rPr>
        <w:t>现代高效农业示范基地</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val="en-US"/>
        </w:rPr>
        <w:t>生态宜居小城镇</w:t>
      </w:r>
      <w:r>
        <w:rPr>
          <w:rFonts w:hint="eastAsia" w:ascii="Times New Roman" w:hAnsi="Times New Roman" w:eastAsia="仿宋_GB2312" w:cs="Times New Roman"/>
          <w:highlight w:val="none"/>
          <w:lang w:val="en-US" w:eastAsia="zh-CN"/>
        </w:rPr>
        <w:t>。</w:t>
      </w:r>
    </w:p>
    <w:p w14:paraId="5CA7BEAE">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分项目标</w:t>
      </w:r>
    </w:p>
    <w:p w14:paraId="2A4AFE4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空间底线全面筑牢。耕地和永久基本农田得到切实保护，全面落实下达的保护任务，逐步把具备条件的永久基本农田全部建成高标准农田。河湖、林地等生态空间得到充分保护与修复，生态系统稳定性不断增强，生态保护红线等生态底线空间得到全面保护。</w:t>
      </w:r>
    </w:p>
    <w:p w14:paraId="1A0A380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空间结构持续优化，空间效率不断提高。农业生产空间格局合理优化，生态保护空间格局显著改善，城镇发展空间格局更加均衡，区域协调、城乡融合发展新格局基本形成。建设用地规模得到合理控制，节约集约成效明显，人均建设用地使用水平控制在合理区间，建设用地使用效率居于领先地位。</w:t>
      </w:r>
    </w:p>
    <w:p w14:paraId="151306A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空间品质显著提升。充分保障重点项目建设空间，城乡公共服务配置水平达到较高水平，城乡环境和公共服务质量明显改善，建成宜居宜业宜游城镇。</w:t>
      </w:r>
    </w:p>
    <w:p w14:paraId="1D371D39">
      <w:pPr>
        <w:pStyle w:val="3"/>
        <w:numPr>
          <w:ilvl w:val="0"/>
          <w:numId w:val="4"/>
        </w:numPr>
        <w:spacing w:before="240" w:after="240"/>
        <w:ind w:left="0" w:firstLine="0"/>
        <w:jc w:val="center"/>
        <w:rPr>
          <w:rFonts w:ascii="黑体" w:hAnsi="黑体" w:eastAsia="黑体"/>
          <w:highlight w:val="none"/>
          <w:lang w:eastAsia="zh-CN"/>
        </w:rPr>
      </w:pPr>
      <w:bookmarkStart w:id="7" w:name="_Toc22473"/>
      <w:r>
        <w:rPr>
          <w:rFonts w:hint="eastAsia" w:ascii="黑体" w:hAnsi="黑体" w:eastAsia="黑体"/>
          <w:highlight w:val="none"/>
          <w:lang w:eastAsia="zh-CN"/>
        </w:rPr>
        <w:t>国土空间开发保护策略</w:t>
      </w:r>
      <w:bookmarkEnd w:id="7"/>
    </w:p>
    <w:p w14:paraId="6668D318">
      <w:pPr>
        <w:pStyle w:val="46"/>
        <w:spacing w:before="0" w:line="360" w:lineRule="auto"/>
        <w:ind w:left="0" w:right="108" w:firstLine="718" w:firstLineChars="213"/>
        <w:rPr>
          <w:rFonts w:eastAsia="仿宋"/>
          <w:w w:val="105"/>
          <w:sz w:val="32"/>
          <w:highlight w:val="none"/>
        </w:rPr>
      </w:pPr>
      <w:r>
        <w:rPr>
          <w:rFonts w:eastAsia="仿宋"/>
          <w:w w:val="105"/>
          <w:sz w:val="32"/>
          <w:highlight w:val="none"/>
        </w:rPr>
        <w:t>筑牢底线、韧性安全</w:t>
      </w:r>
    </w:p>
    <w:p w14:paraId="5E77332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上位国土空间保护格局，严守永久基本农田、生态保护红线、城镇开发边界三条控制线；合理划定其他保护线，明确水资源等管控范围。有效应对粮食安全、生态安全、能源资源安全、公共安全、产业安全等方面的问题和挑战，完善国土安全基础设施，增强城镇安全韧性。科学统筹安排各类空间，因地制宜，构建合理的总体空间格局。</w:t>
      </w:r>
    </w:p>
    <w:p w14:paraId="1DF36865">
      <w:pPr>
        <w:pStyle w:val="46"/>
        <w:spacing w:before="0" w:line="360" w:lineRule="auto"/>
        <w:ind w:left="0" w:right="108" w:firstLine="718" w:firstLineChars="213"/>
        <w:rPr>
          <w:rFonts w:eastAsia="仿宋"/>
          <w:w w:val="105"/>
          <w:sz w:val="32"/>
          <w:highlight w:val="none"/>
        </w:rPr>
      </w:pPr>
      <w:r>
        <w:rPr>
          <w:rFonts w:eastAsia="仿宋"/>
          <w:w w:val="105"/>
          <w:sz w:val="32"/>
          <w:highlight w:val="none"/>
        </w:rPr>
        <w:t>产业</w:t>
      </w:r>
      <w:r>
        <w:rPr>
          <w:rFonts w:hint="eastAsia" w:eastAsia="仿宋"/>
          <w:w w:val="105"/>
          <w:sz w:val="32"/>
          <w:highlight w:val="none"/>
        </w:rPr>
        <w:t>提能</w:t>
      </w:r>
      <w:r>
        <w:rPr>
          <w:rFonts w:eastAsia="仿宋"/>
          <w:w w:val="105"/>
          <w:sz w:val="32"/>
          <w:highlight w:val="none"/>
        </w:rPr>
        <w:t>，</w:t>
      </w:r>
      <w:r>
        <w:rPr>
          <w:rFonts w:hint="eastAsia" w:eastAsia="仿宋"/>
          <w:w w:val="105"/>
          <w:sz w:val="32"/>
          <w:highlight w:val="none"/>
        </w:rPr>
        <w:t>联动发展</w:t>
      </w:r>
    </w:p>
    <w:p w14:paraId="1DF8A7C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围绕“产镇共进，文旅融合”的主题，构建镇域镇村体系、综合交通体系、市政设施与公共服务设施配套体系，打造区域协同的镇域产业空间结构，形成以现代农业、蔬菜种植为基础，农副产品加工、乡村旅游为延伸的产业格局。</w:t>
      </w:r>
    </w:p>
    <w:p w14:paraId="674898BD">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城乡统筹</w:t>
      </w:r>
      <w:r>
        <w:rPr>
          <w:rFonts w:eastAsia="仿宋"/>
          <w:w w:val="105"/>
          <w:sz w:val="32"/>
          <w:highlight w:val="none"/>
        </w:rPr>
        <w:t>、</w:t>
      </w:r>
      <w:r>
        <w:rPr>
          <w:rFonts w:hint="eastAsia" w:eastAsia="仿宋"/>
          <w:w w:val="105"/>
          <w:sz w:val="32"/>
          <w:highlight w:val="none"/>
        </w:rPr>
        <w:t>设施便民</w:t>
      </w:r>
    </w:p>
    <w:p w14:paraId="67186DA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按照“创新、协调、绿色、开放、共享”的要求，突出地方特色、彰显文化内涵、优化空间结构、完善设施配置，实现公服均等，设施共享，共建城乡生活圈。坚持以人民为中心，充分尊重群众意愿，反映群众诉求，统筹区域空间和资源配置。建设高标准、高规格配套设施，按照镇区—重点村—基层村进行配置。</w:t>
      </w:r>
    </w:p>
    <w:p w14:paraId="2F330465">
      <w:pPr>
        <w:pStyle w:val="46"/>
        <w:spacing w:before="0" w:line="360" w:lineRule="auto"/>
        <w:ind w:left="0" w:right="108" w:firstLine="718" w:firstLineChars="213"/>
        <w:rPr>
          <w:rFonts w:eastAsia="仿宋"/>
          <w:w w:val="105"/>
          <w:sz w:val="32"/>
          <w:highlight w:val="none"/>
        </w:rPr>
      </w:pPr>
      <w:r>
        <w:rPr>
          <w:rFonts w:eastAsia="仿宋"/>
          <w:w w:val="105"/>
          <w:sz w:val="32"/>
          <w:highlight w:val="none"/>
        </w:rPr>
        <w:t>品质提升，</w:t>
      </w:r>
      <w:r>
        <w:rPr>
          <w:rFonts w:hint="eastAsia" w:eastAsia="仿宋"/>
          <w:w w:val="105"/>
          <w:sz w:val="32"/>
          <w:highlight w:val="none"/>
        </w:rPr>
        <w:t>魅力</w:t>
      </w:r>
      <w:r>
        <w:rPr>
          <w:rFonts w:eastAsia="仿宋"/>
          <w:w w:val="105"/>
          <w:sz w:val="32"/>
          <w:highlight w:val="none"/>
        </w:rPr>
        <w:t>彰显</w:t>
      </w:r>
    </w:p>
    <w:p w14:paraId="533C6C0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加强生态修复，对生态空间进行修复保护。全域土地综合整治，对农用地、建设用地进行整治。加强乡村人居环境治理，改善村民居住环境。统筹乡村景观风貌，构建生态景观格局。</w:t>
      </w:r>
    </w:p>
    <w:p w14:paraId="50096AD6">
      <w:pPr>
        <w:pStyle w:val="13"/>
        <w:autoSpaceDE/>
        <w:autoSpaceDN/>
        <w:spacing w:beforeLines="0"/>
        <w:ind w:left="110" w:right="110" w:firstLine="681" w:firstLineChars="213"/>
        <w:contextualSpacing/>
        <w:rPr>
          <w:rFonts w:ascii="Times New Roman" w:hAnsi="Times New Roman" w:eastAsia="仿宋_GB2312" w:cs="Times New Roman"/>
          <w:highlight w:val="none"/>
          <w:lang w:val="en-US" w:eastAsia="zh-CN"/>
        </w:rPr>
        <w:sectPr>
          <w:footerReference r:id="rId5" w:type="default"/>
          <w:pgSz w:w="11910" w:h="16850"/>
          <w:pgMar w:top="1360" w:right="1380" w:bottom="1640" w:left="1560" w:header="645" w:footer="1443" w:gutter="0"/>
          <w:cols w:space="720" w:num="1"/>
        </w:sectPr>
      </w:pPr>
    </w:p>
    <w:p w14:paraId="14547E38">
      <w:pPr>
        <w:pStyle w:val="2"/>
        <w:spacing w:before="0" w:line="360" w:lineRule="auto"/>
        <w:ind w:left="0" w:firstLine="0"/>
        <w:jc w:val="center"/>
        <w:rPr>
          <w:rFonts w:ascii="方正小标宋_GBK" w:hAnsi="方正小标宋_GBK" w:eastAsia="方正小标宋_GBK"/>
          <w:spacing w:val="5"/>
          <w:highlight w:val="none"/>
        </w:rPr>
      </w:pPr>
      <w:bookmarkStart w:id="8" w:name="_bookmark5"/>
      <w:bookmarkEnd w:id="8"/>
      <w:bookmarkStart w:id="9" w:name="_Toc31726"/>
      <w:r>
        <w:rPr>
          <w:rFonts w:hint="eastAsia" w:ascii="方正小标宋_GBK" w:hAnsi="方正小标宋_GBK" w:eastAsia="方正小标宋_GBK"/>
          <w:spacing w:val="5"/>
          <w:highlight w:val="none"/>
        </w:rPr>
        <w:t>以</w:t>
      </w:r>
      <w:r>
        <w:rPr>
          <w:rFonts w:hint="eastAsia" w:ascii="方正小标宋_GBK" w:hAnsi="方正小标宋_GBK" w:eastAsia="方正小标宋_GBK"/>
          <w:spacing w:val="5"/>
          <w:highlight w:val="none"/>
          <w:lang w:eastAsia="zh-CN"/>
        </w:rPr>
        <w:t>“</w:t>
      </w:r>
      <w:r>
        <w:rPr>
          <w:rFonts w:hint="eastAsia" w:ascii="方正小标宋_GBK" w:hAnsi="方正小标宋_GBK" w:eastAsia="方正小标宋_GBK"/>
          <w:spacing w:val="5"/>
          <w:highlight w:val="none"/>
        </w:rPr>
        <w:t>三区三线</w:t>
      </w:r>
      <w:r>
        <w:rPr>
          <w:rFonts w:hint="eastAsia" w:ascii="方正小标宋_GBK" w:hAnsi="方正小标宋_GBK" w:eastAsia="方正小标宋_GBK"/>
          <w:spacing w:val="5"/>
          <w:highlight w:val="none"/>
          <w:lang w:eastAsia="zh-CN"/>
        </w:rPr>
        <w:t>”</w:t>
      </w:r>
      <w:r>
        <w:rPr>
          <w:rFonts w:hint="eastAsia" w:ascii="方正小标宋_GBK" w:hAnsi="方正小标宋_GBK" w:eastAsia="方正小标宋_GBK"/>
          <w:spacing w:val="5"/>
          <w:highlight w:val="none"/>
        </w:rPr>
        <w:t>为基础，构建</w:t>
      </w:r>
      <w:r>
        <w:rPr>
          <w:rFonts w:ascii="方正小标宋_GBK" w:hAnsi="方正小标宋_GBK" w:eastAsia="方正小标宋_GBK"/>
          <w:spacing w:val="5"/>
          <w:highlight w:val="none"/>
        </w:rPr>
        <w:t>国土空间</w:t>
      </w:r>
      <w:r>
        <w:rPr>
          <w:rFonts w:hint="eastAsia" w:ascii="方正小标宋_GBK" w:hAnsi="方正小标宋_GBK" w:eastAsia="方正小标宋_GBK"/>
          <w:spacing w:val="5"/>
          <w:highlight w:val="none"/>
        </w:rPr>
        <w:t>开发保护新</w:t>
      </w:r>
      <w:r>
        <w:rPr>
          <w:rFonts w:ascii="方正小标宋_GBK" w:hAnsi="方正小标宋_GBK" w:eastAsia="方正小标宋_GBK"/>
          <w:spacing w:val="5"/>
          <w:highlight w:val="none"/>
        </w:rPr>
        <w:t>格局</w:t>
      </w:r>
      <w:bookmarkEnd w:id="9"/>
      <w:r>
        <w:rPr>
          <w:rFonts w:hint="eastAsia" w:ascii="方正小标宋_GBK" w:hAnsi="方正小标宋_GBK" w:eastAsia="方正小标宋_GBK"/>
          <w:spacing w:val="5"/>
          <w:highlight w:val="none"/>
        </w:rPr>
        <w:t xml:space="preserve"> </w:t>
      </w:r>
    </w:p>
    <w:p w14:paraId="087AE218">
      <w:pPr>
        <w:pStyle w:val="13"/>
        <w:spacing w:before="0" w:beforeLines="0" w:line="360" w:lineRule="auto"/>
        <w:ind w:left="0" w:leftChars="0" w:right="0" w:rightChars="0" w:firstLine="64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尊重自然资源本底条件、遵循乡镇发展规律，</w:t>
      </w:r>
      <w:r>
        <w:rPr>
          <w:rFonts w:hint="eastAsia" w:ascii="仿宋_GB2312" w:hAnsi="仿宋_GB2312" w:eastAsia="仿宋_GB2312" w:cs="仿宋_GB2312"/>
          <w:highlight w:val="none"/>
        </w:rPr>
        <w:t>以第三次全国国土调查数据为基础，落实上位规划耕地</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永久基本农田和城镇开发边界，落实县级主体功能区布局，优化农业、生态、城镇三大空间，构建“一心一廊两区多点”的镇域国土空间总体格局。</w:t>
      </w:r>
    </w:p>
    <w:p w14:paraId="6D406B96">
      <w:pPr>
        <w:pStyle w:val="3"/>
        <w:numPr>
          <w:ilvl w:val="0"/>
          <w:numId w:val="5"/>
        </w:numPr>
        <w:spacing w:before="240" w:after="240"/>
        <w:ind w:left="0" w:firstLine="0"/>
        <w:jc w:val="center"/>
        <w:rPr>
          <w:rFonts w:ascii="黑体" w:hAnsi="黑体" w:eastAsia="黑体"/>
          <w:highlight w:val="none"/>
          <w:lang w:eastAsia="zh-CN"/>
        </w:rPr>
      </w:pPr>
      <w:bookmarkStart w:id="10" w:name="_bookmark6"/>
      <w:bookmarkEnd w:id="10"/>
      <w:bookmarkStart w:id="11" w:name="_Toc13300"/>
      <w:r>
        <w:rPr>
          <w:rFonts w:hint="eastAsia" w:ascii="黑体" w:hAnsi="黑体" w:eastAsia="黑体"/>
          <w:highlight w:val="none"/>
          <w:lang w:val="en-US" w:eastAsia="zh-CN"/>
        </w:rPr>
        <w:t>高标准高质量</w:t>
      </w:r>
      <w:r>
        <w:rPr>
          <w:rFonts w:hint="eastAsia" w:ascii="黑体" w:hAnsi="黑体" w:eastAsia="黑体"/>
          <w:highlight w:val="none"/>
          <w:lang w:eastAsia="zh-CN"/>
        </w:rPr>
        <w:t>落实“三</w:t>
      </w:r>
      <w:r>
        <w:rPr>
          <w:rFonts w:hint="eastAsia" w:ascii="黑体" w:hAnsi="黑体" w:eastAsia="黑体"/>
          <w:highlight w:val="none"/>
          <w:lang w:val="en-US" w:eastAsia="zh-CN"/>
        </w:rPr>
        <w:t>区三</w:t>
      </w:r>
      <w:r>
        <w:rPr>
          <w:rFonts w:hint="eastAsia" w:ascii="黑体" w:hAnsi="黑体" w:eastAsia="黑体"/>
          <w:highlight w:val="none"/>
          <w:lang w:eastAsia="zh-CN"/>
        </w:rPr>
        <w:t>线”</w:t>
      </w:r>
      <w:bookmarkEnd w:id="11"/>
    </w:p>
    <w:p w14:paraId="5B6C5486">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优先落实耕地和</w:t>
      </w:r>
      <w:r>
        <w:rPr>
          <w:rFonts w:hint="eastAsia" w:eastAsia="仿宋"/>
          <w:w w:val="105"/>
          <w:sz w:val="32"/>
          <w:highlight w:val="none"/>
        </w:rPr>
        <w:t>永久基本农田</w:t>
      </w:r>
      <w:r>
        <w:rPr>
          <w:rFonts w:hint="eastAsia" w:eastAsia="仿宋"/>
          <w:w w:val="105"/>
          <w:sz w:val="32"/>
          <w:highlight w:val="none"/>
          <w:lang w:val="en-US" w:eastAsia="zh-CN"/>
        </w:rPr>
        <w:t>保护红线</w:t>
      </w:r>
    </w:p>
    <w:p w14:paraId="65F37C6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u w:val="single"/>
          <w:lang w:val="en-US" w:eastAsia="zh-CN"/>
        </w:rPr>
      </w:pPr>
      <w:r>
        <w:rPr>
          <w:rFonts w:hint="eastAsia" w:ascii="Times New Roman" w:hAnsi="Times New Roman" w:eastAsia="仿宋_GB2312" w:cs="Times New Roman"/>
          <w:highlight w:val="none"/>
          <w:lang w:val="en-US" w:eastAsia="zh-CN"/>
        </w:rPr>
        <w:t>坚持耕地数量和质量保护并重的原则，在保证闫集镇经济社会稳步发展，粮食安全和生态安全得到保障的前提下，</w:t>
      </w:r>
      <w:r>
        <w:rPr>
          <w:rFonts w:hint="eastAsia" w:ascii="Times New Roman" w:hAnsi="Times New Roman" w:eastAsia="仿宋_GB2312" w:cs="Times New Roman"/>
          <w:color w:val="auto"/>
          <w:highlight w:val="none"/>
          <w:lang w:val="en-US" w:eastAsia="zh-CN"/>
        </w:rPr>
        <w:t>守牢耕地保护红线和粮食安全底线</w:t>
      </w:r>
      <w:r>
        <w:rPr>
          <w:rFonts w:hint="eastAsia" w:ascii="Times New Roman" w:hAnsi="Times New Roman" w:eastAsia="仿宋_GB2312" w:cs="Times New Roman"/>
          <w:color w:val="auto"/>
          <w:highlight w:val="none"/>
          <w:u w:val="none"/>
          <w:lang w:val="en-US" w:eastAsia="zh-CN"/>
        </w:rPr>
        <w:t>。</w:t>
      </w:r>
    </w:p>
    <w:p w14:paraId="1D5E94B2">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衔接落实城镇开发边界</w:t>
      </w:r>
    </w:p>
    <w:p w14:paraId="507B2E2E">
      <w:pPr>
        <w:pStyle w:val="13"/>
        <w:autoSpaceDE/>
        <w:autoSpaceDN/>
        <w:spacing w:before="0" w:beforeLines="0" w:line="360" w:lineRule="auto"/>
        <w:ind w:left="0" w:leftChars="0" w:right="0" w:rightChars="0" w:firstLine="640"/>
        <w:contextualSpacing/>
        <w:rPr>
          <w:rFonts w:hint="default"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上位规划要求，在优先划定耕地和永久基本农田保护红线的基础上，顺应自然地理格局，避让自然灾害高风险区域等，按照集约适度、绿色发展要求划定城镇开发边界。严控新增建设用地，防止城镇无序建设与蔓延发展，推动城镇紧凑发展和节约集约用地。</w:t>
      </w:r>
    </w:p>
    <w:p w14:paraId="67E5DFCB">
      <w:pPr>
        <w:pStyle w:val="3"/>
        <w:numPr>
          <w:ilvl w:val="0"/>
          <w:numId w:val="5"/>
        </w:numPr>
        <w:spacing w:before="240" w:after="240"/>
        <w:ind w:left="0" w:firstLine="0"/>
        <w:jc w:val="center"/>
        <w:rPr>
          <w:rFonts w:ascii="黑体" w:hAnsi="黑体" w:eastAsia="黑体"/>
          <w:highlight w:val="none"/>
          <w:lang w:eastAsia="zh-CN"/>
        </w:rPr>
      </w:pPr>
      <w:bookmarkStart w:id="12" w:name="_Toc32365"/>
      <w:r>
        <w:rPr>
          <w:rFonts w:hint="eastAsia" w:ascii="黑体" w:hAnsi="黑体" w:eastAsia="黑体"/>
          <w:highlight w:val="none"/>
          <w:lang w:eastAsia="zh-CN"/>
        </w:rPr>
        <w:t>塑造镇域发展新格局</w:t>
      </w:r>
      <w:bookmarkEnd w:id="12"/>
    </w:p>
    <w:p w14:paraId="78C76475">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构建</w:t>
      </w:r>
      <w:r>
        <w:rPr>
          <w:rFonts w:hint="eastAsia" w:eastAsia="仿宋"/>
          <w:w w:val="105"/>
          <w:sz w:val="32"/>
          <w:highlight w:val="none"/>
        </w:rPr>
        <w:t>国土空间总体格局</w:t>
      </w:r>
    </w:p>
    <w:p w14:paraId="1465C40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传承生态人文空间格局，塑造“一心一廊两区多点”的镇域空间发展格局。</w:t>
      </w:r>
    </w:p>
    <w:p w14:paraId="29134FAF">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明确</w:t>
      </w:r>
      <w:r>
        <w:rPr>
          <w:rFonts w:hint="eastAsia" w:eastAsia="仿宋"/>
          <w:w w:val="105"/>
          <w:sz w:val="32"/>
          <w:highlight w:val="none"/>
        </w:rPr>
        <w:t>国土空间规划分区</w:t>
      </w:r>
    </w:p>
    <w:p w14:paraId="64E4ABB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bookmarkStart w:id="13" w:name="_Hlk150604824"/>
      <w:r>
        <w:rPr>
          <w:rFonts w:hint="eastAsia" w:ascii="Times New Roman" w:hAnsi="Times New Roman" w:eastAsia="仿宋_GB2312" w:cs="Times New Roman"/>
          <w:highlight w:val="none"/>
          <w:lang w:val="en-US" w:eastAsia="zh-CN"/>
        </w:rPr>
        <w:t>落实县级规划下达的城镇开发边界、永久基本农田和生态保护红线，将镇域空间划分为农田保护区、城镇发展区和乡村发展区三类，实现全域空间管制，促进集约高效有序发展。</w:t>
      </w:r>
    </w:p>
    <w:bookmarkEnd w:id="13"/>
    <w:p w14:paraId="5C4BBD43">
      <w:pPr>
        <w:pStyle w:val="3"/>
        <w:numPr>
          <w:ilvl w:val="0"/>
          <w:numId w:val="5"/>
        </w:numPr>
        <w:spacing w:before="240" w:after="240"/>
        <w:ind w:left="0" w:firstLine="0"/>
        <w:jc w:val="center"/>
        <w:rPr>
          <w:rFonts w:ascii="黑体" w:hAnsi="黑体" w:eastAsia="黑体"/>
          <w:highlight w:val="none"/>
          <w:lang w:eastAsia="zh-CN"/>
        </w:rPr>
      </w:pPr>
      <w:bookmarkStart w:id="14" w:name="_bookmark7"/>
      <w:bookmarkEnd w:id="14"/>
      <w:bookmarkStart w:id="15" w:name="_bookmark8"/>
      <w:bookmarkEnd w:id="15"/>
      <w:bookmarkStart w:id="16" w:name="_Toc26514"/>
      <w:r>
        <w:rPr>
          <w:rFonts w:hint="eastAsia" w:ascii="黑体" w:hAnsi="黑体" w:eastAsia="黑体"/>
          <w:highlight w:val="none"/>
          <w:lang w:eastAsia="zh-CN"/>
        </w:rPr>
        <w:t>优化国土空间功能结构</w:t>
      </w:r>
      <w:bookmarkEnd w:id="16"/>
    </w:p>
    <w:p w14:paraId="60A8A48E">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合理优化国土空间用</w:t>
      </w:r>
      <w:r>
        <w:rPr>
          <w:rFonts w:hint="eastAsia" w:eastAsia="仿宋"/>
          <w:w w:val="105"/>
          <w:sz w:val="32"/>
          <w:highlight w:val="none"/>
          <w:lang w:val="en-US" w:eastAsia="zh-CN"/>
        </w:rPr>
        <w:t>地结构</w:t>
      </w:r>
    </w:p>
    <w:p w14:paraId="4F1EBD07">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合理调整农用地结构。充分考虑镇域自然地理、农业生产条件，坚持大稳定、小调整，统筹优化农用地布局。</w:t>
      </w:r>
    </w:p>
    <w:p w14:paraId="2222BBCC">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优化建设用地结构。统筹城乡居住生活、基础设施、公共服务、产业用地布局，推动城乡建设用地结构优化，充分保障黄口现代化物流园、</w:t>
      </w:r>
      <w:r>
        <w:rPr>
          <w:rFonts w:hint="default" w:ascii="Times New Roman" w:hAnsi="Times New Roman" w:eastAsia="仿宋_GB2312" w:cs="Times New Roman"/>
          <w:highlight w:val="none"/>
          <w:lang w:val="en-US" w:eastAsia="zh-CN"/>
        </w:rPr>
        <w:t>绿色食品产业园</w:t>
      </w:r>
      <w:r>
        <w:rPr>
          <w:rFonts w:hint="eastAsia" w:ascii="Times New Roman" w:hAnsi="Times New Roman" w:eastAsia="仿宋_GB2312" w:cs="Times New Roman"/>
          <w:highlight w:val="none"/>
          <w:lang w:val="en-US" w:eastAsia="zh-CN"/>
        </w:rPr>
        <w:t>以及其他区域基础设施建设用地需求。</w:t>
      </w:r>
    </w:p>
    <w:p w14:paraId="05F46FA3">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稳定陆地水域用地结构。</w:t>
      </w:r>
    </w:p>
    <w:p w14:paraId="7B838E60">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科学设置</w:t>
      </w:r>
      <w:r>
        <w:rPr>
          <w:rFonts w:hint="eastAsia" w:eastAsia="仿宋"/>
          <w:w w:val="105"/>
          <w:sz w:val="32"/>
          <w:highlight w:val="none"/>
        </w:rPr>
        <w:t>留白</w:t>
      </w:r>
      <w:r>
        <w:rPr>
          <w:rFonts w:hint="eastAsia" w:eastAsia="仿宋"/>
          <w:w w:val="105"/>
          <w:sz w:val="32"/>
          <w:highlight w:val="none"/>
          <w:lang w:val="en-US" w:eastAsia="zh-CN"/>
        </w:rPr>
        <w:t>用地</w:t>
      </w:r>
    </w:p>
    <w:p w14:paraId="113141E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sectPr>
          <w:pgSz w:w="11910" w:h="16850"/>
          <w:pgMar w:top="1360" w:right="1380" w:bottom="1640" w:left="1560" w:header="645" w:footer="1443" w:gutter="0"/>
          <w:cols w:space="720" w:num="1"/>
        </w:sectPr>
      </w:pPr>
      <w:r>
        <w:rPr>
          <w:rFonts w:hint="eastAsia" w:ascii="Times New Roman" w:hAnsi="Times New Roman" w:eastAsia="仿宋_GB2312" w:cs="Times New Roman"/>
          <w:highlight w:val="none"/>
          <w:lang w:val="en-US" w:eastAsia="zh-CN"/>
        </w:rPr>
        <w:t>指标留白。</w:t>
      </w:r>
      <w:bookmarkStart w:id="17" w:name="_bookmark9"/>
      <w:bookmarkEnd w:id="17"/>
      <w:r>
        <w:rPr>
          <w:rFonts w:hint="eastAsia" w:ascii="Times New Roman" w:hAnsi="Times New Roman" w:eastAsia="仿宋_GB2312" w:cs="Times New Roman"/>
          <w:highlight w:val="none"/>
          <w:lang w:val="en-US" w:eastAsia="zh-CN"/>
        </w:rPr>
        <w:t>在不突破规划建设用地总规模、不占用耕地和永久基本农田保护红线的前提下，村庄可预留不超过5%的建设用地机动指标，用于保障暂时难以精准落位的乡村建设需求，包括农民建房、农村公共公益设施、零星分散的文旅设施及农村新产业新业态等用地可申请使用。</w:t>
      </w:r>
      <w:r>
        <w:rPr>
          <w:rFonts w:hint="eastAsia" w:ascii="Times New Roman" w:hAnsi="Times New Roman" w:eastAsia="仿宋_GB2312" w:cs="Times New Roman"/>
          <w:highlight w:val="none"/>
          <w:lang w:val="zh-TW" w:eastAsia="zh-CN"/>
        </w:rPr>
        <w:t>加强重点地块图则管控，</w:t>
      </w:r>
      <w:r>
        <w:rPr>
          <w:rFonts w:hint="eastAsia" w:ascii="Times New Roman" w:hAnsi="Times New Roman" w:eastAsia="仿宋_GB2312" w:cs="Times New Roman"/>
          <w:highlight w:val="none"/>
          <w:lang w:val="en-US" w:eastAsia="zh-CN"/>
        </w:rPr>
        <w:t>因公共服务设施、基础设施、文旅设施、农村一二三产业融合发展等需要使用机动指标的村庄，可采取编制重点地块图则的方式，对土地用途、用地规模、容积率等建设控制指标予以明确，切实加强对具体建设行为的指导约束。</w:t>
      </w:r>
    </w:p>
    <w:p w14:paraId="29B8FDF4">
      <w:pPr>
        <w:pStyle w:val="2"/>
        <w:spacing w:before="0" w:line="360" w:lineRule="auto"/>
        <w:ind w:left="0" w:firstLine="0"/>
        <w:jc w:val="center"/>
        <w:rPr>
          <w:rFonts w:ascii="方正小标宋_GBK" w:hAnsi="方正小标宋_GBK" w:eastAsia="方正小标宋_GBK"/>
          <w:spacing w:val="5"/>
          <w:highlight w:val="none"/>
        </w:rPr>
      </w:pPr>
      <w:bookmarkStart w:id="18" w:name="_bookmark10"/>
      <w:bookmarkEnd w:id="18"/>
      <w:bookmarkStart w:id="19" w:name="_Toc12768"/>
      <w:bookmarkStart w:id="20" w:name="_Hlk150606517"/>
      <w:r>
        <w:rPr>
          <w:rFonts w:hint="eastAsia" w:ascii="方正小标宋_GBK" w:hAnsi="方正小标宋_GBK" w:eastAsia="方正小标宋_GBK"/>
          <w:spacing w:val="5"/>
          <w:highlight w:val="none"/>
        </w:rPr>
        <w:t>塑造绿色高效农业空间，保障现代化农业发展</w:t>
      </w:r>
      <w:bookmarkEnd w:id="19"/>
    </w:p>
    <w:p w14:paraId="38F334DF">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以耕地和永久基本农田保护红线为基础，立足闫集镇资源禀赋、区位优势，全方位夯实粮食安全根基， 严格保护耕地资源。优化农业空间格局、稳定农业种植生产空间。合理开展农村土地 综合整治，支撑实现农业农村现代化，保障宜居宜业和美乡村空 间需求。</w:t>
      </w:r>
    </w:p>
    <w:p w14:paraId="65402C2F">
      <w:pPr>
        <w:pStyle w:val="3"/>
        <w:numPr>
          <w:ilvl w:val="0"/>
          <w:numId w:val="6"/>
        </w:numPr>
        <w:spacing w:before="240" w:after="240"/>
        <w:ind w:left="0" w:firstLine="0"/>
        <w:jc w:val="center"/>
        <w:rPr>
          <w:rFonts w:ascii="黑体" w:hAnsi="黑体" w:eastAsia="黑体"/>
          <w:highlight w:val="none"/>
          <w:lang w:eastAsia="zh-CN"/>
        </w:rPr>
      </w:pPr>
      <w:bookmarkStart w:id="21" w:name="_bookmark11"/>
      <w:bookmarkEnd w:id="21"/>
      <w:bookmarkStart w:id="22" w:name="_Toc25457"/>
      <w:r>
        <w:rPr>
          <w:rFonts w:hint="eastAsia" w:ascii="黑体" w:hAnsi="黑体" w:eastAsia="黑体"/>
          <w:highlight w:val="none"/>
          <w:lang w:eastAsia="zh-CN"/>
        </w:rPr>
        <w:t>加强耕地“三位一体”保护</w:t>
      </w:r>
      <w:bookmarkEnd w:id="22"/>
    </w:p>
    <w:p w14:paraId="69EBEF13">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强</w:t>
      </w:r>
      <w:r>
        <w:rPr>
          <w:rFonts w:hint="eastAsia" w:eastAsia="仿宋"/>
          <w:w w:val="105"/>
          <w:sz w:val="32"/>
          <w:highlight w:val="none"/>
          <w:lang w:val="en-US" w:eastAsia="zh-CN"/>
        </w:rPr>
        <w:t>化</w:t>
      </w:r>
      <w:r>
        <w:rPr>
          <w:rFonts w:hint="eastAsia" w:eastAsia="仿宋"/>
          <w:w w:val="105"/>
          <w:sz w:val="32"/>
          <w:highlight w:val="none"/>
        </w:rPr>
        <w:t>耕地资源保护</w:t>
      </w:r>
    </w:p>
    <w:p w14:paraId="1DC374EC">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多途径补充耕地，落实耕地保护政策。严守耕地和永久基本农田保护红线，落实耕地保护和粮食安全责任制。将每个永久基本农田图斑落地块、明责任、设标志、建表册、入图库。通过土地综合整治、宜耕后备土地资源开发等措施，有效补充耕地。梳理“即可恢复”“工程恢复”地类和流失耕地情况，在不破坏生态、尊重农民意愿、确保经营者合法权益的前提下，稳妥有序推进耕地恢复工作，多措并举找回流失耕地。</w:t>
      </w:r>
    </w:p>
    <w:p w14:paraId="60FA77C9">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以高标准农田建设为重点，提升耕地质量。落实“两强一增”行动计划，统筹农田交通水利设施配套建设，积极开展低效耕地提质改造、“旱改水”工程、农田水利“最后一米”、高效节水灌溉建设等重大工程，推进高标准农田建设，提高耕地综合生产能力，逐步把具备条件的永久基本农田建设成为旱涝保收的高标准农田。结合中低产田的改造、土壤培肥改良等措施，提升耕地质量。</w:t>
      </w:r>
    </w:p>
    <w:p w14:paraId="57B21106">
      <w:pPr>
        <w:pStyle w:val="13"/>
        <w:autoSpaceDE/>
        <w:autoSpaceDN/>
        <w:spacing w:before="0" w:beforeLines="0" w:line="360" w:lineRule="auto"/>
        <w:ind w:left="0" w:leftChars="0" w:right="0" w:rightChars="0" w:firstLine="640"/>
        <w:contextualSpacing/>
        <w:rPr>
          <w:rFonts w:hint="default"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因地制宜，改善耕地生态环境。因地制宜，合理布局耕地防 护与生态环境保护工程，与田块整治、林网栽植、灌排工程建设、 土壤改良等工程相结合，加强耕地防护林网建设，加强水土保持、水源涵养工程建设，以沟道治理等措施，调整优化耕地生态格局，增强农田生态防护能力，完善耕地防护与生态环境保护体系。通过科学布局项目工程，加强生态工程建设， 保护耕地质量，优化农村田园景观，为乡村宜居提供绿色屏障，拓展农田传承农耕文化、生态涵养、科普教育、乡村旅游等多重功能。</w:t>
      </w:r>
    </w:p>
    <w:p w14:paraId="2FB12710">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优化耕地空间布局</w:t>
      </w:r>
    </w:p>
    <w:p w14:paraId="3A34620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以耕地集中连片整治为方向，推动耕地集中连片保护。结合高标准农田建设、耕地提质改造、优质耕地恢复补充和全域土地综合整治等项目，通过田块置换合并，破碎化田块整合，开展耕地集体连片整治，实现耕地地力保持或质量等别持续提高。按照“宜耕则耕、宜村则村、宜水则水、宜林则林”原则，优化耕地布局，提升耕地质量。全面推进建设占用耕地耕作层土壤剥离利用制度，剥离土壤用于新增耕地后期客土改良。优化田间道路布局，完善农田输配电等基础设施建设。推进智慧农业、测土配方施肥等新技术应用，夯实和提升耕地综合生产能力。</w:t>
      </w:r>
    </w:p>
    <w:p w14:paraId="07B10393">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严格落实耕地</w:t>
      </w:r>
      <w:r>
        <w:rPr>
          <w:rFonts w:hint="eastAsia" w:eastAsia="仿宋"/>
          <w:w w:val="105"/>
          <w:sz w:val="32"/>
          <w:highlight w:val="none"/>
          <w:lang w:eastAsia="zh-CN"/>
        </w:rPr>
        <w:t>“</w:t>
      </w:r>
      <w:r>
        <w:rPr>
          <w:rFonts w:hint="eastAsia" w:eastAsia="仿宋"/>
          <w:w w:val="105"/>
          <w:sz w:val="32"/>
          <w:highlight w:val="none"/>
        </w:rPr>
        <w:t>占补平衡</w:t>
      </w:r>
      <w:r>
        <w:rPr>
          <w:rFonts w:hint="eastAsia" w:eastAsia="仿宋"/>
          <w:w w:val="105"/>
          <w:sz w:val="32"/>
          <w:highlight w:val="none"/>
          <w:lang w:eastAsia="zh-CN"/>
        </w:rPr>
        <w:t>”</w:t>
      </w:r>
    </w:p>
    <w:p w14:paraId="2CE2C18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严格落实建设占用耕地的源头管控，改进占补平衡落实方式，各类实施主体将非耕地垦造、恢复为耕地的，符合规定的可作为补充耕地，各类非农建设选址和布局应尽量不占或少占耕地，避让永久基本农田。非农建设、造林种树等各类占用耕地行为统一纳入耕地占补平衡管理，坚持“以补定占”，非农业建设占用耕地，必须严格落实“先补后占”和“占一补一、占优补优”，积极拓宽补充耕地途径，补充可以长期稳定利用的耕地。</w:t>
      </w:r>
    </w:p>
    <w:p w14:paraId="1227D29B">
      <w:pPr>
        <w:pStyle w:val="3"/>
        <w:numPr>
          <w:ilvl w:val="0"/>
          <w:numId w:val="6"/>
        </w:numPr>
        <w:spacing w:before="240" w:after="240"/>
        <w:ind w:left="0" w:firstLine="0"/>
        <w:jc w:val="center"/>
        <w:rPr>
          <w:rFonts w:ascii="黑体" w:hAnsi="黑体" w:eastAsia="黑体"/>
          <w:highlight w:val="none"/>
          <w:lang w:eastAsia="zh-CN"/>
        </w:rPr>
      </w:pPr>
      <w:bookmarkStart w:id="23" w:name="_bookmark12"/>
      <w:bookmarkEnd w:id="23"/>
      <w:bookmarkStart w:id="24" w:name="_Toc30783"/>
      <w:r>
        <w:rPr>
          <w:rFonts w:hint="eastAsia" w:ascii="黑体" w:hAnsi="黑体" w:eastAsia="黑体"/>
          <w:highlight w:val="none"/>
          <w:lang w:val="en-US" w:eastAsia="zh-CN"/>
        </w:rPr>
        <w:t>保障特色农产品生产空间</w:t>
      </w:r>
      <w:bookmarkEnd w:id="24"/>
    </w:p>
    <w:p w14:paraId="1CC7475F">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优化农业设施建设用地布局</w:t>
      </w:r>
    </w:p>
    <w:p w14:paraId="2409D0C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完善农田水网、路网，因地制宜布局设施农业用地，保障辣椒制种、蔬菜、水果等特色农业设施用地，合理安排农业生产中直接用于作物种植和畜禽水产养殖的生产、辅助设施用地。预留农业生产服务用地空间，保障农产品产地冷藏保鲜设施、各类农事服务中心、粮食烘干中心的用地需求。设施农业用地应优先利用废弃地和荒山荒坡等未利用地、尽可能不占或少占耕地，严禁新增占用永久基本农田建设畜禽养殖设施、水产养殖设施和破坏耕作层的种植业设施。</w:t>
      </w:r>
    </w:p>
    <w:p w14:paraId="279BC7F3">
      <w:pPr>
        <w:pStyle w:val="3"/>
        <w:numPr>
          <w:ilvl w:val="0"/>
          <w:numId w:val="6"/>
        </w:numPr>
        <w:spacing w:before="240" w:after="240"/>
        <w:ind w:left="0" w:firstLine="0"/>
        <w:jc w:val="center"/>
        <w:rPr>
          <w:rFonts w:ascii="黑体" w:hAnsi="黑体" w:eastAsia="黑体"/>
          <w:highlight w:val="none"/>
          <w:lang w:eastAsia="zh-CN"/>
        </w:rPr>
      </w:pPr>
      <w:bookmarkStart w:id="25" w:name="_Toc27776"/>
      <w:r>
        <w:rPr>
          <w:rFonts w:hint="eastAsia" w:ascii="黑体" w:hAnsi="黑体" w:eastAsia="黑体"/>
          <w:highlight w:val="none"/>
          <w:lang w:eastAsia="zh-CN"/>
        </w:rPr>
        <w:t>加强国土空间综合整治</w:t>
      </w:r>
      <w:bookmarkEnd w:id="25"/>
    </w:p>
    <w:p w14:paraId="1E5284B4">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推进高标准农田建设</w:t>
      </w:r>
    </w:p>
    <w:p w14:paraId="5EB9B58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始终坚持“藏粮于地、藏粮于技”战略，推进耕地和永久基本农田的集中连片保护，保障高标准农田建设规模。以永久基本农田为基础，优先在粮食生产功能区、重要农产品生产保护区实施高标准农田建设，逐步把具备条件的永久基本农田全部建成旱涝保收的高标准农田。</w:t>
      </w:r>
    </w:p>
    <w:p w14:paraId="157692A1">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加强农用地综合整治</w:t>
      </w:r>
    </w:p>
    <w:p w14:paraId="00E3EB0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统筹推进低效园地、沟渠和坑塘水面整理，加强高标准农田建设、耕地质量提升、宜耕后备资源开发、农田基础设施和配套设施建设，在优化耕地布局、增加耕地面积的同时，提高耕地连片度，加强耕地地力培育，全面提升耕地质量。</w:t>
      </w:r>
    </w:p>
    <w:p w14:paraId="42BB47E6">
      <w:pPr>
        <w:pStyle w:val="46"/>
        <w:spacing w:before="0" w:line="360" w:lineRule="auto"/>
        <w:ind w:left="0" w:right="108" w:firstLine="718" w:firstLineChars="213"/>
        <w:rPr>
          <w:rFonts w:eastAsia="仿宋"/>
          <w:w w:val="105"/>
          <w:sz w:val="32"/>
          <w:highlight w:val="none"/>
        </w:rPr>
      </w:pPr>
      <w:r>
        <w:rPr>
          <w:rFonts w:eastAsia="仿宋"/>
          <w:w w:val="105"/>
          <w:sz w:val="32"/>
          <w:highlight w:val="none"/>
        </w:rPr>
        <w:t>开展</w:t>
      </w:r>
      <w:bookmarkStart w:id="26" w:name="_Hlk143970244"/>
      <w:r>
        <w:rPr>
          <w:rFonts w:eastAsia="仿宋"/>
          <w:w w:val="105"/>
          <w:sz w:val="32"/>
          <w:highlight w:val="none"/>
        </w:rPr>
        <w:t>农村居民点综合整治</w:t>
      </w:r>
      <w:bookmarkEnd w:id="26"/>
    </w:p>
    <w:p w14:paraId="25C227C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以乡村振兴、新型城镇化及城乡融合发展为导向，以镇域城乡建设用地增减挂钩为系统抓手，通过地类调整、用途转换等方式动态调整国土利用结构，系统推进农村宅基地的腾退与盘活，统筹城乡用地布局，优化镇域国土空间功能结构，促进国土功能复合开发、国土资源集约高效利用。按照“政府引导、公众参与、先易后难，逐步实施”的原则，优先选择农村建设用地整理工作基础较好的村庄实施增减挂钩。</w:t>
      </w:r>
    </w:p>
    <w:p w14:paraId="247D182C">
      <w:pPr>
        <w:pStyle w:val="46"/>
        <w:spacing w:before="0" w:line="360" w:lineRule="auto"/>
        <w:ind w:left="0" w:right="108" w:firstLine="718" w:firstLineChars="213"/>
        <w:rPr>
          <w:rFonts w:eastAsia="仿宋"/>
          <w:w w:val="105"/>
          <w:sz w:val="32"/>
          <w:highlight w:val="none"/>
        </w:rPr>
      </w:pPr>
      <w:r>
        <w:rPr>
          <w:rFonts w:eastAsia="仿宋"/>
          <w:w w:val="105"/>
          <w:sz w:val="32"/>
          <w:highlight w:val="none"/>
        </w:rPr>
        <w:t>推进低效用地综合整治</w:t>
      </w:r>
    </w:p>
    <w:p w14:paraId="6E1514C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开展低效闲置用地整治，盘活存量建设用地，提高土地利用效率，重点用于支持乡村新产业新业态发展。开展建设用地整治更新，对镇域范围内闲置、低效利用等用地进行功能置换。优先保障产业发展、公共服务、基础设施等各类建设用地的需求，实现土地资源的优化配置和合理利用。</w:t>
      </w:r>
    </w:p>
    <w:p w14:paraId="554D0574">
      <w:pPr>
        <w:rPr>
          <w:highlight w:val="none"/>
          <w:lang w:val="en-US" w:eastAsia="zh-CN"/>
        </w:rPr>
      </w:pPr>
    </w:p>
    <w:p w14:paraId="06D71A78">
      <w:pPr>
        <w:rPr>
          <w:highlight w:val="none"/>
          <w:lang w:val="en-US" w:eastAsia="zh-CN"/>
        </w:rPr>
        <w:sectPr>
          <w:pgSz w:w="11910" w:h="16850"/>
          <w:pgMar w:top="1360" w:right="1380" w:bottom="1640" w:left="1560" w:header="645" w:footer="1443" w:gutter="0"/>
          <w:cols w:space="720" w:num="1"/>
        </w:sectPr>
      </w:pPr>
    </w:p>
    <w:p w14:paraId="46878CB9">
      <w:pPr>
        <w:rPr>
          <w:highlight w:val="none"/>
          <w:lang w:val="en-US" w:eastAsia="zh-CN"/>
        </w:rPr>
      </w:pPr>
    </w:p>
    <w:p w14:paraId="196978D0">
      <w:pPr>
        <w:pStyle w:val="2"/>
        <w:spacing w:before="0" w:line="360" w:lineRule="auto"/>
        <w:ind w:left="0" w:firstLine="0"/>
        <w:jc w:val="center"/>
        <w:rPr>
          <w:rFonts w:ascii="方正小标宋_GBK" w:hAnsi="方正小标宋_GBK" w:eastAsia="方正小标宋_GBK"/>
          <w:spacing w:val="5"/>
          <w:highlight w:val="none"/>
          <w:lang w:eastAsia="zh-CN"/>
        </w:rPr>
      </w:pPr>
      <w:bookmarkStart w:id="27" w:name="_Toc10799"/>
      <w:r>
        <w:rPr>
          <w:rFonts w:hint="eastAsia" w:ascii="方正小标宋_GBK" w:hAnsi="方正小标宋_GBK" w:eastAsia="方正小标宋_GBK"/>
          <w:spacing w:val="5"/>
          <w:highlight w:val="none"/>
        </w:rPr>
        <w:t>构筑蓝绿</w:t>
      </w:r>
      <w:r>
        <w:rPr>
          <w:rFonts w:hint="eastAsia" w:ascii="方正小标宋_GBK" w:hAnsi="方正小标宋_GBK" w:eastAsia="方正小标宋_GBK"/>
          <w:spacing w:val="5"/>
          <w:highlight w:val="none"/>
          <w:lang w:val="en-US" w:eastAsia="zh-CN"/>
        </w:rPr>
        <w:t>交织、</w:t>
      </w:r>
      <w:r>
        <w:rPr>
          <w:rFonts w:hint="eastAsia" w:ascii="方正小标宋_GBK" w:hAnsi="方正小标宋_GBK" w:eastAsia="方正小标宋_GBK"/>
          <w:spacing w:val="5"/>
          <w:highlight w:val="none"/>
        </w:rPr>
        <w:t>田</w:t>
      </w:r>
      <w:r>
        <w:rPr>
          <w:rFonts w:hint="eastAsia" w:ascii="方正小标宋_GBK" w:hAnsi="方正小标宋_GBK" w:eastAsia="方正小标宋_GBK"/>
          <w:spacing w:val="5"/>
          <w:highlight w:val="none"/>
          <w:lang w:val="en-US" w:eastAsia="zh-CN"/>
        </w:rPr>
        <w:t>城</w:t>
      </w:r>
      <w:r>
        <w:rPr>
          <w:rFonts w:hint="eastAsia" w:ascii="方正小标宋_GBK" w:hAnsi="方正小标宋_GBK" w:eastAsia="方正小标宋_GBK"/>
          <w:spacing w:val="5"/>
          <w:highlight w:val="none"/>
        </w:rPr>
        <w:t>相</w:t>
      </w:r>
      <w:r>
        <w:rPr>
          <w:rFonts w:hint="eastAsia" w:ascii="方正小标宋_GBK" w:hAnsi="方正小标宋_GBK" w:eastAsia="方正小标宋_GBK"/>
          <w:spacing w:val="5"/>
          <w:highlight w:val="none"/>
          <w:lang w:val="en-US" w:eastAsia="zh-CN"/>
        </w:rPr>
        <w:t>拥</w:t>
      </w:r>
      <w:r>
        <w:rPr>
          <w:rFonts w:hint="eastAsia" w:ascii="方正小标宋_GBK" w:hAnsi="方正小标宋_GBK" w:eastAsia="方正小标宋_GBK"/>
          <w:spacing w:val="5"/>
          <w:highlight w:val="none"/>
        </w:rPr>
        <w:t>生态空间，促进人与自然和谐共生</w:t>
      </w:r>
      <w:bookmarkEnd w:id="27"/>
    </w:p>
    <w:p w14:paraId="26307ACB">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着力提升生态系统多样性、稳定性、持续性，加快实施重要 生态系统保护和修复重大工程，科学开展国土绿化。突出萧濉新河、利民沟和黄杨沟等重要水系在维护区域生态安全中的重要作用。统筹林地资源、水环境和水生态治理，重塑乡镇生态景观。</w:t>
      </w:r>
    </w:p>
    <w:p w14:paraId="5606D1BC">
      <w:pPr>
        <w:pStyle w:val="3"/>
        <w:numPr>
          <w:ilvl w:val="0"/>
          <w:numId w:val="7"/>
        </w:numPr>
        <w:spacing w:before="240" w:after="240"/>
        <w:ind w:left="0" w:firstLine="0"/>
        <w:jc w:val="center"/>
        <w:rPr>
          <w:rFonts w:ascii="黑体" w:hAnsi="黑体" w:eastAsia="黑体"/>
          <w:highlight w:val="none"/>
          <w:lang w:eastAsia="zh-CN"/>
        </w:rPr>
      </w:pPr>
      <w:bookmarkStart w:id="28" w:name="_Toc19068"/>
      <w:r>
        <w:rPr>
          <w:rFonts w:hint="eastAsia" w:ascii="黑体" w:hAnsi="黑体" w:eastAsia="黑体"/>
          <w:highlight w:val="none"/>
          <w:lang w:eastAsia="zh-CN"/>
        </w:rPr>
        <w:t>加强河湖生态管控</w:t>
      </w:r>
      <w:bookmarkEnd w:id="28"/>
    </w:p>
    <w:p w14:paraId="5EA90651">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强化水资源刚性约束</w:t>
      </w:r>
    </w:p>
    <w:p w14:paraId="1564364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b/>
          <w:bCs/>
          <w:highlight w:val="none"/>
          <w:lang w:val="en-US" w:eastAsia="zh-CN"/>
        </w:rPr>
        <w:t>落实用水总量控制指标。</w:t>
      </w:r>
      <w:r>
        <w:rPr>
          <w:rFonts w:hint="eastAsia" w:ascii="Times New Roman" w:hAnsi="Times New Roman" w:eastAsia="仿宋_GB2312" w:cs="Times New Roman"/>
          <w:highlight w:val="none"/>
          <w:lang w:val="en-US" w:eastAsia="zh-CN"/>
        </w:rPr>
        <w:t>坚持以水定城、以水定地、以水定人、以水定产的原则，严守用水总量控制，推进水资源总量管理、科学配置、全面节约、循环利用，推行规划水资源论证，严格建设项目水资源论证，强化取用水监管，守住取水红线，确保经济社会发展与水资源承载能力相适应。</w:t>
      </w:r>
    </w:p>
    <w:p w14:paraId="40832E5D">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实行最严格的水资源管理制度</w:t>
      </w:r>
    </w:p>
    <w:p w14:paraId="39C4B157">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bookmarkStart w:id="29" w:name="_Hlk150607084"/>
      <w:r>
        <w:rPr>
          <w:rFonts w:hint="eastAsia" w:ascii="Times New Roman" w:hAnsi="Times New Roman" w:eastAsia="仿宋_GB2312" w:cs="Times New Roman"/>
          <w:b/>
          <w:bCs/>
          <w:highlight w:val="none"/>
          <w:lang w:val="en-US" w:eastAsia="zh-CN"/>
        </w:rPr>
        <w:t>加强河流保护。</w:t>
      </w:r>
      <w:r>
        <w:rPr>
          <w:rFonts w:hint="eastAsia" w:ascii="Times New Roman" w:hAnsi="Times New Roman" w:eastAsia="仿宋_GB2312" w:cs="Times New Roman"/>
          <w:highlight w:val="none"/>
          <w:lang w:val="en-US" w:eastAsia="zh-CN"/>
        </w:rPr>
        <w:t>保护坑塘、河流水面等蓝色空间。严格落实“河长制”制度，坚持保护与防治相结合，以萧濉新河、利民沟等为主脉，加强水系连通。加强水域岸线生态空间管控，严格控制非生态用地边界，严禁侵占河流水体、入河口、缓冲带等重要生态用地和生态敏感区。严格管控各类水域岸线利用行为，保护水网肌理，依法依规审批涉河建设项目。</w:t>
      </w:r>
    </w:p>
    <w:bookmarkEnd w:id="29"/>
    <w:p w14:paraId="40CD41BC">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落实河</w:t>
      </w:r>
      <w:r>
        <w:rPr>
          <w:rFonts w:hint="eastAsia" w:eastAsia="仿宋"/>
          <w:w w:val="105"/>
          <w:sz w:val="32"/>
          <w:highlight w:val="none"/>
          <w:lang w:val="en-US" w:eastAsia="zh-CN"/>
        </w:rPr>
        <w:t>道</w:t>
      </w:r>
      <w:r>
        <w:rPr>
          <w:rFonts w:hint="eastAsia" w:eastAsia="仿宋"/>
          <w:w w:val="105"/>
          <w:sz w:val="32"/>
          <w:highlight w:val="none"/>
        </w:rPr>
        <w:t>管理范围线</w:t>
      </w:r>
    </w:p>
    <w:p w14:paraId="234212FC">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加强河道管理范围线管控。对河道等水域空间及其防护空间进行重点保护，</w:t>
      </w:r>
      <w:r>
        <w:rPr>
          <w:rFonts w:hint="eastAsia" w:ascii="Times New Roman" w:hAnsi="Times New Roman" w:eastAsia="仿宋_GB2312" w:cs="Times New Roman"/>
          <w:highlight w:val="none"/>
          <w:lang w:val="zh-TW" w:eastAsia="zh-CN"/>
        </w:rPr>
        <w:t>明确管控边界，统筹用途管制、功能布局，合理划分生产、生活和生态岸线，</w:t>
      </w:r>
      <w:r>
        <w:rPr>
          <w:rFonts w:hint="eastAsia" w:ascii="Times New Roman" w:hAnsi="Times New Roman" w:eastAsia="仿宋_GB2312" w:cs="Times New Roman"/>
          <w:highlight w:val="none"/>
          <w:lang w:val="en-US" w:eastAsia="zh-CN"/>
        </w:rPr>
        <w:t>严格建设管控。参照《中华人民共和国河道管理条例》的相关要求进行严格管控，确保区域行洪安全。禁止开展除必要的跨河交通、市政设施之外的城镇集中建设活动，水体保护控制线内的现状居民点应有序搬迁至两侧的安全地带。在引江济淮工程保护范围内，不得从事影响引江济淮工程运行、危害引江济淮工程安全的爆破、打井、采石、取土等活动。</w:t>
      </w:r>
    </w:p>
    <w:p w14:paraId="79CE5E34">
      <w:pPr>
        <w:pStyle w:val="3"/>
        <w:numPr>
          <w:ilvl w:val="0"/>
          <w:numId w:val="7"/>
        </w:numPr>
        <w:spacing w:before="240" w:after="240"/>
        <w:ind w:left="0" w:firstLine="0"/>
        <w:jc w:val="center"/>
        <w:rPr>
          <w:rFonts w:ascii="黑体" w:hAnsi="黑体" w:eastAsia="黑体"/>
          <w:highlight w:val="none"/>
          <w:lang w:eastAsia="zh-CN"/>
        </w:rPr>
      </w:pPr>
      <w:bookmarkStart w:id="30" w:name="_bookmark13"/>
      <w:bookmarkEnd w:id="30"/>
      <w:bookmarkStart w:id="31" w:name="_Toc9083"/>
      <w:r>
        <w:rPr>
          <w:rFonts w:hint="eastAsia" w:ascii="黑体" w:hAnsi="黑体" w:eastAsia="黑体"/>
          <w:highlight w:val="none"/>
          <w:lang w:eastAsia="zh-CN"/>
        </w:rPr>
        <w:t>构建绿色生态屏障</w:t>
      </w:r>
      <w:bookmarkEnd w:id="31"/>
    </w:p>
    <w:p w14:paraId="7D00D897">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优化调整林地结构</w:t>
      </w:r>
    </w:p>
    <w:p w14:paraId="248201AF">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优化林地资源配置。保障以生产林产品为主体功能的商品林面积，科学调整林地结构，生态脆弱区林地采用封育等近自然培育技术措施，重点加强镇域林地资源保护，保障优质林地资源面积不减少。</w:t>
      </w:r>
    </w:p>
    <w:p w14:paraId="4745A205">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加强林地资源保护</w:t>
      </w:r>
    </w:p>
    <w:p w14:paraId="55657873">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bookmarkStart w:id="32" w:name="_Hlk150610266"/>
      <w:r>
        <w:rPr>
          <w:rFonts w:hint="eastAsia" w:ascii="Times New Roman" w:hAnsi="Times New Roman" w:eastAsia="仿宋_GB2312" w:cs="Times New Roman"/>
          <w:highlight w:val="none"/>
          <w:lang w:val="en-US" w:eastAsia="zh-CN"/>
        </w:rPr>
        <w:t>加强林地资源保护管理。统筹安排和合理使用林地定额，严把项目关口，严格审批制度，严管林地使用，除必须且经审批的工程建设外，严格控制占用林地。严禁毁林开垦，实行占用林地总量控制。在不影响整体森林生态系统功能发挥的前提下，可以按照相关技术规程的规定开展抚育和更新性质的采伐，在不破坏森林植被的前提下，可以合理利用其林地资源。</w:t>
      </w:r>
      <w:bookmarkEnd w:id="32"/>
    </w:p>
    <w:p w14:paraId="69D08BD9">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强化林地管控</w:t>
      </w:r>
    </w:p>
    <w:p w14:paraId="37377D68">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强化林地管理，对区域内各类林地实行“总量控制、区域稳定、动态管理、增减平衡”的管理机制。规范林地保护，除必需的工程建设外，严格控制占用森林，不得以其他任何方式改变林地用途。推行集约经营、农林复合经营，在法律允许范围内合理安排各类生产活动，最大限度挖掘林地生产力。</w:t>
      </w:r>
    </w:p>
    <w:p w14:paraId="30CABD6D">
      <w:pPr>
        <w:pStyle w:val="3"/>
        <w:numPr>
          <w:ilvl w:val="0"/>
          <w:numId w:val="7"/>
        </w:numPr>
        <w:spacing w:before="240" w:after="240"/>
        <w:ind w:left="0" w:firstLine="0"/>
        <w:jc w:val="center"/>
        <w:rPr>
          <w:rFonts w:ascii="黑体" w:hAnsi="黑体" w:eastAsia="黑体"/>
          <w:highlight w:val="none"/>
          <w:lang w:eastAsia="zh-CN"/>
        </w:rPr>
      </w:pPr>
      <w:bookmarkStart w:id="33" w:name="_Toc22779"/>
      <w:r>
        <w:rPr>
          <w:rFonts w:hint="eastAsia" w:ascii="黑体" w:hAnsi="黑体" w:eastAsia="黑体"/>
          <w:highlight w:val="none"/>
          <w:lang w:eastAsia="zh-CN"/>
        </w:rPr>
        <w:t>系统实施生态修复</w:t>
      </w:r>
      <w:bookmarkEnd w:id="33"/>
    </w:p>
    <w:p w14:paraId="6CD1DCC8">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加强水</w:t>
      </w:r>
      <w:r>
        <w:rPr>
          <w:rFonts w:hint="eastAsia" w:eastAsia="仿宋"/>
          <w:w w:val="105"/>
          <w:sz w:val="32"/>
          <w:highlight w:val="none"/>
          <w:lang w:val="en-US" w:eastAsia="zh-CN"/>
        </w:rPr>
        <w:t>环境和水生态</w:t>
      </w:r>
      <w:r>
        <w:rPr>
          <w:rFonts w:hint="eastAsia" w:eastAsia="仿宋"/>
          <w:w w:val="105"/>
          <w:sz w:val="32"/>
          <w:highlight w:val="none"/>
        </w:rPr>
        <w:t>保护修复</w:t>
      </w:r>
    </w:p>
    <w:p w14:paraId="4A0FCAD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完善水体功能引导控制，明确排洪灌溉、水产养殖、景观游憩三大水体功能，并对各类水体进行功能引导控制。强化主要河流水系的保护，严格落实“河长制”制度，重点开展萧濉新河和利民沟水环境治理与保护，严格水域岸线用途管制，系统开展沟渠水网治理，通过“河道+沟渠+坑塘”的生态保护衔接的方式，打造生态化沟渠水网，推动农田面源污染治理，定期进行清淤，打造生态化沟渠岸线。打通水系连接点，定期清淤治理，疏浚沟渠水网，保持水系通畅。对小规模淤塞坑塘、沟渠，合理进行复垦，规整水系岸线。</w:t>
      </w:r>
    </w:p>
    <w:p w14:paraId="2C2BDD8A">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br w:type="page"/>
      </w:r>
    </w:p>
    <w:p w14:paraId="29DEBD44">
      <w:pPr>
        <w:pStyle w:val="2"/>
        <w:spacing w:before="0" w:line="360" w:lineRule="auto"/>
        <w:ind w:left="0" w:firstLine="0"/>
        <w:jc w:val="center"/>
        <w:rPr>
          <w:rFonts w:ascii="方正小标宋_GBK" w:hAnsi="方正小标宋_GBK" w:eastAsia="方正小标宋_GBK"/>
          <w:spacing w:val="5"/>
          <w:highlight w:val="none"/>
        </w:rPr>
      </w:pPr>
      <w:bookmarkStart w:id="34" w:name="_Toc27759"/>
      <w:r>
        <w:rPr>
          <w:rFonts w:hint="eastAsia" w:ascii="方正小标宋_GBK" w:hAnsi="方正小标宋_GBK" w:eastAsia="方正小标宋_GBK"/>
          <w:spacing w:val="5"/>
          <w:highlight w:val="none"/>
        </w:rPr>
        <w:t>促进城乡统筹，建设乡村振兴高地</w:t>
      </w:r>
      <w:bookmarkEnd w:id="34"/>
    </w:p>
    <w:p w14:paraId="610FB42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优化农业农村生产空间、生活空间和生态空间格局，强化村庄规划管控引领，统筹镇域村庄布局，支撑闫集基本实现农业农村现代化，建设宜居宜业和美乡村。</w:t>
      </w:r>
    </w:p>
    <w:p w14:paraId="42F083E9">
      <w:pPr>
        <w:pStyle w:val="3"/>
        <w:numPr>
          <w:ilvl w:val="0"/>
          <w:numId w:val="8"/>
        </w:numPr>
        <w:spacing w:before="240" w:after="240"/>
        <w:ind w:left="0" w:firstLine="0"/>
        <w:jc w:val="center"/>
        <w:rPr>
          <w:rFonts w:ascii="黑体" w:hAnsi="黑体" w:eastAsia="黑体"/>
          <w:highlight w:val="none"/>
          <w:lang w:eastAsia="zh-CN"/>
        </w:rPr>
      </w:pPr>
      <w:bookmarkStart w:id="35" w:name="_bookmark17"/>
      <w:bookmarkEnd w:id="35"/>
      <w:bookmarkStart w:id="36" w:name="_Toc30184"/>
      <w:r>
        <w:rPr>
          <w:rFonts w:hint="eastAsia" w:ascii="黑体" w:hAnsi="黑体" w:eastAsia="黑体"/>
          <w:highlight w:val="none"/>
          <w:lang w:eastAsia="zh-CN"/>
        </w:rPr>
        <w:t>优化村庄布局</w:t>
      </w:r>
      <w:bookmarkEnd w:id="36"/>
    </w:p>
    <w:p w14:paraId="20015B69">
      <w:pPr>
        <w:pStyle w:val="46"/>
        <w:spacing w:before="0" w:line="360" w:lineRule="auto"/>
        <w:ind w:left="0" w:right="108" w:firstLine="718" w:firstLineChars="213"/>
        <w:rPr>
          <w:rFonts w:eastAsia="仿宋"/>
          <w:w w:val="105"/>
          <w:sz w:val="32"/>
          <w:highlight w:val="none"/>
        </w:rPr>
      </w:pPr>
      <w:bookmarkStart w:id="37" w:name="_Hlk150612554"/>
      <w:r>
        <w:rPr>
          <w:rFonts w:hint="eastAsia" w:eastAsia="仿宋"/>
          <w:w w:val="105"/>
          <w:sz w:val="32"/>
          <w:highlight w:val="none"/>
        </w:rPr>
        <w:t>完善镇村体系</w:t>
      </w:r>
      <w:bookmarkEnd w:id="37"/>
    </w:p>
    <w:p w14:paraId="6F1C95D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bookmarkStart w:id="38" w:name="_Hlk150612547"/>
      <w:r>
        <w:rPr>
          <w:rFonts w:hint="eastAsia" w:ascii="Times New Roman" w:hAnsi="Times New Roman" w:eastAsia="仿宋_GB2312" w:cs="Times New Roman"/>
          <w:highlight w:val="none"/>
          <w:lang w:val="en-US" w:eastAsia="zh-CN"/>
        </w:rPr>
        <w:t>构建“镇政府驻地—中心村—自然村”的村庄居民点布局体系。</w:t>
      </w:r>
      <w:bookmarkEnd w:id="38"/>
      <w:r>
        <w:rPr>
          <w:rFonts w:hint="eastAsia" w:ascii="Times New Roman" w:hAnsi="Times New Roman" w:eastAsia="仿宋_GB2312" w:cs="Times New Roman"/>
          <w:highlight w:val="none"/>
          <w:lang w:val="en-US" w:eastAsia="zh-CN"/>
        </w:rPr>
        <w:t>发挥镇区在城镇化中的带动作用，以闫集镇区为引领，全面提升城乡生活圈公共服务水平。</w:t>
      </w:r>
    </w:p>
    <w:p w14:paraId="55EC82E0">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严格控制村庄建设用地规模</w:t>
      </w:r>
    </w:p>
    <w:p w14:paraId="6D65A24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以上位国土空间总体规划确定的乡镇建设用地规模为依据，结合现状用地规模、乡镇发展目标、产业用地需求，合理分解镇政府驻地、各行政村村庄建设用地规模。根据不同类型村庄发展用地需求，科学确定村庄建设用地增量和减量空间布局，划定村庄建设边界，合理分解确定村庄建设用地规模，做好建设和复垦等实施时序安排。</w:t>
      </w:r>
    </w:p>
    <w:p w14:paraId="4FEBBE65">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合理划定村庄建设边界</w:t>
      </w:r>
    </w:p>
    <w:p w14:paraId="21F415B7">
      <w:pPr>
        <w:pStyle w:val="13"/>
        <w:spacing w:before="0" w:beforeLines="0" w:line="360" w:lineRule="auto"/>
        <w:ind w:left="0" w:leftChars="0" w:right="11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规划期内镇域新增用地的农民建房、农村基本公共服务设施，不应超出村庄建设边界。确需选址在村庄建设边界外的少量乡村基础设施、零星乡村产业用地，所涉用地规模纳入村庄建设边界新增潜力空间统筹核算，并相应调整或缩减村庄建设边界。未划入村庄建设边界的现状建设用地，应以保留和缩减为主，严格控制翻建、改建、扩建等行为。在落实“三区三线”等管控要求、不改变本规划确定村庄分类、村庄建设边界规模的前提下，可在村庄规划编制中实事求是细化、优化村庄建设边界和村庄用地布局，在村庄规划依法批准后，相应更新校正国土空间规划“一张图”。</w:t>
      </w:r>
    </w:p>
    <w:p w14:paraId="24D114F6">
      <w:pPr>
        <w:pStyle w:val="3"/>
        <w:numPr>
          <w:ilvl w:val="0"/>
          <w:numId w:val="8"/>
        </w:numPr>
        <w:spacing w:before="240" w:after="240"/>
        <w:ind w:left="0" w:firstLine="0"/>
        <w:jc w:val="center"/>
        <w:rPr>
          <w:rFonts w:ascii="黑体" w:hAnsi="黑体" w:eastAsia="黑体"/>
          <w:highlight w:val="none"/>
          <w:lang w:eastAsia="zh-CN"/>
        </w:rPr>
      </w:pPr>
      <w:bookmarkStart w:id="39" w:name="_Toc12019"/>
      <w:r>
        <w:rPr>
          <w:rFonts w:hint="eastAsia" w:ascii="黑体" w:hAnsi="黑体" w:eastAsia="黑体"/>
          <w:highlight w:val="none"/>
          <w:lang w:eastAsia="zh-CN"/>
        </w:rPr>
        <w:t>优化城乡公共服务设施配置</w:t>
      </w:r>
      <w:bookmarkEnd w:id="39"/>
    </w:p>
    <w:p w14:paraId="041DEF39">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合理配置城乡</w:t>
      </w:r>
      <w:r>
        <w:rPr>
          <w:rFonts w:eastAsia="仿宋"/>
          <w:w w:val="105"/>
          <w:sz w:val="32"/>
          <w:highlight w:val="none"/>
        </w:rPr>
        <w:t>公共服务设施</w:t>
      </w:r>
    </w:p>
    <w:p w14:paraId="0B6F069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立“乡镇—中心村—自然村”三级公共服务体系，构建10—15分钟生活圈，重点加强镇级和社区级公共服务设施的建设，提高设施服务水平。公共设施适度集中布局，功能混合，形成可识别的组团中心和社区中心，为居民提供一站式综合服务。满足日常生活需求，促进邻里交往，着力将镇区、农村社区营造成为生活便利、温馨和谐的美丽家园。</w:t>
      </w:r>
    </w:p>
    <w:p w14:paraId="3D5DBBFB">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优化</w:t>
      </w:r>
      <w:r>
        <w:rPr>
          <w:rFonts w:eastAsia="仿宋"/>
          <w:w w:val="105"/>
          <w:sz w:val="32"/>
          <w:highlight w:val="none"/>
        </w:rPr>
        <w:t>各类公共服务设施布局</w:t>
      </w:r>
    </w:p>
    <w:p w14:paraId="50016B3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1、教育服务设施</w:t>
      </w:r>
    </w:p>
    <w:p w14:paraId="617A1CE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普及学前三年教育，采用部门、集体、民办多种方式发展幼儿教育。合并改造现有小学，实现校校达标，小学布局控制在合理半径内，适当考虑规模效益，根据生源供给情况增设教学点。镇区初中设置不仅考虑人口规模，而且要考虑服务本镇及周边乡镇，可以结合小学设置九年一贯制学校。</w:t>
      </w:r>
    </w:p>
    <w:p w14:paraId="24B4A00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2、文化娱乐设施</w:t>
      </w:r>
    </w:p>
    <w:p w14:paraId="406C87B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建立健全“乡镇级—（社区）村级”两级城乡文化服务体系。镇区配置建筑面积不低于1500平方米的综合文化站，中心村配置建筑面积不低于150平方米的小型文化站。</w:t>
      </w:r>
    </w:p>
    <w:p w14:paraId="1E9F100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3、体育设施</w:t>
      </w:r>
    </w:p>
    <w:p w14:paraId="5737D91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构建完善的全民健身公共服务体系，构建“乡镇级—社区（村）级”两级公共体育设施体系，形成层级完善、布局均衡的体育设施服务网络。结合社区公共绿地建设健身活动广场，中心村配置占地面积不得小于500平方米的体育健身场地。</w:t>
      </w:r>
    </w:p>
    <w:p w14:paraId="1490A97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4、医疗卫生设施</w:t>
      </w:r>
    </w:p>
    <w:p w14:paraId="0CC3019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不断推进医疗卫生服务和管理方式创新，逐步形成医院提供急危重症诊疗服务，基层医疗卫生机构提供稳定期、康复期等非急性期患者健康管理、随访服务和健康教育等服务。规划建设“乡镇级—社区（村）级”二级医疗卫生网络设施体系，推进标准化乡镇卫生院，以乡镇（中心）卫生院为基础，发展农村社区卫生服务，持续推进社区卫生服务中心、社区卫生站、村卫生室建设，各中心村设置面积不小于150平方米的村卫生室。</w:t>
      </w:r>
    </w:p>
    <w:p w14:paraId="3020EE4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5、社会福利和社会救助设施</w:t>
      </w:r>
    </w:p>
    <w:p w14:paraId="7A60D26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完善社会救助和服务体系，健全困难群众救助体系，完善基本生活救助、临时救助和专项救助制度体系，健全救助标准动态调整机制，创新社会救助模式。为应对人口老龄化加剧的趋势，规划健全医疗保健及养老设施，配建面积不小于400平方米的社区养老服务站，中心村配置面积不小于300平方米的老年人日间照料中心。</w:t>
      </w:r>
    </w:p>
    <w:p w14:paraId="6F74D2B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6、殡葬服务设施</w:t>
      </w:r>
    </w:p>
    <w:p w14:paraId="6FC4CF4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建设生态化、高品质殡葬设施。至2035年，镇域公益性公墓服务覆盖率达到100%；新增骨灰安置量中的生态节地化比例达到60%以上，科学合理做好殡葬设施布局规划。</w:t>
      </w:r>
    </w:p>
    <w:p w14:paraId="6C4FFEE6">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合理布局镇村商业网点体系</w:t>
      </w:r>
    </w:p>
    <w:p w14:paraId="53F2BB5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落实上级商业体系建设要求，按照“乡镇商贸中心、村村通快递”的目标要求，立足实际，完善乡村商业网点和村级商业网点体系。</w:t>
      </w:r>
    </w:p>
    <w:p w14:paraId="220A915D">
      <w:pPr>
        <w:pStyle w:val="3"/>
        <w:numPr>
          <w:ilvl w:val="0"/>
          <w:numId w:val="8"/>
        </w:numPr>
        <w:spacing w:before="240" w:after="240"/>
        <w:ind w:left="0" w:firstLine="0"/>
        <w:jc w:val="center"/>
        <w:rPr>
          <w:rFonts w:ascii="黑体" w:hAnsi="黑体" w:eastAsia="黑体"/>
          <w:highlight w:val="none"/>
          <w:lang w:eastAsia="zh-CN"/>
        </w:rPr>
      </w:pPr>
      <w:bookmarkStart w:id="40" w:name="_Toc24737"/>
      <w:bookmarkStart w:id="41" w:name="_Hlk150606426"/>
      <w:r>
        <w:rPr>
          <w:rFonts w:hint="eastAsia" w:ascii="黑体" w:hAnsi="黑体" w:eastAsia="黑体"/>
          <w:highlight w:val="none"/>
          <w:lang w:eastAsia="zh-CN"/>
        </w:rPr>
        <w:t>构建区域协同的产业发展格局</w:t>
      </w:r>
      <w:bookmarkEnd w:id="40"/>
    </w:p>
    <w:bookmarkEnd w:id="41"/>
    <w:p w14:paraId="0A776791">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镇域产业空间总体格局</w:t>
      </w:r>
    </w:p>
    <w:p w14:paraId="21CCE3C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构建“两区多点”的镇域产业布局。依托资源禀赋和农业产业基础，进一步加强基础现代高效农业发展，同步推进特色乡村旅游业高质量发展，规划形成区域协同，片区特色发展的镇域产业总体格局。</w:t>
      </w:r>
    </w:p>
    <w:p w14:paraId="3A6BBFB5">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科技赋能农业发展</w:t>
      </w:r>
    </w:p>
    <w:p w14:paraId="52A6460A">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大力发展智慧农业。以科技赋能传统农耕农业、现代绿色农业、生态有机农业，以特色桃梨、黑皮冬瓜和辣椒制种等特色种植基地等为载体，发展都市休闲农业，以农事体验、采摘、休闲等，丰富公共活动体验，打造乡村振兴示范。</w:t>
      </w:r>
    </w:p>
    <w:p w14:paraId="7C517D88">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保障</w:t>
      </w:r>
      <w:r>
        <w:rPr>
          <w:rFonts w:hint="eastAsia" w:eastAsia="仿宋"/>
          <w:w w:val="105"/>
          <w:sz w:val="32"/>
          <w:highlight w:val="none"/>
          <w:lang w:val="en-US" w:eastAsia="zh-CN"/>
        </w:rPr>
        <w:t>乡村</w:t>
      </w:r>
      <w:r>
        <w:rPr>
          <w:rFonts w:hint="eastAsia" w:eastAsia="仿宋"/>
          <w:w w:val="105"/>
          <w:sz w:val="32"/>
          <w:highlight w:val="none"/>
        </w:rPr>
        <w:t>一二三产融合发展用地空间</w:t>
      </w:r>
    </w:p>
    <w:bookmarkEnd w:id="20"/>
    <w:p w14:paraId="5D49D4C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bookmarkStart w:id="42" w:name="_bookmark18"/>
      <w:bookmarkEnd w:id="42"/>
      <w:r>
        <w:rPr>
          <w:rFonts w:hint="eastAsia" w:ascii="Times New Roman" w:hAnsi="Times New Roman" w:eastAsia="仿宋_GB2312" w:cs="Times New Roman"/>
          <w:highlight w:val="none"/>
          <w:lang w:val="en-US" w:eastAsia="zh-CN"/>
        </w:rPr>
        <w:t>规划安排一定的建设用地指标重点保障乡村振兴产业发展用地，对暂时无法明确具体用途的地块留白，预留一定的建设用地规模。积极盘活农村老旧房屋与闲置宅基地，支撑乡村文旅文创、电子商务、冷链物流等新业态发展，引导不适宜农村产业发展的零散工业用地退出或向城镇集聚。鼓励集体经营性建设用地以出让、出租等方式兴办乡村企业，零星、分散的乡村产业项目及其配套的基础设施和公共服务设施建设的，按照“用多少、转（征）多少、供多少”的原则，实施点状供地。</w:t>
      </w:r>
    </w:p>
    <w:p w14:paraId="747582D4">
      <w:pPr>
        <w:widowControl/>
        <w:autoSpaceDE/>
        <w:autoSpaceDN/>
        <w:spacing w:line="360" w:lineRule="auto"/>
        <w:ind w:firstLine="468" w:firstLineChars="213"/>
        <w:rPr>
          <w:rFonts w:ascii="黑体" w:hAnsi="黑体" w:eastAsia="黑体" w:cs="黑体"/>
          <w:b/>
          <w:sz w:val="36"/>
          <w:szCs w:val="36"/>
          <w:highlight w:val="none"/>
        </w:rPr>
      </w:pPr>
      <w:r>
        <w:rPr>
          <w:highlight w:val="none"/>
        </w:rPr>
        <w:br w:type="page"/>
      </w:r>
    </w:p>
    <w:p w14:paraId="5B28EE5C">
      <w:pPr>
        <w:pStyle w:val="2"/>
        <w:spacing w:before="0" w:line="360" w:lineRule="auto"/>
        <w:ind w:left="0" w:firstLine="0"/>
        <w:jc w:val="center"/>
        <w:rPr>
          <w:rFonts w:ascii="方正小标宋_GBK" w:hAnsi="方正小标宋_GBK" w:eastAsia="方正小标宋_GBK"/>
          <w:spacing w:val="5"/>
          <w:highlight w:val="none"/>
        </w:rPr>
      </w:pPr>
      <w:bookmarkStart w:id="43" w:name="_Toc166340624"/>
      <w:bookmarkStart w:id="44" w:name="_Toc23959"/>
      <w:r>
        <w:rPr>
          <w:rFonts w:hint="eastAsia" w:ascii="方正小标宋_GBK" w:hAnsi="方正小标宋_GBK" w:eastAsia="方正小标宋_GBK"/>
          <w:spacing w:val="5"/>
          <w:highlight w:val="none"/>
        </w:rPr>
        <w:t>统筹基础设施布局，</w:t>
      </w:r>
      <w:bookmarkEnd w:id="43"/>
      <w:r>
        <w:rPr>
          <w:rFonts w:hint="eastAsia" w:ascii="方正小标宋_GBK" w:hAnsi="方正小标宋_GBK" w:eastAsia="方正小标宋_GBK"/>
          <w:spacing w:val="5"/>
          <w:highlight w:val="none"/>
        </w:rPr>
        <w:t>提升设施保障能力</w:t>
      </w:r>
      <w:bookmarkEnd w:id="44"/>
      <w:r>
        <w:rPr>
          <w:rFonts w:hint="eastAsia" w:ascii="方正小标宋_GBK" w:hAnsi="方正小标宋_GBK" w:eastAsia="方正小标宋_GBK"/>
          <w:spacing w:val="5"/>
          <w:highlight w:val="none"/>
        </w:rPr>
        <w:t xml:space="preserve"> </w:t>
      </w:r>
    </w:p>
    <w:p w14:paraId="4C4D164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bookmarkStart w:id="45" w:name="_bookmark22"/>
      <w:bookmarkEnd w:id="45"/>
      <w:r>
        <w:rPr>
          <w:rFonts w:hint="eastAsia" w:ascii="Times New Roman" w:hAnsi="Times New Roman" w:eastAsia="仿宋_GB2312" w:cs="Times New Roman"/>
          <w:highlight w:val="none"/>
          <w:lang w:val="en-US" w:eastAsia="zh-CN"/>
        </w:rPr>
        <w:t>构建“外通内联、快速畅通、绿色智慧、安全便捷”的现代化综合交通运输体系。坚持生态优先、绿色发展，建设更高水平、更有效率的基础设施系统。鼓励提升安全保障能力，提高城镇综合应急保障水平。</w:t>
      </w:r>
    </w:p>
    <w:p w14:paraId="445BF62F">
      <w:pPr>
        <w:pStyle w:val="3"/>
        <w:numPr>
          <w:ilvl w:val="0"/>
          <w:numId w:val="9"/>
        </w:numPr>
        <w:spacing w:before="240" w:after="240"/>
        <w:ind w:left="0" w:firstLine="0"/>
        <w:jc w:val="center"/>
        <w:rPr>
          <w:rFonts w:ascii="黑体" w:hAnsi="黑体" w:eastAsia="黑体"/>
          <w:highlight w:val="none"/>
          <w:lang w:eastAsia="zh-CN"/>
        </w:rPr>
      </w:pPr>
      <w:bookmarkStart w:id="46" w:name="_bookmark19"/>
      <w:bookmarkEnd w:id="46"/>
      <w:bookmarkStart w:id="47" w:name="_Toc152782109"/>
      <w:bookmarkStart w:id="48" w:name="_Toc30561"/>
      <w:r>
        <w:rPr>
          <w:rFonts w:hint="eastAsia" w:ascii="黑体" w:hAnsi="黑体" w:eastAsia="黑体"/>
          <w:highlight w:val="none"/>
          <w:lang w:eastAsia="zh-CN"/>
        </w:rPr>
        <w:t>发展绿色低碳智慧交通</w:t>
      </w:r>
      <w:bookmarkEnd w:id="47"/>
      <w:bookmarkEnd w:id="48"/>
    </w:p>
    <w:p w14:paraId="17004DDB">
      <w:pPr>
        <w:pStyle w:val="46"/>
        <w:spacing w:before="0" w:line="360" w:lineRule="auto"/>
        <w:ind w:left="0" w:right="108" w:firstLine="675" w:firstLineChars="200"/>
        <w:rPr>
          <w:rFonts w:eastAsia="仿宋"/>
          <w:w w:val="105"/>
          <w:sz w:val="32"/>
          <w:highlight w:val="none"/>
        </w:rPr>
      </w:pPr>
      <w:bookmarkStart w:id="49" w:name="_Hlk150612789"/>
      <w:r>
        <w:rPr>
          <w:rFonts w:hint="eastAsia" w:eastAsia="仿宋"/>
          <w:w w:val="105"/>
          <w:sz w:val="32"/>
          <w:highlight w:val="none"/>
        </w:rPr>
        <w:t>落实区域性交通设施线</w:t>
      </w:r>
    </w:p>
    <w:bookmarkEnd w:id="49"/>
    <w:p w14:paraId="01B789C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依托高速公路、国道、省道、城镇快速路打造多通道复合快速衔接系统，提升镇域干线公路服务水平，构建便捷通畅的乡村骨干公路网络和普惠公平的乡村基础公路网络。</w:t>
      </w:r>
    </w:p>
    <w:p w14:paraId="792E3CA2">
      <w:pPr>
        <w:pStyle w:val="13"/>
        <w:spacing w:before="0" w:beforeLines="0" w:line="360" w:lineRule="auto"/>
        <w:ind w:left="110" w:right="110" w:firstLine="80"/>
        <w:rPr>
          <w:sz w:val="4"/>
          <w:highlight w:val="none"/>
        </w:rPr>
      </w:pPr>
    </w:p>
    <w:p w14:paraId="7DD917C6">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完善城乡道路交通系统</w:t>
      </w:r>
    </w:p>
    <w:p w14:paraId="0C7200B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在镇域范围内构建“四横两纵”的主干道路交通体系。东西向为徐州-商丘高速、国道310、省道302、县道304，南北向为县道016、县道223。</w:t>
      </w:r>
    </w:p>
    <w:p w14:paraId="3B598DD8">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优化镇域公共交通系统</w:t>
      </w:r>
    </w:p>
    <w:p w14:paraId="75A367B7">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打造“枢纽站—普通站”两级公交服务站点，结合枢纽站设置慢行接驳设施。规划加强公交枢纽站与下辖各村的交通联系，在镇域范围内补充完善各社区的停靠站点，方便居民出行。</w:t>
      </w:r>
    </w:p>
    <w:p w14:paraId="18CEC5ED">
      <w:pPr>
        <w:pStyle w:val="3"/>
        <w:numPr>
          <w:ilvl w:val="0"/>
          <w:numId w:val="9"/>
        </w:numPr>
        <w:spacing w:before="240" w:after="240"/>
        <w:ind w:left="0" w:firstLine="0"/>
        <w:jc w:val="center"/>
        <w:rPr>
          <w:rFonts w:ascii="黑体" w:hAnsi="黑体" w:eastAsia="黑体"/>
          <w:highlight w:val="none"/>
          <w:lang w:eastAsia="zh-CN"/>
        </w:rPr>
      </w:pPr>
      <w:bookmarkStart w:id="50" w:name="_bookmark20"/>
      <w:bookmarkEnd w:id="50"/>
      <w:bookmarkStart w:id="51" w:name="_bookmark21"/>
      <w:bookmarkEnd w:id="51"/>
      <w:bookmarkStart w:id="52" w:name="_Toc152782110"/>
      <w:bookmarkStart w:id="53" w:name="_Toc25587"/>
      <w:r>
        <w:rPr>
          <w:rFonts w:hint="eastAsia" w:ascii="黑体" w:hAnsi="黑体" w:eastAsia="黑体"/>
          <w:highlight w:val="none"/>
          <w:lang w:eastAsia="zh-CN"/>
        </w:rPr>
        <w:t>建设绿色韧性市政基础设施</w:t>
      </w:r>
      <w:bookmarkEnd w:id="52"/>
      <w:bookmarkEnd w:id="53"/>
    </w:p>
    <w:p w14:paraId="4F8BE50C">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打造全域覆盖的供水网络</w:t>
      </w:r>
    </w:p>
    <w:p w14:paraId="44DECFE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坚持以水定城、以水定地、以水定人、以水定产，实行最严格水资源管理制度，优化农业用水结构，完善更新供水设施，公共供水普及率达到100%，逐步提高再生水、雨洪水等非常规水源的利用水平，构建安全、稳定、高效的供水系统。</w:t>
      </w:r>
    </w:p>
    <w:p w14:paraId="32DBBDB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b w:val="0"/>
          <w:bCs w:val="0"/>
          <w:highlight w:val="none"/>
          <w:lang w:val="en-US" w:eastAsia="zh-CN"/>
        </w:rPr>
        <w:t>建设互联互通的供水网络。落实区域供水一体化工程，置换地下水源，</w:t>
      </w:r>
      <w:r>
        <w:rPr>
          <w:rFonts w:hint="eastAsia" w:ascii="Times New Roman" w:hAnsi="Times New Roman" w:eastAsia="仿宋_GB2312" w:cs="Times New Roman"/>
          <w:bCs w:val="0"/>
          <w:szCs w:val="32"/>
          <w:highlight w:val="none"/>
          <w:lang w:val="en-US" w:eastAsia="zh-CN"/>
        </w:rPr>
        <w:t>由新庄水厂统一供水</w:t>
      </w:r>
      <w:r>
        <w:rPr>
          <w:rFonts w:hint="eastAsia" w:ascii="Times New Roman" w:hAnsi="Times New Roman" w:eastAsia="仿宋_GB2312" w:cs="Times New Roman"/>
          <w:highlight w:val="none"/>
          <w:lang w:val="en-US" w:eastAsia="zh-CN"/>
        </w:rPr>
        <w:t>，保障镇域生活用水和生产用水。</w:t>
      </w:r>
    </w:p>
    <w:p w14:paraId="330B0B8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b w:val="0"/>
          <w:bCs w:val="0"/>
          <w:highlight w:val="none"/>
          <w:lang w:val="en-US" w:eastAsia="zh-CN"/>
        </w:rPr>
        <w:t>加强地下水保护。</w:t>
      </w:r>
      <w:r>
        <w:rPr>
          <w:rFonts w:hint="eastAsia" w:ascii="Times New Roman" w:hAnsi="Times New Roman" w:eastAsia="仿宋_GB2312" w:cs="Times New Roman"/>
          <w:highlight w:val="none"/>
          <w:lang w:val="en-US" w:eastAsia="zh-CN"/>
        </w:rPr>
        <w:t>严格控制地下水开采，加强农业点源、面源污染控制，保护地下水生态环境。</w:t>
      </w:r>
    </w:p>
    <w:p w14:paraId="49C5E3E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完善供水管网建设。按照城乡统筹、资源共享的规划原则，随着新型农村社区建设的深入，村庄规模的集聚，将逐步实现全镇统一供水。</w:t>
      </w:r>
    </w:p>
    <w:p w14:paraId="47C5E98B">
      <w:pPr>
        <w:pStyle w:val="46"/>
        <w:spacing w:before="0" w:line="360" w:lineRule="auto"/>
        <w:ind w:left="0" w:right="108" w:firstLine="675" w:firstLineChars="200"/>
        <w:rPr>
          <w:rFonts w:eastAsia="仿宋"/>
          <w:w w:val="105"/>
          <w:sz w:val="32"/>
          <w:highlight w:val="none"/>
          <w:lang w:val="en-US" w:eastAsia="zh-CN"/>
        </w:rPr>
      </w:pPr>
      <w:r>
        <w:rPr>
          <w:rFonts w:hint="eastAsia" w:eastAsia="仿宋"/>
          <w:w w:val="105"/>
          <w:sz w:val="32"/>
          <w:highlight w:val="none"/>
          <w:lang w:val="en-US" w:eastAsia="zh-CN"/>
        </w:rPr>
        <w:t>建设完善雨污排放系统</w:t>
      </w:r>
    </w:p>
    <w:p w14:paraId="0E9D494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加快污水处理设施及配套管网建设，提高再生水利用率，污水处理率达到99%以上，污水管网覆盖率达到100%。</w:t>
      </w:r>
    </w:p>
    <w:p w14:paraId="4311AD3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靠近镇区的中心村和基层村的生活污水，可一并纳入城镇污水处理系统。远离镇区的中心村的和基层村，应尽可能集中分片地解决污水处理问题。</w:t>
      </w:r>
    </w:p>
    <w:p w14:paraId="18300C0D">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构建全域覆盖的</w:t>
      </w:r>
      <w:r>
        <w:rPr>
          <w:rFonts w:hint="eastAsia" w:eastAsia="仿宋"/>
          <w:w w:val="105"/>
          <w:sz w:val="32"/>
          <w:highlight w:val="none"/>
        </w:rPr>
        <w:t>环卫系统</w:t>
      </w:r>
    </w:p>
    <w:p w14:paraId="064B111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到2035年，全镇垃圾无害化处理率达到100%，垃圾资源化回收利用率大于40%。生活垃圾实行源头分类收集，可回收垃圾应进行资源化利用，不可回收垃圾经统一收集后，转运至县</w:t>
      </w:r>
      <w:r>
        <w:rPr>
          <w:rFonts w:hint="eastAsia" w:ascii="Times New Roman" w:hAnsi="Times New Roman" w:eastAsia="仿宋_GB2312" w:cs="Times New Roman"/>
          <w:kern w:val="0"/>
          <w:sz w:val="32"/>
          <w:szCs w:val="32"/>
          <w:highlight w:val="none"/>
          <w:lang w:val="en-US" w:eastAsia="zh-CN"/>
        </w:rPr>
        <w:t>垃圾焚烧场</w:t>
      </w:r>
      <w:r>
        <w:rPr>
          <w:rFonts w:hint="eastAsia" w:ascii="Times New Roman" w:hAnsi="Times New Roman" w:eastAsia="仿宋_GB2312" w:cs="Times New Roman"/>
          <w:highlight w:val="none"/>
          <w:lang w:val="en-US" w:eastAsia="zh-CN"/>
        </w:rPr>
        <w:t>统一处理。</w:t>
      </w:r>
    </w:p>
    <w:p w14:paraId="08DC367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厨余垃圾和有害垃圾统一进行无害化处理。结合城镇功能布局合理设置转运站、基层环卫机构、环卫车队等环卫设施。农村居民点按60～100米的服务半径布置垃圾收集点。</w:t>
      </w:r>
    </w:p>
    <w:p w14:paraId="03223E2A">
      <w:pPr>
        <w:pStyle w:val="46"/>
        <w:spacing w:before="0" w:line="360" w:lineRule="auto"/>
        <w:ind w:left="0" w:right="108" w:firstLine="675" w:firstLineChars="200"/>
        <w:rPr>
          <w:rFonts w:eastAsia="仿宋"/>
          <w:w w:val="105"/>
          <w:sz w:val="32"/>
          <w:highlight w:val="none"/>
          <w:lang w:val="en-US" w:eastAsia="zh-CN"/>
        </w:rPr>
      </w:pPr>
      <w:r>
        <w:rPr>
          <w:rFonts w:hint="eastAsia" w:eastAsia="仿宋"/>
          <w:w w:val="105"/>
          <w:sz w:val="32"/>
          <w:highlight w:val="none"/>
          <w:lang w:val="en-US" w:eastAsia="zh-CN"/>
        </w:rPr>
        <w:t>建设多源保障的供电网络</w:t>
      </w:r>
    </w:p>
    <w:p w14:paraId="53B776F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聚焦“新基建”，拉高标杆，构建多元多向、坚强可靠、调度灵活、运行经济的高质量绿色智能电网系统，构建“多能互补”的电力供给新格局。以保证乡镇、中心村及各基层村的电力供给。各中心村设10千伏开闭所，基层村设变配电房，以减少线损，并保证产业生产、居民生活和抗旱排涝的需要。</w:t>
      </w:r>
    </w:p>
    <w:p w14:paraId="405B09C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进一步加强电力建设和电网改造，保持电力线沿主要公路架线的方式，在部分路段对现有电力线进行改造或增设，使电网布局更加合理可靠，进一步提高供电能力。</w:t>
      </w:r>
    </w:p>
    <w:p w14:paraId="7F928B9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加强高压廊道建设与管控。新建高压线路宜结合现状高压线路并廊建设，对镇域内220kV和110kV线路廊道进行控制，边导线防护距离分别不小于15米和10米。镇区线路沿镇区内主次道路布置，村供电线路沿公路、村庄道路布置，采用同杆并架的架设方式，减少交叉、跨越、避免对弱电的干扰。</w:t>
      </w:r>
    </w:p>
    <w:p w14:paraId="34028643">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构建区域一体的天然气供应保障体系</w:t>
      </w:r>
    </w:p>
    <w:p w14:paraId="5FE580C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贯彻“多站连线，各线成环，多环并网”策略，落实区域高压集输管网“一张网”、气源“资源共享”理念，形成以天然气为主，液化石油气为补充的多气源格局，提高然气供应保障能力。农村居民点积极推广使用罐装液化石油气，加强对液化石油气储存、充装、运输过程中的管理，规范操作，消除安全隐患。</w:t>
      </w:r>
    </w:p>
    <w:p w14:paraId="028ADE64">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支持智慧高效的</w:t>
      </w:r>
      <w:r>
        <w:rPr>
          <w:rFonts w:hint="eastAsia" w:eastAsia="仿宋"/>
          <w:w w:val="105"/>
          <w:sz w:val="32"/>
          <w:highlight w:val="none"/>
        </w:rPr>
        <w:t>通</w:t>
      </w:r>
      <w:r>
        <w:rPr>
          <w:rFonts w:hint="eastAsia" w:eastAsia="仿宋"/>
          <w:w w:val="105"/>
          <w:sz w:val="32"/>
          <w:highlight w:val="none"/>
          <w:lang w:val="en-US" w:eastAsia="zh-CN"/>
        </w:rPr>
        <w:t>讯设施建设</w:t>
      </w:r>
    </w:p>
    <w:p w14:paraId="2482525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规划采取“高起点、高层次”的建设方针，扩大镇区电信支局规模和服务能力，以适应社会和经济发展。加强邮政设施建设，逐步采用先进的邮政处理手段。</w:t>
      </w:r>
    </w:p>
    <w:p w14:paraId="369E577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完善邮政网点设施布局。在镇区设邮政所，在中心村设邮政代办点，保证服务覆盖整个镇域。</w:t>
      </w:r>
    </w:p>
    <w:p w14:paraId="738E11A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推进5G和宽带网络建设，加快新一代光传输网、新一代小（微）基站建设，增加5G基站布局，实现重点区域5G网络全覆盖，到2035年，家庭千兆光纤网络覆盖率达到100%。</w:t>
      </w:r>
    </w:p>
    <w:p w14:paraId="2C47E798">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加快有线电视的建设，同时实现村村通有线电视，拓宽农民获取致富信息的渠道，为广大群众提供全方位、多层次信息服务。</w:t>
      </w:r>
    </w:p>
    <w:p w14:paraId="5D8C8769">
      <w:pPr>
        <w:pStyle w:val="3"/>
        <w:numPr>
          <w:ilvl w:val="0"/>
          <w:numId w:val="9"/>
        </w:numPr>
        <w:spacing w:before="240" w:after="240"/>
        <w:ind w:left="0" w:firstLine="0"/>
        <w:jc w:val="center"/>
        <w:rPr>
          <w:rFonts w:ascii="黑体" w:hAnsi="黑体" w:eastAsia="黑体"/>
          <w:highlight w:val="none"/>
          <w:lang w:eastAsia="zh-CN"/>
        </w:rPr>
      </w:pPr>
      <w:bookmarkStart w:id="54" w:name="_bookmark23"/>
      <w:bookmarkEnd w:id="54"/>
      <w:bookmarkStart w:id="55" w:name="_Toc152782111"/>
      <w:bookmarkStart w:id="56" w:name="_Toc27801"/>
      <w:r>
        <w:rPr>
          <w:rFonts w:hint="eastAsia" w:ascii="黑体" w:hAnsi="黑体" w:eastAsia="黑体"/>
          <w:highlight w:val="none"/>
          <w:lang w:eastAsia="zh-CN"/>
        </w:rPr>
        <w:t>构建综合防灾设施体系</w:t>
      </w:r>
      <w:bookmarkEnd w:id="55"/>
      <w:bookmarkEnd w:id="56"/>
    </w:p>
    <w:p w14:paraId="7333B523">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建设综合应急管理体系</w:t>
      </w:r>
    </w:p>
    <w:p w14:paraId="21B8F26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坚持政府主导与社会参与相结合，坚持以防为主、防抗救相结合，坚持常态减灾和非常态救灾相统一，针对自然灾害和城镇运行安全、公共安全领域的突发事件，高标准规划建设重大防灾减灾基础设施，全面提升监测预警、预防救援、应急处置、危机管理等综合防范能力，形成全天候、系统性、现代化的城镇安全保障体系。</w:t>
      </w:r>
    </w:p>
    <w:p w14:paraId="4F394365">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加强抗震设防体系建设</w:t>
      </w:r>
    </w:p>
    <w:p w14:paraId="62DB66E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u w:val="single"/>
          <w:lang w:val="en-US" w:eastAsia="zh-CN"/>
        </w:rPr>
        <w:t>按地震基本烈度Ⅶ度要求设防。</w:t>
      </w:r>
      <w:r>
        <w:rPr>
          <w:rFonts w:hint="eastAsia" w:ascii="Times New Roman" w:hAnsi="Times New Roman" w:eastAsia="仿宋_GB2312" w:cs="Times New Roman"/>
          <w:highlight w:val="none"/>
          <w:lang w:val="en-US" w:eastAsia="zh-CN"/>
        </w:rPr>
        <w:t>新建、改建、扩建工程严格执行抗震设防标准。重大建设工程、可能发生严重次生灾害的建设工程，应当进行地震安全性评价，并按照经审定的地震安全性评价报告确定的抗震设防要求进行抗震设防。学校、医院、生命线系统等关键设施以及避难建筑、应急指挥中心等城镇要害系统，应当在本地抗震设防标准的基础上提高一档进行抗震设防。</w:t>
      </w:r>
    </w:p>
    <w:p w14:paraId="1608D89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逐步开展对现状尚未采取抗震设防措施或抗震设防措施未达到抗震设防要求的建设工程的抗震性能鉴定，对镇区抗震性能不达标建筑逐步进行抗震加固，采取措施提高抗震能力。</w:t>
      </w:r>
    </w:p>
    <w:p w14:paraId="6C69AC56">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应急避难场所。绿地、广场、学校的开敞地带、较宽的道路应作为灾害时期的疏散场地。集中成片的居住区，规划建设中应留出一定的小区绿地，以作为应急避难场所。</w:t>
      </w:r>
    </w:p>
    <w:p w14:paraId="2D0541C6">
      <w:pPr>
        <w:pStyle w:val="46"/>
        <w:spacing w:before="0" w:line="360" w:lineRule="auto"/>
        <w:ind w:left="0" w:right="108" w:firstLine="675" w:firstLineChars="200"/>
        <w:rPr>
          <w:rFonts w:eastAsia="仿宋"/>
          <w:w w:val="105"/>
          <w:sz w:val="32"/>
          <w:highlight w:val="none"/>
          <w:lang w:val="en-US" w:eastAsia="zh-CN"/>
        </w:rPr>
      </w:pPr>
      <w:r>
        <w:rPr>
          <w:rFonts w:hint="eastAsia" w:eastAsia="仿宋"/>
          <w:w w:val="105"/>
          <w:sz w:val="32"/>
          <w:highlight w:val="none"/>
          <w:lang w:val="en-US" w:eastAsia="zh-CN"/>
        </w:rPr>
        <w:t>区域统筹防洪设施建设</w:t>
      </w:r>
    </w:p>
    <w:p w14:paraId="3DB91D6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u w:val="single"/>
          <w:lang w:val="en-US" w:eastAsia="zh-CN"/>
        </w:rPr>
        <w:t>乡镇防洪标准为20年一遇设防。</w:t>
      </w:r>
      <w:r>
        <w:rPr>
          <w:rFonts w:hint="eastAsia" w:ascii="Times New Roman" w:hAnsi="Times New Roman" w:eastAsia="仿宋_GB2312" w:cs="Times New Roman"/>
          <w:highlight w:val="none"/>
          <w:lang w:val="en-US" w:eastAsia="zh-CN"/>
        </w:rPr>
        <w:t>在河道水系基本保持现状的情况下，对骨干河道进行梳理和整治，使镇域内河道疏通，并按近期防洪要求进行加固。河道按照内河湖水库管理范围线进行管控，防洪堤的设计可以与防护绿廊相结合，以美化环境。定期疏竣河道，提高河道蓄洪和排涝能力。</w:t>
      </w:r>
    </w:p>
    <w:p w14:paraId="01A8BA8E">
      <w:pPr>
        <w:pStyle w:val="46"/>
        <w:spacing w:before="0" w:line="360" w:lineRule="auto"/>
        <w:ind w:left="0" w:right="108" w:firstLine="675" w:firstLineChars="200"/>
        <w:rPr>
          <w:rFonts w:eastAsia="仿宋"/>
          <w:w w:val="105"/>
          <w:sz w:val="32"/>
          <w:highlight w:val="none"/>
          <w:lang w:val="en-US" w:eastAsia="zh-CN"/>
        </w:rPr>
      </w:pPr>
      <w:r>
        <w:rPr>
          <w:rFonts w:hint="eastAsia" w:eastAsia="仿宋"/>
          <w:w w:val="105"/>
          <w:sz w:val="32"/>
          <w:highlight w:val="none"/>
          <w:lang w:val="en-US" w:eastAsia="zh-CN"/>
        </w:rPr>
        <w:t>打造全域覆盖的消防体系</w:t>
      </w:r>
    </w:p>
    <w:p w14:paraId="4109826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贯彻预防为主、防消结合的方针，构建“立体综合、覆盖全域”的消防安全体系和应急救援体系。提升区域消防安全和应急救援保障能力，加强消防供水、消防通信等消防公共基础设施建设，并依托消防部门成立综合应急救援队伍，提高公众消防安全素质，营造高质量的消防安全环境。</w:t>
      </w:r>
    </w:p>
    <w:p w14:paraId="24DD42DA">
      <w:pPr>
        <w:pStyle w:val="3"/>
        <w:numPr>
          <w:ilvl w:val="0"/>
          <w:numId w:val="9"/>
        </w:numPr>
        <w:spacing w:before="240" w:after="240"/>
        <w:ind w:left="0" w:firstLine="0"/>
        <w:jc w:val="center"/>
        <w:rPr>
          <w:rFonts w:ascii="黑体" w:hAnsi="黑体" w:eastAsia="黑体"/>
          <w:highlight w:val="none"/>
          <w:lang w:eastAsia="zh-CN"/>
        </w:rPr>
      </w:pPr>
      <w:bookmarkStart w:id="57" w:name="_Toc13061"/>
      <w:r>
        <w:rPr>
          <w:rFonts w:hint="eastAsia" w:ascii="黑体" w:hAnsi="黑体" w:eastAsia="黑体"/>
          <w:highlight w:val="none"/>
          <w:lang w:eastAsia="zh-CN"/>
        </w:rPr>
        <w:t>提升应对重大疫情风险能力</w:t>
      </w:r>
      <w:bookmarkEnd w:id="57"/>
    </w:p>
    <w:p w14:paraId="575A6D6D">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完善完善疾病预防控制体系</w:t>
      </w:r>
    </w:p>
    <w:p w14:paraId="4324CC5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在现有社会治理、医疗和公共卫生设施布局基础上，依托镇区和社区网格化管理，参照防灾分区和行政管理单元，结合公共卫生风险和健康影响评估，科学划定防疫分区和防疫单元，分区分级分类统筹资源配置。</w:t>
      </w:r>
    </w:p>
    <w:p w14:paraId="75BFBBA2">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提升重大疫情救治能力</w:t>
      </w:r>
    </w:p>
    <w:p w14:paraId="578E1F2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夯实网底，提升基层卫生机构防治能力。按照人口规模，查漏补缺，补齐基层卫生机构缺口。通过加强标准化建设等方式，在加强防控能力前提下，提高基层卫生机构的救治能力。</w:t>
      </w:r>
    </w:p>
    <w:p w14:paraId="024CF069">
      <w:pPr>
        <w:pStyle w:val="46"/>
        <w:spacing w:before="0" w:line="360" w:lineRule="auto"/>
        <w:ind w:left="0" w:right="108" w:firstLine="675" w:firstLineChars="200"/>
        <w:rPr>
          <w:rFonts w:eastAsia="仿宋"/>
          <w:w w:val="105"/>
          <w:sz w:val="32"/>
          <w:highlight w:val="none"/>
          <w:lang w:val="en-US" w:eastAsia="zh-CN"/>
        </w:rPr>
      </w:pPr>
      <w:r>
        <w:rPr>
          <w:rFonts w:hint="eastAsia" w:eastAsia="仿宋"/>
          <w:w w:val="105"/>
          <w:sz w:val="32"/>
          <w:highlight w:val="none"/>
          <w:lang w:val="en-US" w:eastAsia="zh-CN"/>
        </w:rPr>
        <w:t>科学谋划重大“平急两用”设施布局</w:t>
      </w:r>
    </w:p>
    <w:p w14:paraId="5CAFA131">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依托社区服务中心、广场、公园、文旅设施和党群服务中心组成平急应急空间。根据不同响应等级、在不同空间范围内配置不同规模的设施，同时考虑设施的平灾结合性、个体可达性与共享性。</w:t>
      </w:r>
    </w:p>
    <w:p w14:paraId="58C7C5B8">
      <w:pPr>
        <w:pStyle w:val="13"/>
        <w:autoSpaceDE/>
        <w:autoSpaceDN/>
        <w:spacing w:beforeLines="0"/>
        <w:ind w:left="110" w:right="110" w:firstLine="681" w:firstLineChars="213"/>
        <w:contextualSpacing/>
        <w:rPr>
          <w:rFonts w:ascii="Times New Roman" w:hAnsi="Times New Roman" w:eastAsia="仿宋_GB2312" w:cs="Times New Roman"/>
          <w:highlight w:val="none"/>
          <w:lang w:val="en-US" w:eastAsia="zh-CN"/>
        </w:rPr>
        <w:sectPr>
          <w:pgSz w:w="11910" w:h="16850"/>
          <w:pgMar w:top="1360" w:right="1380" w:bottom="1640" w:left="1560" w:header="645" w:footer="1443" w:gutter="0"/>
          <w:cols w:space="720" w:num="1"/>
        </w:sectPr>
      </w:pPr>
    </w:p>
    <w:p w14:paraId="02F90A6D">
      <w:pPr>
        <w:pStyle w:val="2"/>
        <w:spacing w:before="0" w:line="360" w:lineRule="auto"/>
        <w:ind w:left="0" w:firstLine="0"/>
        <w:jc w:val="center"/>
        <w:rPr>
          <w:rFonts w:ascii="方正小标宋_GBK" w:hAnsi="方正小标宋_GBK" w:eastAsia="方正小标宋_GBK"/>
          <w:spacing w:val="5"/>
          <w:highlight w:val="none"/>
          <w:lang w:eastAsia="zh-CN"/>
        </w:rPr>
      </w:pPr>
      <w:bookmarkStart w:id="58" w:name="_bookmark25"/>
      <w:bookmarkEnd w:id="58"/>
      <w:bookmarkStart w:id="59" w:name="_Toc7261"/>
      <w:r>
        <w:rPr>
          <w:rFonts w:hint="eastAsia" w:ascii="方正小标宋_GBK" w:hAnsi="方正小标宋_GBK" w:eastAsia="方正小标宋_GBK"/>
          <w:spacing w:val="5"/>
          <w:highlight w:val="none"/>
        </w:rPr>
        <w:t>传承历史文化</w:t>
      </w:r>
      <w:r>
        <w:rPr>
          <w:rFonts w:ascii="方正小标宋_GBK" w:hAnsi="方正小标宋_GBK" w:eastAsia="方正小标宋_GBK"/>
          <w:spacing w:val="5"/>
          <w:highlight w:val="none"/>
        </w:rPr>
        <w:t>，塑造特色风貌</w:t>
      </w:r>
      <w:bookmarkEnd w:id="59"/>
    </w:p>
    <w:p w14:paraId="27119E43">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加大闫集镇文物和文化遗产保护力度，加强历史文化保护传承，构建覆盖全域的历史文化保护体系。</w:t>
      </w:r>
    </w:p>
    <w:p w14:paraId="69F13FB0">
      <w:pPr>
        <w:pStyle w:val="3"/>
        <w:numPr>
          <w:ilvl w:val="0"/>
          <w:numId w:val="10"/>
        </w:numPr>
        <w:spacing w:before="240" w:after="240"/>
        <w:ind w:left="0" w:firstLine="0"/>
        <w:jc w:val="center"/>
        <w:rPr>
          <w:rFonts w:ascii="黑体" w:hAnsi="黑体" w:eastAsia="黑体"/>
          <w:highlight w:val="none"/>
          <w:lang w:eastAsia="zh-CN"/>
        </w:rPr>
      </w:pPr>
      <w:bookmarkStart w:id="60" w:name="_Toc20845"/>
      <w:r>
        <w:rPr>
          <w:rFonts w:hint="eastAsia" w:ascii="黑体" w:hAnsi="黑体" w:eastAsia="黑体"/>
          <w:highlight w:val="none"/>
          <w:lang w:eastAsia="zh-CN"/>
        </w:rPr>
        <w:t>保护利用历史文化遗产</w:t>
      </w:r>
      <w:bookmarkEnd w:id="60"/>
    </w:p>
    <w:p w14:paraId="6725417D">
      <w:pPr>
        <w:pStyle w:val="46"/>
        <w:spacing w:before="0" w:line="360" w:lineRule="auto"/>
        <w:ind w:left="0" w:right="108" w:firstLine="675" w:firstLineChars="200"/>
        <w:rPr>
          <w:rFonts w:eastAsia="仿宋"/>
          <w:w w:val="105"/>
          <w:sz w:val="32"/>
          <w:highlight w:val="none"/>
          <w:lang w:val="en-US" w:eastAsia="zh-CN"/>
        </w:rPr>
      </w:pPr>
      <w:bookmarkStart w:id="61" w:name="_Hlk171686827"/>
      <w:r>
        <w:rPr>
          <w:rFonts w:hint="eastAsia" w:eastAsia="仿宋"/>
          <w:w w:val="105"/>
          <w:sz w:val="32"/>
          <w:highlight w:val="none"/>
          <w:lang w:val="en-US" w:eastAsia="zh-CN"/>
        </w:rPr>
        <w:t>完善城乡历史文化保护传承体系</w:t>
      </w:r>
    </w:p>
    <w:p w14:paraId="1B4E509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尊重历史文化要素分布规律，全面保护镇域文物保护单位、历史建筑等历史文化遗产，建立各类历史文化保护对象全域普查、定期评估机制，加快认定公布保护对象，编制城乡历史文化保护传承方案和管理办法，划定保护范围，明确建设控制要求。构建以文物保护单位、历史建筑、一般文物保护点为核心的历史文化保护传承体系，系统保护和活化利用好历史文化遗产、自然遗产和丰富多样的景观资源，保障文化产业发展空间，在保证历史文化遗存的真实性和完整性的提前下适当发展文化旅游功能。</w:t>
      </w:r>
    </w:p>
    <w:bookmarkEnd w:id="61"/>
    <w:p w14:paraId="2676BE8C">
      <w:pPr>
        <w:pStyle w:val="46"/>
        <w:spacing w:before="0" w:line="360" w:lineRule="auto"/>
        <w:ind w:left="0" w:right="108" w:firstLine="675" w:firstLineChars="200"/>
        <w:rPr>
          <w:rFonts w:eastAsia="仿宋"/>
          <w:w w:val="105"/>
          <w:sz w:val="32"/>
          <w:highlight w:val="none"/>
          <w:lang w:val="en-US" w:eastAsia="zh-CN"/>
        </w:rPr>
      </w:pPr>
      <w:r>
        <w:rPr>
          <w:rFonts w:hint="eastAsia" w:eastAsia="仿宋"/>
          <w:w w:val="105"/>
          <w:sz w:val="32"/>
          <w:highlight w:val="none"/>
          <w:lang w:val="en-US" w:eastAsia="zh-CN"/>
        </w:rPr>
        <w:t>划定历史文化保护线</w:t>
      </w:r>
    </w:p>
    <w:p w14:paraId="3478C6D8">
      <w:pPr>
        <w:pStyle w:val="13"/>
        <w:autoSpaceDE/>
        <w:autoSpaceDN/>
        <w:spacing w:before="0" w:beforeLines="0" w:line="360" w:lineRule="auto"/>
        <w:ind w:left="0" w:leftChars="0" w:right="0" w:rightChars="0" w:firstLine="640" w:firstLineChars="0"/>
        <w:contextualSpacing/>
        <w:rPr>
          <w:highlight w:val="none"/>
          <w:lang w:val="en-US" w:eastAsia="zh-CN"/>
        </w:rPr>
      </w:pPr>
      <w:r>
        <w:rPr>
          <w:rFonts w:hint="eastAsia" w:ascii="Times New Roman" w:hAnsi="Times New Roman" w:eastAsia="仿宋_GB2312" w:cs="Times New Roman"/>
          <w:color w:val="auto"/>
          <w:highlight w:val="none"/>
          <w:lang w:val="en-US" w:eastAsia="zh-CN"/>
        </w:rPr>
        <w:t>闫集镇暂无文保单位、历史建筑等资源。规划挖掘本地历史文化、红色文化等非物质文化资源，</w:t>
      </w:r>
      <w:r>
        <w:rPr>
          <w:rFonts w:hint="eastAsia" w:ascii="Times New Roman" w:hAnsi="Times New Roman" w:eastAsia="仿宋_GB2312" w:cs="Times New Roman"/>
          <w:highlight w:val="none"/>
          <w:lang w:val="en-US" w:eastAsia="zh-CN"/>
        </w:rPr>
        <w:t>规划期限内公布且划定保护范围的文物保护单位、历史建筑，逐步纳入历史文化保护线。落实保护责任主体，明确管理保护要求，对各类保护对象进行定期体检，同时对历史名录进行长期动态维护，对保护范围和建设控制地带进行严格管理。</w:t>
      </w:r>
    </w:p>
    <w:p w14:paraId="187118F9">
      <w:pPr>
        <w:pStyle w:val="3"/>
        <w:numPr>
          <w:ilvl w:val="0"/>
          <w:numId w:val="10"/>
        </w:numPr>
        <w:spacing w:before="240" w:after="240"/>
        <w:ind w:left="0" w:firstLine="0"/>
        <w:jc w:val="center"/>
        <w:rPr>
          <w:rFonts w:ascii="黑体" w:hAnsi="黑体" w:eastAsia="黑体"/>
          <w:highlight w:val="none"/>
          <w:lang w:eastAsia="zh-CN"/>
        </w:rPr>
      </w:pPr>
      <w:bookmarkStart w:id="62" w:name="_Toc166340631"/>
      <w:bookmarkStart w:id="63" w:name="_Hlk171686868"/>
      <w:bookmarkStart w:id="64" w:name="_Toc10787"/>
      <w:r>
        <w:rPr>
          <w:rFonts w:hint="eastAsia" w:ascii="黑体" w:hAnsi="黑体" w:eastAsia="黑体"/>
          <w:highlight w:val="none"/>
          <w:lang w:eastAsia="zh-CN"/>
        </w:rPr>
        <w:t>塑造</w:t>
      </w:r>
      <w:bookmarkEnd w:id="62"/>
      <w:r>
        <w:rPr>
          <w:rFonts w:hint="eastAsia" w:ascii="黑体" w:hAnsi="黑体" w:eastAsia="黑体"/>
          <w:highlight w:val="none"/>
          <w:lang w:eastAsia="zh-CN"/>
        </w:rPr>
        <w:t>自然生态魅力城镇</w:t>
      </w:r>
      <w:bookmarkEnd w:id="63"/>
      <w:bookmarkEnd w:id="64"/>
    </w:p>
    <w:p w14:paraId="45D7CD64">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塑造城乡特色风貌</w:t>
      </w:r>
    </w:p>
    <w:p w14:paraId="02EF535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结合闫集风貌特征，挖掘特色产业发展与自身资源本底，依托自然本底要素，突出农田景观特色，构筑蓝绿生态骨架，强化自然生态格局。</w:t>
      </w:r>
    </w:p>
    <w:p w14:paraId="325DEF0D">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保护自然田园格局</w:t>
      </w:r>
    </w:p>
    <w:p w14:paraId="58A89E84">
      <w:pPr>
        <w:pStyle w:val="13"/>
        <w:autoSpaceDE/>
        <w:autoSpaceDN/>
        <w:spacing w:before="0" w:beforeLines="0" w:line="360" w:lineRule="auto"/>
        <w:ind w:left="0" w:leftChars="0" w:right="0" w:rightChars="0" w:firstLine="640" w:firstLineChars="0"/>
        <w:contextualSpacing/>
        <w:rPr>
          <w:highlight w:val="none"/>
          <w:lang w:eastAsia="zh-CN"/>
        </w:rPr>
      </w:pPr>
      <w:r>
        <w:rPr>
          <w:rFonts w:hint="eastAsia" w:ascii="Times New Roman" w:hAnsi="Times New Roman" w:eastAsia="仿宋_GB2312" w:cs="Times New Roman"/>
          <w:highlight w:val="none"/>
          <w:lang w:val="en-US" w:eastAsia="zh-CN"/>
        </w:rPr>
        <w:t>强化水网交错、林田交织的自然生态格局，塑造多样化的自然景观特色。依托区域生态格局划定生态廊道与景观轴线。梳理和构建蓝绿资源、生态廊道、绿地系统和开放空间组成的城镇生态网络，严格保护多样化的生态环境。</w:t>
      </w:r>
    </w:p>
    <w:p w14:paraId="57D601CC">
      <w:pPr>
        <w:pStyle w:val="3"/>
        <w:numPr>
          <w:ilvl w:val="0"/>
          <w:numId w:val="10"/>
        </w:numPr>
        <w:spacing w:before="240" w:after="240"/>
        <w:ind w:left="0" w:firstLine="0"/>
        <w:jc w:val="center"/>
        <w:rPr>
          <w:rFonts w:ascii="黑体" w:hAnsi="黑体" w:eastAsia="黑体"/>
          <w:highlight w:val="none"/>
          <w:lang w:eastAsia="zh-CN"/>
        </w:rPr>
      </w:pPr>
      <w:bookmarkStart w:id="65" w:name="_Toc5826"/>
      <w:r>
        <w:rPr>
          <w:rFonts w:hint="eastAsia" w:ascii="黑体" w:hAnsi="黑体" w:eastAsia="黑体"/>
          <w:highlight w:val="none"/>
          <w:lang w:eastAsia="zh-CN"/>
        </w:rPr>
        <w:t>凸显田园风光镇村特色</w:t>
      </w:r>
      <w:bookmarkEnd w:id="65"/>
    </w:p>
    <w:p w14:paraId="480FD2C4">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强化镇村高度管控</w:t>
      </w:r>
    </w:p>
    <w:p w14:paraId="2215730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color w:val="auto"/>
          <w:highlight w:val="none"/>
          <w:lang w:val="en-US" w:eastAsia="zh-CN"/>
        </w:rPr>
        <w:t>统筹考虑城乡空间管控的刚性要求，协调好新建建筑与生态环境、现状建筑的和谐关系，确保生态景观、人文景观视线通畅，科学引导高层建筑集中布局。镇区结合公共空间、骨架轴线、交通站点等重点区域，引导高层建筑集中布局，建筑高度宜控制在36米以内，镇区外的村庄建筑高度控制在12米以内。</w:t>
      </w:r>
    </w:p>
    <w:p w14:paraId="2BE9EA58">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保护乡村田园风光</w:t>
      </w:r>
    </w:p>
    <w:p w14:paraId="47D00AE9">
      <w:pPr>
        <w:pStyle w:val="13"/>
        <w:autoSpaceDE/>
        <w:autoSpaceDN/>
        <w:spacing w:before="0" w:beforeLines="0" w:line="360" w:lineRule="auto"/>
        <w:ind w:left="0" w:leftChars="0" w:right="0" w:rightChars="0" w:firstLine="640" w:firstLineChars="0"/>
        <w:contextualSpacing/>
        <w:jc w:val="left"/>
        <w:rPr>
          <w:rFonts w:ascii="Times New Roman" w:hAnsi="Times New Roman" w:eastAsia="仿宋_GB2312" w:cs="Times New Roman"/>
          <w:highlight w:val="none"/>
          <w:lang w:val="en-US" w:eastAsia="zh-CN"/>
        </w:rPr>
      </w:pPr>
      <w:bookmarkStart w:id="66" w:name="_Hlk152692932"/>
      <w:r>
        <w:rPr>
          <w:rFonts w:hint="eastAsia" w:ascii="Times New Roman" w:hAnsi="Times New Roman" w:eastAsia="仿宋_GB2312" w:cs="Times New Roman"/>
          <w:highlight w:val="none"/>
          <w:lang w:val="en-US" w:eastAsia="zh-CN"/>
        </w:rPr>
        <w:t>保护村庄聚落特征，尊重“水林田湖草渠”交融的村庄格局，促进村庄建设与历史文化、生态本底相融合，塑造闫集镇整体乡村特色风貌。结合乡村地域文化本底与现代农业特色，营造与生态环境及传统文化内涵相得益彰的乡村田园生活风光，体现皖北韵味。</w:t>
      </w:r>
    </w:p>
    <w:p w14:paraId="133F576D">
      <w:pPr>
        <w:pStyle w:val="13"/>
        <w:autoSpaceDE/>
        <w:autoSpaceDN/>
        <w:spacing w:before="0" w:beforeLines="0" w:line="360" w:lineRule="auto"/>
        <w:ind w:left="0" w:leftChars="0" w:right="0" w:rightChars="0" w:firstLine="640" w:firstLineChars="0"/>
        <w:contextualSpacing/>
        <w:jc w:val="left"/>
        <w:rPr>
          <w:rFonts w:ascii="Times New Roman" w:hAnsi="Times New Roman" w:eastAsia="仿宋_GB2312" w:cs="Times New Roman"/>
          <w:highlight w:val="none"/>
          <w:lang w:val="en-US" w:eastAsia="zh-CN"/>
        </w:rPr>
        <w:sectPr>
          <w:pgSz w:w="11906" w:h="16838"/>
          <w:pgMar w:top="1440" w:right="1800" w:bottom="1440" w:left="1800" w:header="720" w:footer="720" w:gutter="0"/>
          <w:cols w:space="720" w:num="1"/>
          <w:docGrid w:linePitch="299" w:charSpace="0"/>
        </w:sectPr>
      </w:pPr>
    </w:p>
    <w:bookmarkEnd w:id="66"/>
    <w:p w14:paraId="0009AEB8">
      <w:pPr>
        <w:pStyle w:val="2"/>
        <w:spacing w:before="0" w:line="360" w:lineRule="auto"/>
        <w:ind w:left="0" w:firstLine="0"/>
        <w:jc w:val="center"/>
        <w:rPr>
          <w:rFonts w:ascii="方正小标宋_GBK" w:hAnsi="方正小标宋_GBK" w:eastAsia="PMingLiU-ExtB"/>
          <w:spacing w:val="5"/>
          <w:highlight w:val="none"/>
        </w:rPr>
      </w:pPr>
      <w:bookmarkStart w:id="67" w:name="_bookmark31"/>
      <w:bookmarkEnd w:id="67"/>
      <w:bookmarkStart w:id="68" w:name="_Toc4432"/>
      <w:r>
        <w:rPr>
          <w:rFonts w:hint="eastAsia" w:ascii="方正小标宋_GBK" w:hAnsi="方正小标宋_GBK" w:eastAsia="方正小标宋_GBK"/>
          <w:spacing w:val="5"/>
          <w:highlight w:val="none"/>
        </w:rPr>
        <w:t>优化镇区</w:t>
      </w:r>
      <w:r>
        <w:rPr>
          <w:rFonts w:ascii="方正小标宋_GBK" w:hAnsi="方正小标宋_GBK" w:eastAsia="方正小标宋_GBK"/>
          <w:spacing w:val="5"/>
          <w:highlight w:val="none"/>
        </w:rPr>
        <w:t>空间布局，提升乡镇宜居品质</w:t>
      </w:r>
      <w:bookmarkEnd w:id="68"/>
    </w:p>
    <w:p w14:paraId="0E806C3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传承蓝绿交织的空间形态，彰显以水为魂、以绿为核的空间特色，构建“一心两轴两区”的空间结构。面向新时期人民对美好生活的向往，优化镇区用地布局，完善公共服务设施配置，优化市政基础设施布局，加强镇区空间形态管控，推动区域协同发展。</w:t>
      </w:r>
    </w:p>
    <w:p w14:paraId="6FC42344">
      <w:pPr>
        <w:pStyle w:val="3"/>
        <w:numPr>
          <w:ilvl w:val="0"/>
          <w:numId w:val="11"/>
        </w:numPr>
        <w:spacing w:before="240" w:after="240"/>
        <w:ind w:left="0" w:firstLine="0"/>
        <w:jc w:val="center"/>
        <w:rPr>
          <w:rFonts w:ascii="黑体" w:hAnsi="黑体" w:eastAsia="黑体"/>
          <w:highlight w:val="none"/>
          <w:lang w:eastAsia="zh-CN"/>
        </w:rPr>
      </w:pPr>
      <w:bookmarkStart w:id="69" w:name="_bookmark32"/>
      <w:bookmarkEnd w:id="69"/>
      <w:bookmarkStart w:id="70" w:name="_Toc12883"/>
      <w:r>
        <w:rPr>
          <w:rFonts w:hint="eastAsia" w:ascii="黑体" w:hAnsi="黑体" w:eastAsia="黑体"/>
          <w:highlight w:val="none"/>
          <w:lang w:eastAsia="zh-CN"/>
        </w:rPr>
        <w:t>优化镇区用地布局</w:t>
      </w:r>
      <w:bookmarkEnd w:id="70"/>
    </w:p>
    <w:p w14:paraId="6608FA45">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构建</w:t>
      </w:r>
      <w:r>
        <w:rPr>
          <w:rFonts w:hint="eastAsia" w:eastAsia="仿宋"/>
          <w:w w:val="105"/>
          <w:sz w:val="32"/>
          <w:highlight w:val="none"/>
          <w:lang w:eastAsia="zh-CN"/>
        </w:rPr>
        <w:t>“一心两轴两区”</w:t>
      </w:r>
      <w:r>
        <w:rPr>
          <w:rFonts w:hint="eastAsia" w:eastAsia="仿宋"/>
          <w:w w:val="105"/>
          <w:sz w:val="32"/>
          <w:highlight w:val="none"/>
        </w:rPr>
        <w:t>的空间格局</w:t>
      </w:r>
    </w:p>
    <w:p w14:paraId="017616D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color w:val="auto"/>
          <w:highlight w:val="none"/>
          <w:lang w:val="en-US" w:eastAsia="zh-CN"/>
        </w:rPr>
        <w:t>推进闫集镇集约集聚发展</w:t>
      </w:r>
      <w:r>
        <w:rPr>
          <w:rFonts w:hint="eastAsia" w:ascii="Times New Roman" w:hAnsi="Times New Roman" w:eastAsia="仿宋_GB2312" w:cs="Times New Roman"/>
          <w:highlight w:val="none"/>
          <w:lang w:val="en-US" w:eastAsia="zh-CN"/>
        </w:rPr>
        <w:t>，构建“一心两轴两区”的城镇空间结构。</w:t>
      </w:r>
    </w:p>
    <w:p w14:paraId="3598AB06">
      <w:pPr>
        <w:pStyle w:val="46"/>
        <w:spacing w:before="0" w:line="360" w:lineRule="auto"/>
        <w:ind w:left="0" w:right="108" w:firstLine="718" w:firstLineChars="213"/>
        <w:rPr>
          <w:rFonts w:eastAsia="仿宋"/>
          <w:w w:val="105"/>
          <w:sz w:val="32"/>
          <w:highlight w:val="none"/>
        </w:rPr>
      </w:pPr>
      <w:r>
        <w:rPr>
          <w:rFonts w:eastAsia="仿宋"/>
          <w:w w:val="105"/>
          <w:sz w:val="32"/>
          <w:highlight w:val="none"/>
        </w:rPr>
        <w:t>优化</w:t>
      </w:r>
      <w:r>
        <w:rPr>
          <w:rFonts w:hint="eastAsia" w:eastAsia="仿宋"/>
          <w:w w:val="105"/>
          <w:sz w:val="32"/>
          <w:highlight w:val="none"/>
        </w:rPr>
        <w:t>镇</w:t>
      </w:r>
      <w:r>
        <w:rPr>
          <w:rFonts w:eastAsia="仿宋"/>
          <w:w w:val="105"/>
          <w:sz w:val="32"/>
          <w:highlight w:val="none"/>
        </w:rPr>
        <w:t>区组团布局</w:t>
      </w:r>
    </w:p>
    <w:p w14:paraId="3CE5D115">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合理确定组团规模，将镇区划分为</w:t>
      </w:r>
      <w:r>
        <w:rPr>
          <w:rFonts w:hint="eastAsia" w:ascii="Times New Roman" w:hAnsi="Times New Roman" w:eastAsia="仿宋_GB2312" w:cs="Times New Roman"/>
          <w:color w:val="auto"/>
          <w:highlight w:val="none"/>
          <w:lang w:val="en-US" w:eastAsia="zh-CN"/>
        </w:rPr>
        <w:t>生态宜居组团、城镇活力组团</w:t>
      </w:r>
      <w:r>
        <w:rPr>
          <w:rFonts w:hint="eastAsia" w:ascii="Times New Roman" w:hAnsi="Times New Roman" w:eastAsia="仿宋_GB2312" w:cs="Times New Roman"/>
          <w:highlight w:val="none"/>
          <w:lang w:val="en-US" w:eastAsia="zh-CN"/>
        </w:rPr>
        <w:t>。充分利用道路、干渠等自然地理要素等划分城镇组团。</w:t>
      </w:r>
    </w:p>
    <w:p w14:paraId="2A87752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城镇活力组团位于镇区东北部，突出商业、公共服务、居住等功能。着力完善公共服务设施配置，提升老镇区城镇风貌和生活品质。</w:t>
      </w:r>
    </w:p>
    <w:p w14:paraId="25A65AF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bookmarkStart w:id="71" w:name="OLE_LINK2"/>
      <w:r>
        <w:rPr>
          <w:rFonts w:hint="eastAsia" w:ascii="Times New Roman" w:hAnsi="Times New Roman" w:eastAsia="仿宋_GB2312" w:cs="Times New Roman"/>
          <w:color w:val="auto"/>
          <w:highlight w:val="none"/>
          <w:lang w:val="en-US" w:eastAsia="zh-CN"/>
        </w:rPr>
        <w:t>生态宜居组团位于镇区西南部，突出居住、公共服务等功能。在社区居民15分钟步行可达范围内，配齐日常生活所需的基本公共服务设施与公共活动空间，构建多元完善的宜居社区</w:t>
      </w:r>
      <w:bookmarkEnd w:id="71"/>
      <w:r>
        <w:rPr>
          <w:rFonts w:hint="eastAsia" w:ascii="Times New Roman" w:hAnsi="Times New Roman" w:eastAsia="仿宋_GB2312" w:cs="Times New Roman"/>
          <w:color w:val="auto"/>
          <w:highlight w:val="none"/>
          <w:lang w:val="en-US" w:eastAsia="zh-CN"/>
        </w:rPr>
        <w:t>。</w:t>
      </w:r>
    </w:p>
    <w:p w14:paraId="1F06482D">
      <w:pPr>
        <w:pStyle w:val="3"/>
        <w:numPr>
          <w:ilvl w:val="0"/>
          <w:numId w:val="11"/>
        </w:numPr>
        <w:spacing w:before="240" w:after="240"/>
        <w:ind w:left="0" w:firstLine="0"/>
        <w:jc w:val="center"/>
        <w:rPr>
          <w:rFonts w:ascii="黑体" w:hAnsi="黑体" w:eastAsia="黑体"/>
          <w:highlight w:val="none"/>
          <w:lang w:eastAsia="zh-CN"/>
        </w:rPr>
      </w:pPr>
      <w:bookmarkStart w:id="72" w:name="_Toc26483"/>
      <w:r>
        <w:rPr>
          <w:rFonts w:hint="eastAsia" w:ascii="黑体" w:hAnsi="黑体" w:eastAsia="黑体"/>
          <w:highlight w:val="none"/>
          <w:lang w:eastAsia="zh-CN"/>
        </w:rPr>
        <w:t>构建绿色安全的交通网络</w:t>
      </w:r>
      <w:bookmarkEnd w:id="72"/>
    </w:p>
    <w:p w14:paraId="4F0BA1B1">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构建通达便捷的交通网络格局</w:t>
      </w:r>
    </w:p>
    <w:p w14:paraId="0C46D7C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对外提升道路等级，对内优化内部道路交通布局，增加路网密度，构建内畅外联的道路交通体系。</w:t>
      </w:r>
    </w:p>
    <w:p w14:paraId="14CF891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优化道路网布局。提升现状道路网等级，增加主次干道数量，构建内畅外联的交通网络体系，形成“</w:t>
      </w:r>
      <w:r>
        <w:rPr>
          <w:rFonts w:ascii="Times New Roman" w:hAnsi="Times New Roman" w:eastAsia="仿宋_GB2312" w:cs="Times New Roman"/>
          <w:highlight w:val="none"/>
          <w:lang w:val="en-US" w:eastAsia="zh-CN"/>
        </w:rPr>
        <w:t>两纵</w:t>
      </w:r>
      <w:r>
        <w:rPr>
          <w:rFonts w:hint="eastAsia" w:ascii="Times New Roman" w:hAnsi="Times New Roman" w:eastAsia="仿宋_GB2312" w:cs="Times New Roman"/>
          <w:highlight w:val="none"/>
          <w:lang w:val="en-US" w:eastAsia="zh-CN"/>
        </w:rPr>
        <w:t>两</w:t>
      </w:r>
      <w:r>
        <w:rPr>
          <w:rFonts w:ascii="Times New Roman" w:hAnsi="Times New Roman" w:eastAsia="仿宋_GB2312" w:cs="Times New Roman"/>
          <w:highlight w:val="none"/>
          <w:lang w:val="en-US" w:eastAsia="zh-CN"/>
        </w:rPr>
        <w:t>横多支</w:t>
      </w:r>
      <w:r>
        <w:rPr>
          <w:rFonts w:hint="eastAsia" w:ascii="Times New Roman" w:hAnsi="Times New Roman" w:eastAsia="仿宋_GB2312" w:cs="Times New Roman"/>
          <w:highlight w:val="none"/>
          <w:lang w:val="en-US" w:eastAsia="zh-CN"/>
        </w:rPr>
        <w:t>”的城镇路网结构。“两纵”指的是潘白路、富贵路（南北段），“两横”指的是富贵路（东西段）、富强段，“多支”指的是镇区内部的多条支路，共同构成的闫集镇区交通网络。</w:t>
      </w:r>
    </w:p>
    <w:p w14:paraId="78C9FA02">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增加道路网密度。增加次干路和支路网数量，按照“窄路密网”的要求进一步加密支路网系统。</w:t>
      </w:r>
    </w:p>
    <w:p w14:paraId="77891EB3">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布局以公共交通为引领的绿色出行体系</w:t>
      </w:r>
    </w:p>
    <w:p w14:paraId="626BC28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构建高效完备的公交系统。打造“枢纽站-普通站”两级公交服务站点，结合枢纽站设置慢行接驳设施，形成城乡班车、常规公交、慢行交通“三位一体”的绿色交通服务体系</w:t>
      </w:r>
    </w:p>
    <w:p w14:paraId="5B124E25">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打造全龄友好、生态共生的慢行交通环境</w:t>
      </w:r>
    </w:p>
    <w:p w14:paraId="684CB582">
      <w:pPr>
        <w:pStyle w:val="13"/>
        <w:autoSpaceDE/>
        <w:autoSpaceDN/>
        <w:spacing w:before="0" w:beforeLines="0" w:line="360" w:lineRule="auto"/>
        <w:ind w:left="0" w:leftChars="0" w:right="0" w:rightChars="0" w:firstLine="640"/>
        <w:contextualSpacing/>
        <w:rPr>
          <w:highlight w:val="none"/>
          <w:lang w:eastAsia="zh-CN"/>
        </w:rPr>
      </w:pPr>
      <w:r>
        <w:rPr>
          <w:rFonts w:hint="eastAsia" w:ascii="Times New Roman" w:hAnsi="Times New Roman" w:eastAsia="仿宋_GB2312" w:cs="Times New Roman"/>
          <w:highlight w:val="none"/>
          <w:lang w:val="en-US" w:eastAsia="zh-CN"/>
        </w:rPr>
        <w:t>沿镇区道路两侧布设人行道和自行车道和自行车廊道，共同构成闫集镇的步行和自行车交通网络，形成通勤功能为主，集散、休闲、健身功能为辅的步行和自行车交通主体网络。</w:t>
      </w:r>
    </w:p>
    <w:p w14:paraId="61DC34C9">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差异化满足停车需求</w:t>
      </w:r>
    </w:p>
    <w:p w14:paraId="57E1E6D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分区确定建筑物配建标准，形成建筑物配建为主体、镇区公共停车场为辅助、路内停车位为补充的停车位供给结构，差异化满足出行停车需求。</w:t>
      </w:r>
    </w:p>
    <w:p w14:paraId="10610466">
      <w:pPr>
        <w:pStyle w:val="3"/>
        <w:numPr>
          <w:ilvl w:val="0"/>
          <w:numId w:val="11"/>
        </w:numPr>
        <w:spacing w:before="240" w:after="240"/>
        <w:ind w:left="0" w:firstLine="0"/>
        <w:jc w:val="center"/>
        <w:rPr>
          <w:rFonts w:ascii="黑体" w:hAnsi="黑体" w:eastAsia="黑体"/>
          <w:highlight w:val="none"/>
          <w:lang w:eastAsia="zh-CN"/>
        </w:rPr>
      </w:pPr>
      <w:bookmarkStart w:id="73" w:name="_Toc24840"/>
      <w:r>
        <w:rPr>
          <w:rFonts w:hint="eastAsia" w:ascii="黑体" w:hAnsi="黑体" w:eastAsia="黑体"/>
          <w:highlight w:val="none"/>
          <w:lang w:eastAsia="zh-CN"/>
        </w:rPr>
        <w:t>打造配套完善的公共服务设施</w:t>
      </w:r>
      <w:bookmarkEnd w:id="73"/>
    </w:p>
    <w:p w14:paraId="74F2651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构建便捷完善的城镇生活圈配套设施</w:t>
      </w:r>
    </w:p>
    <w:p w14:paraId="121C16D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1、公共中心体系规划</w:t>
      </w:r>
    </w:p>
    <w:p w14:paraId="5AA6067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公共服务设施形成“镇级—村级”公共服务体系。乡村社区生活圈，在社区居民15分钟步行可达范围内，配齐日常生活所需的基本公共服务设施与公共活动空间，构建多元完善的社区生活圈服务体系，实现便捷的社区生活圈空间布局，打造复合共享的社区生活圈模式，建设有归属感的现代乡村社区。</w:t>
      </w:r>
    </w:p>
    <w:p w14:paraId="2E529F1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2、文化设施用地规划</w:t>
      </w:r>
    </w:p>
    <w:p w14:paraId="32AE982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结合镇政府内文化站设置阅览室、文化活动室等文化场所。</w:t>
      </w:r>
    </w:p>
    <w:p w14:paraId="6F10566D">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3、教育用地规划</w:t>
      </w:r>
    </w:p>
    <w:p w14:paraId="60D0854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健全基本公共教育服务体系。高水平均衡发展九年义务教育，普及高中阶段教育和学前教育。完善托幼、幼儿园的300米服务半径布局。高标准、高质量普及九年义务教育，</w:t>
      </w:r>
      <w:r>
        <w:rPr>
          <w:rFonts w:hint="eastAsia" w:ascii="Times New Roman" w:hAnsi="Times New Roman" w:eastAsia="仿宋_GB2312" w:cs="Times New Roman"/>
          <w:color w:val="auto"/>
          <w:highlight w:val="none"/>
          <w:lang w:val="en-US" w:eastAsia="zh-CN"/>
        </w:rPr>
        <w:t>保留闫集初级中学（镇区北部）、闫集小学，</w:t>
      </w:r>
      <w:r>
        <w:rPr>
          <w:rFonts w:hint="eastAsia" w:ascii="Times New Roman" w:hAnsi="Times New Roman" w:eastAsia="仿宋_GB2312" w:cs="Times New Roman"/>
          <w:highlight w:val="none"/>
          <w:lang w:val="en-US" w:eastAsia="zh-CN"/>
        </w:rPr>
        <w:t>保障与人口增长趋势相匹配的学位规模。。</w:t>
      </w:r>
    </w:p>
    <w:p w14:paraId="3A954A4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4、体育用地规划</w:t>
      </w:r>
    </w:p>
    <w:p w14:paraId="0C5092E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构建以镇级健身活动场地为支撑，村级公共活动场地为补充的公共体育服务体系，形成“15分钟全民健身圈”。在镇级层面，结合街头绿地、机关团体、教育设施等用地等建设运动公园、笼式健身场地、绿道、健身步道、“三大球”设施；在村级层面，结合村级党群服务中心公共绿地建设健身活动广场。</w:t>
      </w:r>
    </w:p>
    <w:p w14:paraId="0A20E92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5、医疗卫生用地规划</w:t>
      </w:r>
    </w:p>
    <w:p w14:paraId="2B9D8EA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保留镇区现状卫生院，对医院内部进行用地调整和设备更新工作，提高服务能力。依托村级党群服务中心完善基层医疗卫生机构服务能力，增强乡镇卫生院、村卫生站等基层医疗设施功能，适度提高规划用地标准。</w:t>
      </w:r>
      <w:bookmarkStart w:id="74" w:name="OLE_LINK3"/>
      <w:bookmarkStart w:id="75" w:name="_Hlk143441023"/>
    </w:p>
    <w:bookmarkEnd w:id="74"/>
    <w:p w14:paraId="5677794F">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6、社会福利用地规划</w:t>
      </w:r>
    </w:p>
    <w:p w14:paraId="4075AC35">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健全社会福利设施网络，统筹布局社会救助、养老服务、儿童福利、残疾人社会福利和其他社会福利设施。加强镇级养老服务中心建设全覆盖，加强村级幸福院建设力度，提升居家养老服务功能与社区养老服务供给能力。</w:t>
      </w:r>
    </w:p>
    <w:bookmarkEnd w:id="75"/>
    <w:p w14:paraId="7D5C454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7、商业服务业设施用地规划</w:t>
      </w:r>
    </w:p>
    <w:p w14:paraId="57DB387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规划形成“镇级—村级”二级服务体系。镇级：包括老镇片区沿街商业。村级：结合各村党群服务中心周边设置便民商业销售点。</w:t>
      </w:r>
    </w:p>
    <w:p w14:paraId="1013297F">
      <w:pPr>
        <w:pStyle w:val="3"/>
        <w:numPr>
          <w:ilvl w:val="0"/>
          <w:numId w:val="11"/>
        </w:numPr>
        <w:spacing w:before="240" w:after="240"/>
        <w:ind w:left="0" w:firstLine="0"/>
        <w:jc w:val="center"/>
        <w:rPr>
          <w:rFonts w:ascii="黑体" w:hAnsi="黑体" w:eastAsia="黑体"/>
          <w:highlight w:val="none"/>
          <w:lang w:eastAsia="zh-CN"/>
        </w:rPr>
      </w:pPr>
      <w:bookmarkStart w:id="76" w:name="_Toc17695"/>
      <w:r>
        <w:rPr>
          <w:rFonts w:hint="eastAsia" w:ascii="黑体" w:hAnsi="黑体" w:eastAsia="黑体"/>
          <w:highlight w:val="none"/>
          <w:lang w:eastAsia="zh-CN"/>
        </w:rPr>
        <w:t>创建智慧绿色的城镇服务保障</w:t>
      </w:r>
      <w:bookmarkEnd w:id="76"/>
    </w:p>
    <w:p w14:paraId="4A2B99F2">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rPr>
        <w:t>构建多源多向的供水体系</w:t>
      </w:r>
    </w:p>
    <w:p w14:paraId="05BDA43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规划</w:t>
      </w:r>
      <w:r>
        <w:rPr>
          <w:rFonts w:hint="eastAsia" w:ascii="Times New Roman" w:hAnsi="Times New Roman" w:eastAsia="仿宋_GB2312" w:cs="Times New Roman"/>
          <w:color w:val="auto"/>
          <w:highlight w:val="none"/>
          <w:lang w:val="en-US" w:eastAsia="zh-CN"/>
        </w:rPr>
        <w:t>由新庄水厂统一供水。</w:t>
      </w:r>
    </w:p>
    <w:p w14:paraId="5751C0E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积极完善区域供水工程，结合现有水厂建设完善供水主干建设，强化供水分区间管网的互联互通，提高城乡供水系统应急调度及安全保障能力。加大城乡老旧管网改造力度，管网漏损率控制在9%以下。</w:t>
      </w:r>
    </w:p>
    <w:p w14:paraId="7661249E">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完善排水设施布局</w:t>
      </w:r>
    </w:p>
    <w:p w14:paraId="07C6BA09">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采用雨污分流制排水系统，建立截流初期雨水的设施。规划采用分散排放布置雨水管渠系统，雨水管渠尽量沿市政道路顺坡布置，收集后雨水通过初雨湿地处理后，排入周边水体。建立雨水花园、绿化屋顶、雨水湿地等调蓄系统，合理收集并利用雨水资源，实现水资源综合利用。</w:t>
      </w:r>
    </w:p>
    <w:p w14:paraId="6DDBAFD4">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污水处理应以集中式污水处理模式为主，接入萧县污水处理厂，适度超前建设污水站及管网，实现城乡污水管网全覆盖，污水全收集、全处理。到2035年，镇区污水管道覆盖率达到100%，城镇污水处理率达到100%，污泥无害化处理处置率达100%，再生水利用率达到80%以上。</w:t>
      </w:r>
    </w:p>
    <w:p w14:paraId="1FF53993">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打造区域互联的电力网络</w:t>
      </w:r>
    </w:p>
    <w:p w14:paraId="1DAE831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镇区接入规划110千伏闫集变，严格控制高压廊道防护距离，保护线路安全，规划预留足够的站址及电力廊道，提升电网可靠度。到2035年,供电可靠率达到100.00%。</w:t>
      </w:r>
    </w:p>
    <w:p w14:paraId="4AE6BB4D">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统筹通信基础设施建设</w:t>
      </w:r>
    </w:p>
    <w:p w14:paraId="10AC658C">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推进电信基础共建共享，加强通信网络、重要信息系统和数据资源保护，增强信息基础设施可靠性，建设关键信息基础设施网络安全防护和监管平台。加强政务、金融、能源、交通等重点领域的重要网站、信息系统和云计算、大数据平台的安全保障，加强水、电、油、气、讯等城镇运行生命线的工程控制系统安全防护。构建覆盖全面、高速畅通、技术先进、安全稳定、富有弹性的通信网络基础设施体系，打造智慧城镇。到2035年，重点区域5G网络全域全覆盖，宽带用户比例不低于95%。</w:t>
      </w:r>
    </w:p>
    <w:p w14:paraId="40C066E7">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优化环卫设施布局</w:t>
      </w:r>
    </w:p>
    <w:p w14:paraId="30388ADA">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采用高效分类收运模式和集中资源化处理模式相结合的方式，保留镇区东部垃圾转运站1座。落实垃圾分类制度，建立“源头削减、分类收集、分类运输、综合处理”的现代化固体废弃物处理系统，推进垃圾源头减量和资源化利用，减少垃圾填埋量、提高资源回收利用率与循环利用水平。到2035年，生活垃圾分类收集率100%，生活垃圾回收资源利用率达到40%以上。</w:t>
      </w:r>
    </w:p>
    <w:p w14:paraId="0433AC5C">
      <w:pPr>
        <w:pStyle w:val="3"/>
        <w:numPr>
          <w:ilvl w:val="0"/>
          <w:numId w:val="11"/>
        </w:numPr>
        <w:spacing w:before="240" w:after="240"/>
        <w:ind w:left="0" w:firstLine="0"/>
        <w:jc w:val="center"/>
        <w:rPr>
          <w:rFonts w:ascii="黑体" w:hAnsi="黑体" w:eastAsia="黑体"/>
          <w:highlight w:val="none"/>
          <w:lang w:eastAsia="zh-CN"/>
        </w:rPr>
      </w:pPr>
      <w:bookmarkStart w:id="77" w:name="_Toc4933"/>
      <w:r>
        <w:rPr>
          <w:rFonts w:hint="eastAsia" w:ascii="黑体" w:hAnsi="黑体" w:eastAsia="黑体"/>
          <w:highlight w:val="none"/>
          <w:lang w:eastAsia="zh-CN"/>
        </w:rPr>
        <w:t>提升防灾减灾和综合应急水平</w:t>
      </w:r>
      <w:bookmarkEnd w:id="77"/>
    </w:p>
    <w:p w14:paraId="4D67ECC2">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加强抗震设防体系建设</w:t>
      </w:r>
    </w:p>
    <w:p w14:paraId="26F2B62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加强抗震设防管理，</w:t>
      </w:r>
      <w:r>
        <w:rPr>
          <w:rFonts w:hint="eastAsia" w:ascii="Times New Roman" w:hAnsi="Times New Roman" w:eastAsia="仿宋_GB2312" w:cs="Times New Roman"/>
          <w:highlight w:val="none"/>
          <w:u w:val="single"/>
          <w:lang w:val="en-US" w:eastAsia="zh-CN"/>
        </w:rPr>
        <w:t>镇区抗震设防烈度为Ⅶ度</w:t>
      </w:r>
      <w:r>
        <w:rPr>
          <w:rFonts w:hint="eastAsia" w:ascii="Times New Roman" w:hAnsi="Times New Roman" w:eastAsia="仿宋_GB2312" w:cs="Times New Roman"/>
          <w:highlight w:val="none"/>
          <w:lang w:val="en-US" w:eastAsia="zh-CN"/>
        </w:rPr>
        <w:t>。新建、改建、扩建工程严格执行抗震设防标准。基础设施、避难建筑和应急指挥中心等镇区要害系统提高一度设防，并优先采取减隔震等先进抗震技术。逐步开展对现状尚未采取抗震设防措施或抗震设防措施未达到抗震设防要求的建设工程的抗震性能鉴定，对镇区抗震性能不达标建筑逐步进行抗震加固，采取措施提高抗震能力。</w:t>
      </w:r>
    </w:p>
    <w:p w14:paraId="4843C52C">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构建安全生态的防洪排涝体系</w:t>
      </w:r>
    </w:p>
    <w:p w14:paraId="6AF0073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u w:val="single"/>
          <w:lang w:val="en-US" w:eastAsia="zh-CN"/>
        </w:rPr>
      </w:pPr>
      <w:r>
        <w:rPr>
          <w:rFonts w:hint="eastAsia" w:ascii="Times New Roman" w:hAnsi="Times New Roman" w:eastAsia="仿宋_GB2312" w:cs="Times New Roman"/>
          <w:highlight w:val="none"/>
          <w:lang w:val="en-US" w:eastAsia="zh-CN"/>
        </w:rPr>
        <w:t>完善河道、蓄滞洪区等工程与非工程防洪减灾体系。加强以水库和干渠为主的防洪体系建设，强化骨干河道以及重点中小河道治理，保留河道行洪通道。</w:t>
      </w:r>
      <w:r>
        <w:rPr>
          <w:rFonts w:hint="eastAsia" w:ascii="Times New Roman" w:hAnsi="Times New Roman" w:eastAsia="仿宋_GB2312" w:cs="Times New Roman"/>
          <w:highlight w:val="none"/>
          <w:u w:val="single"/>
          <w:lang w:val="en-US" w:eastAsia="zh-CN"/>
        </w:rPr>
        <w:t>镇区防洪标准达到20年一遇，排涝标准为有效抵御20年一遇24小时设计暴雨。</w:t>
      </w:r>
    </w:p>
    <w:p w14:paraId="1552C2B2">
      <w:pPr>
        <w:pStyle w:val="46"/>
        <w:spacing w:before="0" w:line="360" w:lineRule="auto"/>
        <w:ind w:left="0" w:right="108" w:firstLine="675" w:firstLineChars="200"/>
        <w:rPr>
          <w:rFonts w:eastAsia="仿宋"/>
          <w:w w:val="105"/>
          <w:sz w:val="32"/>
          <w:highlight w:val="none"/>
          <w:lang w:val="en-US" w:eastAsia="zh-CN"/>
        </w:rPr>
      </w:pPr>
      <w:r>
        <w:rPr>
          <w:rFonts w:hint="eastAsia" w:eastAsia="仿宋"/>
          <w:w w:val="105"/>
          <w:sz w:val="32"/>
          <w:highlight w:val="none"/>
          <w:lang w:val="en-US" w:eastAsia="zh-CN"/>
        </w:rPr>
        <w:t>健全救援疏散避难系统</w:t>
      </w:r>
    </w:p>
    <w:p w14:paraId="2303F32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持续推进应急避难场所建设，形成“固定—紧急”两层级应急避难场所体系。结合公园绿地、体育场地和学校等公共场所设置应急避难场所。</w:t>
      </w:r>
    </w:p>
    <w:p w14:paraId="69947D8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持续完善救援疏散通道建设。规划以潘白路、富贵路等作为一级疏散通道，其他主次干路作为二级疏散通道，疏散主通道有效宽度不低于7米；疏散次通道有效宽度不低于4米。</w:t>
      </w:r>
    </w:p>
    <w:p w14:paraId="00A18EA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提升消防安全</w:t>
      </w:r>
    </w:p>
    <w:p w14:paraId="50E9420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提升区域消防安全和应急救援保障能力，配置闫集镇消防需求的专业灾害应急指挥队伍、防灾应急装备和储备库，加强消防供水、消防通信等消防公共基础设施建设，到2035年，实现消防站接到出动指令后5分钟内到达辖区边缘的目标。镇域内各类建筑应考虑防火要求，按《建筑设计防火规范》留出足够防火间距，易燃易爆的工厂、仓库四周要留足防护距离。</w:t>
      </w:r>
    </w:p>
    <w:p w14:paraId="1F96DF56">
      <w:pPr>
        <w:pStyle w:val="3"/>
        <w:numPr>
          <w:ilvl w:val="0"/>
          <w:numId w:val="11"/>
        </w:numPr>
        <w:spacing w:before="240" w:after="240"/>
        <w:ind w:left="0" w:firstLine="0"/>
        <w:jc w:val="center"/>
        <w:rPr>
          <w:rFonts w:ascii="黑体" w:hAnsi="黑体" w:eastAsia="黑体"/>
          <w:highlight w:val="none"/>
          <w:lang w:eastAsia="zh-CN"/>
        </w:rPr>
      </w:pPr>
      <w:bookmarkStart w:id="78" w:name="_Toc12991"/>
      <w:r>
        <w:rPr>
          <w:rFonts w:hint="eastAsia" w:ascii="黑体" w:hAnsi="黑体" w:eastAsia="黑体"/>
          <w:highlight w:val="none"/>
          <w:lang w:eastAsia="zh-CN"/>
        </w:rPr>
        <w:t>营造活力开放的特色空间</w:t>
      </w:r>
      <w:bookmarkEnd w:id="78"/>
    </w:p>
    <w:p w14:paraId="7A02AE8B">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rPr>
        <w:t>构建宜人共享的绿地系统</w:t>
      </w:r>
    </w:p>
    <w:p w14:paraId="161B13F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结合生态本底及绿地布局，强化滨水生态对镇区的景观渗透，构建“一带两园”自然渗透式绿地系统结构。“一带”指的是镇区北部滨水景观带，通过在滨水空间植入游憩、运动设施，打造城镇休闲空间。“两园”指的是结合水塘生态修复打造2个游园。</w:t>
      </w:r>
    </w:p>
    <w:p w14:paraId="27D91491">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引导生态林地公园化、进一步提升庭院绿化、宅旁绿化建设，实现实现“300米见绿、500米见园”。</w:t>
      </w:r>
    </w:p>
    <w:p w14:paraId="4DF6B67F">
      <w:pPr>
        <w:pStyle w:val="3"/>
        <w:numPr>
          <w:ilvl w:val="0"/>
          <w:numId w:val="11"/>
        </w:numPr>
        <w:spacing w:before="240" w:after="240"/>
        <w:ind w:left="0" w:firstLine="0"/>
        <w:jc w:val="center"/>
        <w:rPr>
          <w:rFonts w:ascii="黑体" w:hAnsi="黑体" w:eastAsia="黑体"/>
          <w:highlight w:val="none"/>
          <w:lang w:eastAsia="zh-CN"/>
        </w:rPr>
      </w:pPr>
      <w:bookmarkStart w:id="79" w:name="_Toc2817"/>
      <w:r>
        <w:rPr>
          <w:rFonts w:hint="eastAsia" w:ascii="黑体" w:hAnsi="黑体" w:eastAsia="黑体"/>
          <w:highlight w:val="none"/>
          <w:lang w:eastAsia="zh-CN"/>
        </w:rPr>
        <w:t>塑造</w:t>
      </w:r>
      <w:r>
        <w:rPr>
          <w:rFonts w:hint="eastAsia" w:ascii="黑体" w:hAnsi="黑体" w:eastAsia="黑体"/>
          <w:highlight w:val="none"/>
          <w:lang w:val="en-US" w:eastAsia="zh-CN"/>
        </w:rPr>
        <w:t>和美宜居</w:t>
      </w:r>
      <w:r>
        <w:rPr>
          <w:rFonts w:hint="eastAsia" w:ascii="黑体" w:hAnsi="黑体" w:eastAsia="黑体"/>
          <w:highlight w:val="none"/>
          <w:lang w:eastAsia="zh-CN"/>
        </w:rPr>
        <w:t>的城镇风貌</w:t>
      </w:r>
      <w:bookmarkEnd w:id="79"/>
    </w:p>
    <w:p w14:paraId="0CC40C58">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科学划定用地留改拆建管控范围</w:t>
      </w:r>
    </w:p>
    <w:p w14:paraId="581A362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坚持“留改拆建控”并举，推进闫集镇城镇风貌升级改造。将空间格局、街巷肌理保存较好，风貌特色明显的区域划定为肌理保留范围，保证区域空间肌理的整体保护、传承和演绎。确需改造地段，保留镇区文化积淀，对原有杂乱的建筑形态、色彩、风格等进行调整优化，协调新旧建筑关系。</w:t>
      </w:r>
    </w:p>
    <w:p w14:paraId="009C5A20">
      <w:pPr>
        <w:pStyle w:val="46"/>
        <w:spacing w:before="0" w:line="360" w:lineRule="auto"/>
        <w:ind w:left="0" w:right="108" w:firstLine="718" w:firstLineChars="213"/>
        <w:rPr>
          <w:rFonts w:eastAsia="仿宋"/>
          <w:w w:val="105"/>
          <w:sz w:val="32"/>
          <w:highlight w:val="none"/>
        </w:rPr>
      </w:pPr>
      <w:r>
        <w:rPr>
          <w:rFonts w:eastAsia="仿宋"/>
          <w:w w:val="105"/>
          <w:sz w:val="32"/>
          <w:highlight w:val="none"/>
        </w:rPr>
        <w:t>合理划定城市控制线</w:t>
      </w:r>
    </w:p>
    <w:p w14:paraId="1A40AFB0">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color w:val="auto"/>
          <w:highlight w:val="none"/>
          <w:lang w:val="en-US" w:eastAsia="zh-CN"/>
        </w:rPr>
        <w:t>镇区范围内不涉及绿线、紫线、蓝线、黄线</w:t>
      </w:r>
      <w:r>
        <w:rPr>
          <w:rFonts w:hint="eastAsia" w:ascii="Times New Roman" w:hAnsi="Times New Roman" w:eastAsia="仿宋_GB2312" w:cs="Times New Roman"/>
          <w:highlight w:val="none"/>
          <w:lang w:val="en-US" w:eastAsia="zh-CN"/>
        </w:rPr>
        <w:t>。</w:t>
      </w:r>
    </w:p>
    <w:p w14:paraId="3EA0B284">
      <w:pPr>
        <w:pStyle w:val="3"/>
        <w:numPr>
          <w:ilvl w:val="0"/>
          <w:numId w:val="11"/>
        </w:numPr>
        <w:spacing w:before="240" w:after="240"/>
        <w:ind w:left="0" w:firstLine="0"/>
        <w:jc w:val="center"/>
        <w:rPr>
          <w:rFonts w:ascii="黑体" w:hAnsi="黑体" w:eastAsia="黑体"/>
          <w:highlight w:val="none"/>
          <w:lang w:eastAsia="zh-CN"/>
        </w:rPr>
      </w:pPr>
      <w:bookmarkStart w:id="80" w:name="_Toc8408"/>
      <w:r>
        <w:rPr>
          <w:rFonts w:hint="eastAsia" w:ascii="黑体" w:hAnsi="黑体" w:eastAsia="黑体"/>
          <w:highlight w:val="none"/>
          <w:lang w:eastAsia="zh-CN"/>
        </w:rPr>
        <w:t>有序推进城镇更新</w:t>
      </w:r>
      <w:bookmarkEnd w:id="80"/>
    </w:p>
    <w:p w14:paraId="35ED3D4B">
      <w:pPr>
        <w:pStyle w:val="46"/>
        <w:spacing w:before="0" w:line="360" w:lineRule="auto"/>
        <w:ind w:left="0" w:right="108" w:firstLine="718" w:firstLineChars="213"/>
        <w:rPr>
          <w:rFonts w:eastAsia="仿宋"/>
          <w:w w:val="105"/>
          <w:sz w:val="32"/>
          <w:highlight w:val="none"/>
        </w:rPr>
      </w:pPr>
      <w:r>
        <w:rPr>
          <w:rFonts w:eastAsia="仿宋"/>
          <w:w w:val="105"/>
          <w:sz w:val="32"/>
          <w:highlight w:val="none"/>
        </w:rPr>
        <w:t>分类推进城市更新</w:t>
      </w:r>
    </w:p>
    <w:p w14:paraId="6955456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采用以改造利用为主、拆除重建为辅的更新模式，对老镇区内旧住区、旧村庄地块进行有序更新，通过盘活存量空间改善城镇空间品质，补齐城镇功能短板，助力产业转型升级。</w:t>
      </w:r>
    </w:p>
    <w:p w14:paraId="2F0E2EC1">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科学划定城市更新重点区域</w:t>
      </w:r>
    </w:p>
    <w:p w14:paraId="4E245DE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将富贵路沿线区域划定为城市更新重点区域，改造方式以保护修复、综合整治为主，鼓励小规模、渐进式有机更新，以微更新的理念，通过打通城镇道路、老旧建筑更新、增加公共空间和完善配套设施等方式对城镇综合功能片区进行更新改造。</w:t>
      </w:r>
    </w:p>
    <w:p w14:paraId="6433652C">
      <w:pPr>
        <w:widowControl/>
        <w:autoSpaceDE/>
        <w:autoSpaceDN/>
        <w:spacing w:line="360" w:lineRule="auto"/>
        <w:rPr>
          <w:highlight w:val="none"/>
        </w:rPr>
      </w:pPr>
      <w:r>
        <w:rPr>
          <w:highlight w:val="none"/>
        </w:rPr>
        <w:br w:type="page"/>
      </w:r>
    </w:p>
    <w:p w14:paraId="22BD254C">
      <w:pPr>
        <w:pStyle w:val="2"/>
        <w:spacing w:before="0" w:line="360" w:lineRule="auto"/>
        <w:ind w:left="0" w:firstLine="0"/>
        <w:jc w:val="center"/>
        <w:rPr>
          <w:rFonts w:ascii="方正小标宋_GBK" w:hAnsi="方正小标宋_GBK" w:eastAsia="方正小标宋_GBK"/>
          <w:spacing w:val="5"/>
          <w:highlight w:val="none"/>
        </w:rPr>
      </w:pPr>
      <w:bookmarkStart w:id="81" w:name="_bookmark36"/>
      <w:bookmarkEnd w:id="81"/>
      <w:bookmarkStart w:id="82" w:name="_Toc31596"/>
      <w:r>
        <w:rPr>
          <w:rFonts w:ascii="方正小标宋_GBK" w:hAnsi="方正小标宋_GBK" w:eastAsia="方正小标宋_GBK"/>
          <w:spacing w:val="5"/>
          <w:highlight w:val="none"/>
        </w:rPr>
        <w:t>规划传导实施与保障</w:t>
      </w:r>
      <w:bookmarkEnd w:id="82"/>
      <w:r>
        <w:rPr>
          <w:rFonts w:hint="eastAsia" w:ascii="方正小标宋_GBK" w:hAnsi="方正小标宋_GBK" w:eastAsia="方正小标宋_GBK"/>
          <w:spacing w:val="5"/>
          <w:highlight w:val="none"/>
        </w:rPr>
        <w:t xml:space="preserve"> </w:t>
      </w:r>
    </w:p>
    <w:p w14:paraId="4D4CA60E">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按照“统一底图、统一标准、统一规划、统一平台”的要求，健全体制机制，完善相关政策，强化规划传导和用途管制，实施规划全生命周期管理，提升国土空间治理现代化水平，保障规划目标任务顺利完成。</w:t>
      </w:r>
    </w:p>
    <w:p w14:paraId="108B51F0">
      <w:pPr>
        <w:pStyle w:val="3"/>
        <w:numPr>
          <w:ilvl w:val="0"/>
          <w:numId w:val="12"/>
        </w:numPr>
        <w:spacing w:before="240" w:after="240"/>
        <w:ind w:left="0" w:firstLine="0"/>
        <w:jc w:val="center"/>
        <w:rPr>
          <w:rFonts w:ascii="黑体" w:hAnsi="黑体" w:eastAsia="黑体"/>
          <w:highlight w:val="none"/>
          <w:lang w:eastAsia="zh-CN"/>
        </w:rPr>
      </w:pPr>
      <w:bookmarkStart w:id="83" w:name="_bookmark37"/>
      <w:bookmarkEnd w:id="83"/>
      <w:bookmarkStart w:id="84" w:name="_Toc28567"/>
      <w:r>
        <w:rPr>
          <w:rFonts w:hint="eastAsia" w:ascii="黑体" w:hAnsi="黑体" w:eastAsia="黑体"/>
          <w:highlight w:val="none"/>
          <w:lang w:eastAsia="zh-CN"/>
        </w:rPr>
        <w:t>制定单元规划</w:t>
      </w:r>
      <w:bookmarkEnd w:id="84"/>
    </w:p>
    <w:p w14:paraId="4BD3186A">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单元划分</w:t>
      </w:r>
    </w:p>
    <w:p w14:paraId="7C5C6522">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城镇单元以闫集镇区范围为边界，突出功能导向，根据 10-15 分钟生活圈、公共服务半径以及干道、河流等自然地理界线，结合管理和开发时序，划定形成1个城镇单元，镇区分为YJZ-C01单元。</w:t>
      </w:r>
    </w:p>
    <w:p w14:paraId="7FA0C641">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乡村单元以村级行政单元为划分依据，共分为11个乡村单元。</w:t>
      </w:r>
    </w:p>
    <w:p w14:paraId="55E2A406">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明确管制要求</w:t>
      </w:r>
    </w:p>
    <w:p w14:paraId="72BB501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城镇单元。明确单元四至边界、面积、功能定位、建设用地规模，以及单元内涉及的重要公共服务设施、市政基础设施、公园绿地面积、防灾避难场所等的配建标准或空间布局要求；落实重要控制线等内容；合理规划城镇建筑面积发展目标，严格管控高能耗公共建筑建设。</w:t>
      </w:r>
    </w:p>
    <w:p w14:paraId="16FD9C37">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单元。明确单元四至边界、面积、功能定位、村庄人口、建设用地规模及重要设施配建标准或空间布局要求；落实耕地和永久基本农田保护红线、生态保护红线等强制性内容，将指标规模和空间布局传导至村庄，划定保留村庄的村庄建设边界，明确规模控制要求。</w:t>
      </w:r>
    </w:p>
    <w:p w14:paraId="1A5EB3A3">
      <w:pPr>
        <w:pStyle w:val="3"/>
        <w:numPr>
          <w:ilvl w:val="0"/>
          <w:numId w:val="12"/>
        </w:numPr>
        <w:spacing w:before="240" w:after="240"/>
        <w:ind w:left="0" w:firstLine="0"/>
        <w:jc w:val="center"/>
        <w:rPr>
          <w:rFonts w:ascii="黑体" w:hAnsi="黑体" w:eastAsia="黑体"/>
          <w:highlight w:val="none"/>
          <w:lang w:eastAsia="zh-CN"/>
        </w:rPr>
      </w:pPr>
      <w:bookmarkStart w:id="85" w:name="_Toc16082"/>
      <w:r>
        <w:rPr>
          <w:rFonts w:hint="eastAsia" w:ascii="黑体" w:hAnsi="黑体" w:eastAsia="黑体"/>
          <w:highlight w:val="none"/>
          <w:lang w:eastAsia="zh-CN"/>
        </w:rPr>
        <w:t>近期行动计划</w:t>
      </w:r>
      <w:bookmarkEnd w:id="85"/>
    </w:p>
    <w:p w14:paraId="3E1E3CE5">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eastAsia="zh-CN"/>
        </w:rPr>
        <w:t>交通</w:t>
      </w:r>
      <w:r>
        <w:rPr>
          <w:rFonts w:hint="eastAsia" w:eastAsia="仿宋"/>
          <w:w w:val="105"/>
          <w:sz w:val="32"/>
          <w:highlight w:val="none"/>
        </w:rPr>
        <w:t>项目近期行动计划</w:t>
      </w:r>
    </w:p>
    <w:p w14:paraId="2912FE60">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实施</w:t>
      </w:r>
      <w:r>
        <w:rPr>
          <w:rFonts w:hint="default" w:ascii="Times New Roman" w:hAnsi="Times New Roman" w:eastAsia="仿宋_GB2312" w:cs="Times New Roman"/>
          <w:highlight w:val="none"/>
          <w:lang w:val="en-US" w:eastAsia="zh-CN"/>
        </w:rPr>
        <w:t>S02</w:t>
      </w:r>
      <w:r>
        <w:rPr>
          <w:rFonts w:hint="eastAsia" w:ascii="Times New Roman" w:hAnsi="Times New Roman" w:eastAsia="仿宋_GB2312" w:cs="Times New Roman"/>
          <w:highlight w:val="none"/>
          <w:lang w:val="en-US" w:eastAsia="zh-CN"/>
        </w:rPr>
        <w:t>徐州至商丘高速公路、</w:t>
      </w:r>
      <w:r>
        <w:rPr>
          <w:rFonts w:hint="default" w:ascii="Times New Roman" w:hAnsi="Times New Roman" w:eastAsia="仿宋_GB2312" w:cs="Times New Roman"/>
          <w:highlight w:val="none"/>
          <w:lang w:val="en-US" w:eastAsia="zh-CN"/>
        </w:rPr>
        <w:t>X224</w:t>
      </w:r>
      <w:r>
        <w:rPr>
          <w:rFonts w:hint="eastAsia" w:ascii="Times New Roman" w:hAnsi="Times New Roman" w:eastAsia="仿宋_GB2312" w:cs="Times New Roman"/>
          <w:highlight w:val="none"/>
          <w:lang w:val="en-US" w:eastAsia="zh-CN"/>
        </w:rPr>
        <w:t>县道、</w:t>
      </w:r>
      <w:r>
        <w:rPr>
          <w:rFonts w:hint="default" w:ascii="Times New Roman" w:hAnsi="Times New Roman" w:eastAsia="仿宋_GB2312" w:cs="Times New Roman"/>
          <w:highlight w:val="none"/>
          <w:lang w:val="en-US" w:eastAsia="zh-CN"/>
        </w:rPr>
        <w:t>X223</w:t>
      </w:r>
      <w:r>
        <w:rPr>
          <w:rFonts w:hint="eastAsia" w:ascii="Times New Roman" w:hAnsi="Times New Roman" w:eastAsia="仿宋_GB2312" w:cs="Times New Roman"/>
          <w:highlight w:val="none"/>
          <w:lang w:val="en-US" w:eastAsia="zh-CN"/>
        </w:rPr>
        <w:t>县道等等工程。</w:t>
      </w:r>
    </w:p>
    <w:p w14:paraId="58B572E7">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水利项目近期行动计划</w:t>
      </w:r>
    </w:p>
    <w:p w14:paraId="4405F371">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实施水系生态环境及河湖连通、改造配水管网、萧县水毁桥涵修复等工程。</w:t>
      </w:r>
    </w:p>
    <w:p w14:paraId="335902A1">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能源项目近期行动计划</w:t>
      </w:r>
    </w:p>
    <w:p w14:paraId="78C6A663">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实施光伏发电、秸秆发电、生物质热电站、废弃能源综合利用等工程。</w:t>
      </w:r>
    </w:p>
    <w:p w14:paraId="77EA243D">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lang w:val="en-US" w:eastAsia="zh-CN"/>
        </w:rPr>
        <w:t>民生</w:t>
      </w:r>
      <w:r>
        <w:rPr>
          <w:rFonts w:hint="eastAsia" w:eastAsia="仿宋"/>
          <w:w w:val="105"/>
          <w:sz w:val="32"/>
          <w:highlight w:val="none"/>
        </w:rPr>
        <w:t>项目近期行动计划</w:t>
      </w:r>
    </w:p>
    <w:p w14:paraId="6C7D3729">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实施养老设施建设、公益性公墓建设、公共文体设施建设等工程。</w:t>
      </w:r>
    </w:p>
    <w:p w14:paraId="1ABA1B9B">
      <w:pPr>
        <w:pStyle w:val="3"/>
        <w:numPr>
          <w:ilvl w:val="0"/>
          <w:numId w:val="12"/>
        </w:numPr>
        <w:spacing w:before="240" w:after="240"/>
        <w:ind w:left="0" w:firstLine="0"/>
        <w:jc w:val="center"/>
        <w:rPr>
          <w:rFonts w:ascii="黑体" w:hAnsi="黑体" w:eastAsia="黑体"/>
          <w:highlight w:val="none"/>
          <w:lang w:eastAsia="zh-CN"/>
        </w:rPr>
      </w:pPr>
      <w:bookmarkStart w:id="86" w:name="_bookmark39"/>
      <w:bookmarkEnd w:id="86"/>
      <w:bookmarkStart w:id="87" w:name="_bookmark38"/>
      <w:bookmarkEnd w:id="87"/>
      <w:bookmarkStart w:id="88" w:name="_Toc26528"/>
      <w:r>
        <w:rPr>
          <w:rFonts w:hint="eastAsia" w:ascii="黑体" w:hAnsi="黑体" w:eastAsia="黑体"/>
          <w:highlight w:val="none"/>
          <w:lang w:eastAsia="zh-CN"/>
        </w:rPr>
        <w:t>规划实施保障</w:t>
      </w:r>
      <w:bookmarkEnd w:id="88"/>
    </w:p>
    <w:p w14:paraId="70C1B896">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加强组织保障</w:t>
      </w:r>
    </w:p>
    <w:p w14:paraId="52D343EF">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由闫集镇人民政府负责规划实施，建立政府负责、部门协同、公众参与、上下联动的工作机制，制定推进规划的实施措施，按照项目计划制定年度工作安排，监督检查各年度工作的推进执行情况。完善规划决策体制和制度，建立重大问题的政策研究机制和专家论证制度，以及重大建设项目公示与听证制度，提高决策的科学性。健全乡村建设规划许可管理制度，按照先规划、后许可、再建设的原则，优化审批流程，简化管理措施，强化规划权威，确保建设符合规划不走样。充实规划管理力量，推行乡村规划师制度。</w:t>
      </w:r>
    </w:p>
    <w:p w14:paraId="0DE201F7">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落实配套政策</w:t>
      </w:r>
    </w:p>
    <w:p w14:paraId="327227E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建立更加完善的耕地与永久基本农田保护制度。探索建立区域统筹的耕地保护平衡机制。</w:t>
      </w:r>
      <w:r>
        <w:rPr>
          <w:rFonts w:hint="eastAsia" w:ascii="Times New Roman" w:hAnsi="Times New Roman" w:eastAsia="仿宋_GB2312" w:cs="Times New Roman"/>
          <w:highlight w:val="none"/>
          <w:lang w:val="en-US" w:eastAsia="zh-CN" w:bidi="ar"/>
        </w:rPr>
        <w:t>占用永久基本农田需遵循“占一补一、先补后占”原则，确保补划耕地数量大于占用面积、质量大于原耕地等级、集中连片程度不降低</w:t>
      </w:r>
      <w:r>
        <w:rPr>
          <w:rFonts w:hint="eastAsia" w:ascii="Times New Roman" w:hAnsi="Times New Roman" w:eastAsia="仿宋_GB2312" w:cs="Times New Roman"/>
          <w:highlight w:val="none"/>
          <w:lang w:val="en-US" w:eastAsia="zh-CN"/>
        </w:rPr>
        <w:t>。</w:t>
      </w:r>
    </w:p>
    <w:p w14:paraId="607204E9">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探索集体经营性建设用地入市配套政策。建立集体经营性建设用地入市相关配套制度，落实具体操作细则，明确相关利益分配机制，保障农村一二三产业融合发展。</w:t>
      </w:r>
    </w:p>
    <w:p w14:paraId="113354BC">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探索集中居住激励政策。为进一步优化城乡建设用地格局，集约节约用地。政府方面，通过基础设施建设、公共服务完善、经济补贴等方式鼓励村民搬迁到集中居民点聚居。村集体方面，在一户一宅的前提下，采用集中居住后腾退的宅基地面积作价入股等方式，保障集体经济组织成员对原有宅基地的财产权，鼓励集中居住。</w:t>
      </w:r>
    </w:p>
    <w:p w14:paraId="79466DF6">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探索宅基地有偿退出机制。放活宅基地使用权。在土地、财政、融资等方面出台对城镇集中居住、农村自愿退出宅基地配套支持政策。</w:t>
      </w:r>
    </w:p>
    <w:p w14:paraId="1DF56304">
      <w:pPr>
        <w:pStyle w:val="46"/>
        <w:spacing w:before="0" w:line="360" w:lineRule="auto"/>
        <w:ind w:left="0" w:right="108" w:firstLine="718" w:firstLineChars="213"/>
        <w:rPr>
          <w:rFonts w:eastAsia="仿宋"/>
          <w:w w:val="105"/>
          <w:sz w:val="32"/>
          <w:highlight w:val="none"/>
        </w:rPr>
      </w:pPr>
      <w:r>
        <w:rPr>
          <w:rFonts w:hint="eastAsia" w:eastAsia="仿宋"/>
          <w:w w:val="105"/>
          <w:sz w:val="32"/>
          <w:highlight w:val="none"/>
        </w:rPr>
        <w:t>健全监督机制</w:t>
      </w:r>
    </w:p>
    <w:p w14:paraId="69E4529D">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完善公众参与制度，建立贯穿规划编制、实施、监督及乡村治理全过程的公众参与机制。建立并用好国土空间规划“一张图”实施监督信息系统，数据库汇入上级国土空间基础信息平台和“一张图”实施监督信息系统。</w:t>
      </w:r>
    </w:p>
    <w:p w14:paraId="774239C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完善规划实施动态监测、评估、预警、考核机制，将国土空间规划执行情况纳入自然资源执法督查内容，建立规划实施考核制度，实行规划实施考核结果与实施主体责任、绩效挂的考核机制。</w:t>
      </w:r>
      <w:r>
        <w:rPr>
          <w:rFonts w:hint="eastAsia" w:ascii="Times New Roman" w:hAnsi="Times New Roman" w:eastAsia="仿宋_GB2312" w:cs="Times New Roman"/>
          <w:highlight w:val="none"/>
          <w:lang w:val="en-US" w:eastAsia="zh-CN"/>
        </w:rPr>
        <w:br w:type="page"/>
      </w:r>
    </w:p>
    <w:p w14:paraId="42AFAB50">
      <w:pPr>
        <w:pStyle w:val="2"/>
        <w:spacing w:before="0" w:line="360" w:lineRule="auto"/>
        <w:ind w:left="0" w:firstLine="0"/>
        <w:jc w:val="center"/>
        <w:rPr>
          <w:rFonts w:ascii="方正小标宋_GBK" w:hAnsi="方正小标宋_GBK" w:eastAsia="方正小标宋_GBK"/>
          <w:spacing w:val="5"/>
          <w:highlight w:val="none"/>
          <w:lang w:eastAsia="zh-CN"/>
        </w:rPr>
      </w:pPr>
      <w:bookmarkStart w:id="89" w:name="_Toc178169307"/>
      <w:bookmarkStart w:id="90" w:name="_Toc178247612"/>
      <w:bookmarkStart w:id="91" w:name="_Toc7334"/>
      <w:r>
        <w:rPr>
          <w:rFonts w:hint="eastAsia" w:ascii="方正小标宋_GBK" w:hAnsi="方正小标宋_GBK" w:eastAsia="方正小标宋_GBK"/>
          <w:spacing w:val="5"/>
          <w:highlight w:val="none"/>
          <w:lang w:eastAsia="zh-CN"/>
        </w:rPr>
        <w:t>乡村地区“通则式”规划技术管理规定</w:t>
      </w:r>
      <w:bookmarkEnd w:id="89"/>
      <w:bookmarkEnd w:id="90"/>
      <w:bookmarkEnd w:id="91"/>
    </w:p>
    <w:p w14:paraId="74DFBFDA">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闫集镇国土空间总体规划经法定程序批准后将成为编制闫集镇各级各类规划、指导闫集镇集约集聚发展建设的基本依据。镇域各部门各单位应自觉接受规划约束，各项建设与管理按照规划有序组织实施。</w:t>
      </w:r>
    </w:p>
    <w:p w14:paraId="59B82CAC">
      <w:pPr>
        <w:pStyle w:val="3"/>
        <w:numPr>
          <w:ilvl w:val="0"/>
          <w:numId w:val="13"/>
        </w:numPr>
        <w:spacing w:before="240" w:after="240"/>
        <w:ind w:left="0" w:firstLine="0"/>
        <w:jc w:val="center"/>
        <w:rPr>
          <w:rFonts w:hint="eastAsia" w:ascii="黑体" w:hAnsi="黑体" w:eastAsia="黑体"/>
          <w:highlight w:val="none"/>
          <w:lang w:eastAsia="zh-CN"/>
        </w:rPr>
      </w:pPr>
      <w:bookmarkStart w:id="92" w:name="_Toc22133"/>
      <w:r>
        <w:rPr>
          <w:rFonts w:hint="eastAsia" w:ascii="黑体" w:hAnsi="黑体" w:eastAsia="黑体"/>
          <w:highlight w:val="none"/>
          <w:lang w:val="en-US" w:eastAsia="zh-CN"/>
        </w:rPr>
        <w:t>总则</w:t>
      </w:r>
      <w:bookmarkEnd w:id="92"/>
    </w:p>
    <w:p w14:paraId="1135D956">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本管理规定以规划引领，合理布局；底线思维，保护优先；存量挖潜，高效利用；以人为本，振兴乡村；因地制宜，突出特色为原则，以国家和地方相关法律法规、政策文件、标准规范等为依据，为加快乡村地区国土空间规划的编制和实施，实现乡村地区空间规划管理全覆盖，引导乡村地区开展不违反国土空间规划的各类开发建设活动。</w:t>
      </w:r>
    </w:p>
    <w:p w14:paraId="4DB56142">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适用范围</w:t>
      </w:r>
    </w:p>
    <w:p w14:paraId="3DEFE7A2">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本规定适用于闫集镇城镇开发边界外、无需编制村庄规划（详细规划）的乡村地区建设项目的规划管控。符合国土空间规划和“三区三线”管控规则以及相关用地政策、条件的村民住宅建设（新建、改建、扩建）、公共服务设施和基础设施建设、产业和公益事业建设的规划管理，可将“通则式”规定或在“通则式”规定基础上补充编制地块图则作为申请办理乡村集体建设用地审批与规划许可手续的依据。其中，若本规定内容无法满足具体项目建设管控要求的，需在本规定基础上补充编制乡村地区重点地块图则，细化明确用地位置、面积、土地用途、容积率、建筑密度、建筑高度、主要出入口等项目控制内容，作为核发规划许可的依据。</w:t>
      </w:r>
    </w:p>
    <w:p w14:paraId="6EED9BAD">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已编制审批村庄规划（详细规划）的区域，以村庄规划（详细规划）作为用途管制及核发规划许可的依据。村域范围内、城镇开发边界外的国有建设用地的各类新建、改建、扩建项目，已编制村庄规划但未批复期间以及村庄规划批复后但未明确具体管控要求的乡村项目建设，在遵守相关法律法规、规范标准基础上，可参照本规定执行。</w:t>
      </w:r>
    </w:p>
    <w:p w14:paraId="12C9BA4F">
      <w:pPr>
        <w:pStyle w:val="3"/>
        <w:numPr>
          <w:ilvl w:val="0"/>
          <w:numId w:val="13"/>
        </w:numPr>
        <w:spacing w:before="240" w:after="240"/>
        <w:ind w:left="0" w:firstLine="0"/>
        <w:jc w:val="center"/>
        <w:rPr>
          <w:rFonts w:hint="eastAsia" w:ascii="黑体" w:hAnsi="黑体" w:eastAsia="黑体"/>
          <w:highlight w:val="none"/>
          <w:lang w:val="en-US" w:eastAsia="zh-CN"/>
        </w:rPr>
      </w:pPr>
      <w:bookmarkStart w:id="93" w:name="_Toc10456"/>
      <w:r>
        <w:rPr>
          <w:rFonts w:hint="eastAsia" w:ascii="黑体" w:hAnsi="黑体" w:eastAsia="黑体"/>
          <w:highlight w:val="none"/>
          <w:lang w:val="en-US" w:eastAsia="zh-CN"/>
        </w:rPr>
        <w:t>镇村体系</w:t>
      </w:r>
      <w:bookmarkEnd w:id="93"/>
    </w:p>
    <w:p w14:paraId="663BA1D8">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村庄体系</w:t>
      </w:r>
    </w:p>
    <w:p w14:paraId="45AACFE1">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构建“镇区—行政村—自然村”的村庄居民点布局体系， 发挥镇区在城镇化中的带动作用，以县城为引领，全面提升城 乡生活圈公共服务水平。</w:t>
      </w:r>
    </w:p>
    <w:p w14:paraId="0DAA6245">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村庄分类</w:t>
      </w:r>
    </w:p>
    <w:p w14:paraId="4676F1A8">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根据《闫集镇国土空间总体规划（2021-2035 年）》，全镇11个行政村划分为集聚提升类、城郊融合类2种类型，深入学习运用“千万工程”经验，因地制宜分类推进乡村振兴。</w:t>
      </w:r>
    </w:p>
    <w:p w14:paraId="7CFCDDE0">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城郊融合类村庄2个，应加快城乡产业融合发展、基础设施互联互通、公共服务共建共享，在形态上保留乡村风貌，在治理上体现城市水平，逐步强化服务城市发展、承接城市功能外溢、满足城市消费需求的能力。</w:t>
      </w:r>
    </w:p>
    <w:p w14:paraId="3B874D8C">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集聚提升类村庄9个，应重点引导村庄在原有规模基础上有序推进改造提升，激活产业、优化环境、增添活力，建设宜居宜业的美丽村庄。鼓励发挥自身比较优势，强化主导产业支撑。</w:t>
      </w:r>
    </w:p>
    <w:p w14:paraId="0A6EA365">
      <w:pPr>
        <w:pStyle w:val="3"/>
        <w:numPr>
          <w:ilvl w:val="0"/>
          <w:numId w:val="13"/>
        </w:numPr>
        <w:spacing w:before="240" w:after="240"/>
        <w:ind w:left="0" w:firstLine="0"/>
        <w:jc w:val="center"/>
        <w:rPr>
          <w:rFonts w:hint="eastAsia" w:ascii="黑体" w:hAnsi="黑体" w:eastAsia="黑体"/>
          <w:highlight w:val="none"/>
          <w:lang w:val="en-US" w:eastAsia="zh-CN"/>
        </w:rPr>
      </w:pPr>
      <w:bookmarkStart w:id="94" w:name="_Toc21229"/>
      <w:r>
        <w:rPr>
          <w:rFonts w:hint="eastAsia" w:ascii="黑体" w:hAnsi="黑体" w:eastAsia="黑体"/>
          <w:highlight w:val="none"/>
          <w:lang w:val="en-US" w:eastAsia="zh-CN"/>
        </w:rPr>
        <w:t>底线管控</w:t>
      </w:r>
      <w:bookmarkEnd w:id="94"/>
    </w:p>
    <w:p w14:paraId="383CD051">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严格落实“三区三线”划定成果，落实《闫集镇国土空间总体规划（2021-2035 年）》划定的村庄建设边界成果，传导落实国土空间总体规划中其他重要控制线的管控要求。</w:t>
      </w:r>
    </w:p>
    <w:p w14:paraId="0FEF35C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耕地和永久基本农田保护红线</w:t>
      </w:r>
    </w:p>
    <w:p w14:paraId="0A7554E2">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永久基本农田未经批准不得擅自调整，乡村建设不得擅自占用或改变用途。永久基本农田不得转为林地、草地、园地等其他农用地及农业设施建设用地，严禁新增占用永久基本农田建设畜禽养殖设施、水产养殖设施和破坏耕作层的种植业设施以及其他违反法律、行政法规和国务院规定的活动。</w:t>
      </w:r>
    </w:p>
    <w:p w14:paraId="1298C674">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严格落实全县耕地保护红线划定成果，严格执行耕地用途管制，全面落实耕地占补平衡制度，分期有序落实耕地补充任务。</w:t>
      </w:r>
    </w:p>
    <w:p w14:paraId="16ED8B5E">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闫集镇永久基本农田具体分布情况以经依法批准的闫集镇国土空间总体规划为依据。</w:t>
      </w:r>
    </w:p>
    <w:p w14:paraId="501A8C8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村庄建设边界</w:t>
      </w:r>
    </w:p>
    <w:p w14:paraId="59D3F5BB">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村庄建设边界是规划期内相对集中开展村庄建设的空间范围。村庄建设边界划定依法在乡镇级国土空间总体规划中开展。涉及新增用地的农民建房、农村基本公共服务设施，不应在村庄建设边界外选址。确需选址在村庄建设边界外的少量乡村基础设施、零星乡村产业用地，所涉用地规模纳入村庄建设边界新增潜力空间统筹核算，并相应调整或缩减村庄建设边界。</w:t>
      </w:r>
    </w:p>
    <w:p w14:paraId="16625B95">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历史文化保护线</w:t>
      </w:r>
    </w:p>
    <w:p w14:paraId="25495172">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闫集镇国土空间总体规划划定的历史文化保护线。将文物保护单位保护范围和建设控制地带以及城市紫线等一并纳入历史文化保护线，并实施严格保护。历史文化保护线内各项地上、地下国土空间保护开发行为均应严格遵守历史文化遗产保护相关法律法规和保护规划管控要求，保护遗产本体、传统格局和历史环境。</w:t>
      </w:r>
    </w:p>
    <w:p w14:paraId="72E5B983">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洪涝风险控制线</w:t>
      </w:r>
    </w:p>
    <w:p w14:paraId="36258C4E">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落实闫集镇国土空间总体规划划定的洪涝风险控制线。洪涝风险控制线主要按水利主管部门已公布的河道以及湖库范围为基础划定。</w:t>
      </w:r>
    </w:p>
    <w:p w14:paraId="0A6DBE92">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严禁在洪涝风险控制线内进行永久性的、不符合防洪排涝要求的建设活动。对于已有的违规建筑物和构筑物，应根据相关规划和政策逐步拆除或整改。在控制线内进行临时性建设项目时，需提前向相关部门申报，经严格审批后方可实施，且建设项目不得影响防洪安全和行洪通畅。</w:t>
      </w:r>
    </w:p>
    <w:p w14:paraId="34E9B7FF">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负面清单管控要求</w:t>
      </w:r>
    </w:p>
    <w:p w14:paraId="42A471D1">
      <w:pPr>
        <w:pStyle w:val="13"/>
        <w:autoSpaceDE/>
        <w:autoSpaceDN/>
        <w:spacing w:before="0" w:beforeLines="0" w:line="360" w:lineRule="auto"/>
        <w:ind w:left="0" w:leftChars="0" w:right="0" w:rightChars="0" w:firstLine="64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建设内容按照《安徽省自然资源厅关于乡村地区“通则式”规划技术管理规定编制要求的通知》（皖自然资规划〔2025〕1号）附件1乡村地区国土空间用途管制负面清单严格管控。</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14:paraId="3D5D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039D26A3">
            <w:pPr>
              <w:jc w:val="center"/>
              <w:rPr>
                <w:rFonts w:hint="default" w:ascii="仿宋" w:hAnsi="仿宋" w:eastAsia="仿宋_GB2312" w:cs="仿宋"/>
                <w:color w:val="000000" w:themeColor="text1"/>
                <w:sz w:val="28"/>
                <w:szCs w:val="28"/>
                <w:highlight w:val="none"/>
                <w:lang w:val="en-US" w:eastAsia="zh-CN" w:bidi="zh-TW"/>
                <w14:textFill>
                  <w14:solidFill>
                    <w14:schemeClr w14:val="tx1"/>
                  </w14:solidFill>
                </w14:textFill>
              </w:rPr>
            </w:pPr>
            <w:r>
              <w:rPr>
                <w:rFonts w:hint="eastAsia" w:ascii="仿宋" w:hAnsi="仿宋" w:eastAsia="仿宋_GB2312" w:cs="仿宋"/>
                <w:b/>
                <w:bCs/>
                <w:color w:val="000000" w:themeColor="text1"/>
                <w:sz w:val="28"/>
                <w:szCs w:val="28"/>
                <w:highlight w:val="none"/>
                <w:lang w:val="en-US" w:eastAsia="zh-CN" w:bidi="zh-TW"/>
                <w14:textFill>
                  <w14:solidFill>
                    <w14:schemeClr w14:val="tx1"/>
                  </w14:solidFill>
                </w14:textFill>
              </w:rPr>
              <w:t>专栏：乡村地区国土空间用途管制负面清单</w:t>
            </w:r>
          </w:p>
        </w:tc>
      </w:tr>
      <w:tr w14:paraId="095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6" w:type="dxa"/>
          </w:tcPr>
          <w:p w14:paraId="5F3C930C">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t>一、永久基本农田占用负面清单</w:t>
            </w:r>
          </w:p>
          <w:p w14:paraId="19483957">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1.永久基本农田不得转为林地、草地、园地等其他农用地及农业设施建设用地;</w:t>
            </w:r>
          </w:p>
          <w:p w14:paraId="02D47F1B">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2.严禁占用永久基本农田发展林果业和挖塘养鱼;</w:t>
            </w:r>
          </w:p>
          <w:p w14:paraId="12CE345C">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3.严禁占用永久基本农田种植苗木、草皮等用于绿化装饰以及其他破坏耕作层的植物;</w:t>
            </w:r>
          </w:p>
          <w:p w14:paraId="30BFB926">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4.严禁占用永久基本农田挖湖造景、建设绿化带;</w:t>
            </w:r>
          </w:p>
          <w:p w14:paraId="73697D6B">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5.严禁新增占用永久基本农田建设畜禽养殖设施、水产养殖设施和破坏耕作层的种植业设施;</w:t>
            </w:r>
          </w:p>
          <w:p w14:paraId="1B764162">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6.严禁任何单位和个人在永久基本农田上建密、建房、建坟、挖砂、采石、取土、堆放固体废弃物或者进行其他破坏永久基本农田的活动;</w:t>
            </w:r>
          </w:p>
          <w:p w14:paraId="0DB9930D">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7.严禁在城乡建设中以单个项目占用为目的擅自调整永久基本农田:</w:t>
            </w:r>
          </w:p>
          <w:p w14:paraId="4912033E">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8.其他法律、法规、国家政策文件规定的限制和禁止情形。</w:t>
            </w:r>
          </w:p>
          <w:p w14:paraId="09D2A5C3">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t>二、一般耕地占用负面清单</w:t>
            </w:r>
          </w:p>
          <w:p w14:paraId="34631C44">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1.不得在一般耕地上挖湖造景、种植草皮;</w:t>
            </w:r>
          </w:p>
          <w:p w14:paraId="0A60537C">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2.不得在国家批准的生态退耕规划和计划外擅自扩大退耕还林还草还湿还湖规模;</w:t>
            </w:r>
          </w:p>
          <w:p w14:paraId="4AAC9338">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3.不得违规超标准在铁路、公路等用地红线外，以及河渠两侧、水库周边占用一般耕地种树建设绿化带;</w:t>
            </w:r>
          </w:p>
          <w:p w14:paraId="315CFF67">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4.未经批准不得占用一般耕地实施国土绿化;</w:t>
            </w:r>
          </w:p>
          <w:p w14:paraId="77FD4CD4">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5.未经批准工商企业等社会资本不得将通过流转获得土地经营权的一般耕地转为林地、园地等其他农用地;</w:t>
            </w:r>
          </w:p>
          <w:p w14:paraId="2C2D977B">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6.禁止占用耕地建窑、建坟或者擅自在耕地上建房、挖砂、采石、采矿、取土等;</w:t>
            </w:r>
          </w:p>
          <w:p w14:paraId="0674F1D9">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7.严禁以设施农业为名占用耕地违法违规建设与农业发展无关的设施;</w:t>
            </w:r>
          </w:p>
          <w:p w14:paraId="198CCAAA">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8.严禁在农业大棚内违法违规占用耕地建设住宅、餐饮、娱乐等非农设施;</w:t>
            </w:r>
          </w:p>
          <w:p w14:paraId="42ACAC5E">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9.其他法律、法规、国家政策文件规定的限制和禁止情形。</w:t>
            </w:r>
          </w:p>
          <w:p w14:paraId="3F8ED953">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t>三、生态空间管控负面清单</w:t>
            </w:r>
          </w:p>
          <w:p w14:paraId="77E45CB4">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1.严禁以土地综合整治名义调整生态保护红线;</w:t>
            </w:r>
          </w:p>
          <w:p w14:paraId="26175D49">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2.严禁破坏生态环境砍树挖山填湖，严禁违法占用林地、湿地、草地，不得采伐古树名木，不得以整治名义擅自毁林开垦;</w:t>
            </w:r>
          </w:p>
          <w:p w14:paraId="6DF27ED6">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3.禁止毁坏森林、草原开垦耕地，禁止围湖造田和侵占江河滩地;</w:t>
            </w:r>
          </w:p>
          <w:p w14:paraId="242A519A">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4.其他法律、法规、国家政策文件规定的限制和禁止情形。</w:t>
            </w:r>
          </w:p>
          <w:p w14:paraId="40A3B1A7">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t>四、农村建房负面清单</w:t>
            </w:r>
          </w:p>
          <w:p w14:paraId="4BED79DD">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1.不准占用永久基本农田建房;</w:t>
            </w:r>
          </w:p>
          <w:p w14:paraId="589DBBA7">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2.不准强占多占耕地建房;</w:t>
            </w:r>
          </w:p>
          <w:p w14:paraId="1CA83900">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3.不准买卖、流转耕地违法建房;</w:t>
            </w:r>
          </w:p>
          <w:p w14:paraId="5268663E">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4.不准在承包耕地上违法建房:</w:t>
            </w:r>
          </w:p>
          <w:p w14:paraId="2BCA4F77">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5.不准巧立名目违法占用耕地建房;</w:t>
            </w:r>
          </w:p>
          <w:p w14:paraId="6760338F">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6.不准违反“一户一宅”规定占用耕地建房;</w:t>
            </w:r>
          </w:p>
          <w:p w14:paraId="1CF88B4C">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7.不准非法出售占用耕地建设的房屋;</w:t>
            </w:r>
          </w:p>
          <w:p w14:paraId="2C51E802">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8.不准违法审批占用耕地建房;</w:t>
            </w:r>
          </w:p>
          <w:p w14:paraId="7169054B">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9.严禁下乡利用农村宅基地建设别墅大院和私人会馆。严禁随意撤并村庄搞大社区、违背农民意愿大拆大建;</w:t>
            </w:r>
          </w:p>
          <w:p w14:paraId="29286104">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10.禁止违背农村村民意愿强制流转宅基地，禁止违法收回农村村民依法取得的宅基地，禁止以退出宅基地作为农村村民进城落户的条件，不得强制农民搬迁和上楼居住;</w:t>
            </w:r>
          </w:p>
          <w:p w14:paraId="2A4E4C4D">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11.其他法律、法规、国家政策文件规定的限制和禁止情形。</w:t>
            </w:r>
          </w:p>
          <w:p w14:paraId="4CA7C7D5">
            <w:pPr>
              <w:keepNext w:val="0"/>
              <w:keepLines w:val="0"/>
              <w:pageBreakBefore w:val="0"/>
              <w:widowControl w:val="0"/>
              <w:kinsoku/>
              <w:wordWrap/>
              <w:overflowPunct/>
              <w:topLinePunct w:val="0"/>
              <w:autoSpaceDE w:val="0"/>
              <w:autoSpaceDN w:val="0"/>
              <w:bidi w:val="0"/>
              <w:adjustRightInd/>
              <w:snapToGrid/>
              <w:ind w:firstLine="562" w:firstLineChars="200"/>
              <w:textAlignment w:val="auto"/>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bidi="zh-TW"/>
                <w14:textFill>
                  <w14:solidFill>
                    <w14:schemeClr w14:val="tx1"/>
                  </w14:solidFill>
                </w14:textFill>
              </w:rPr>
              <w:t>五、农村产业用地负面清单</w:t>
            </w:r>
          </w:p>
          <w:p w14:paraId="6C7D6505">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1.农村产业融合发展用地不得用于商品住宅、别墅、酒店、公寓等房地产开发，不得擅自改变用途或分割转让转租;</w:t>
            </w:r>
          </w:p>
          <w:p w14:paraId="1759E99E">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2.不得用于国家明令淘汰的落后产能、列入国家禁止类产业目录的、污染环境的项目建设;</w:t>
            </w:r>
          </w:p>
          <w:p w14:paraId="4C43B812">
            <w:pPr>
              <w:keepNext w:val="0"/>
              <w:keepLines w:val="0"/>
              <w:pageBreakBefore w:val="0"/>
              <w:widowControl w:val="0"/>
              <w:kinsoku/>
              <w:wordWrap/>
              <w:overflowPunct/>
              <w:topLinePunct w:val="0"/>
              <w:autoSpaceDE w:val="0"/>
              <w:autoSpaceDN w:val="0"/>
              <w:bidi w:val="0"/>
              <w:adjustRightInd/>
              <w:snapToGrid/>
              <w:ind w:firstLine="560" w:firstLineChars="200"/>
              <w:textAlignment w:val="auto"/>
              <w:rPr>
                <w:rFonts w:hint="eastAsia" w:ascii="仿宋" w:hAnsi="仿宋" w:eastAsia="仿宋_GB2312" w:cs="仿宋"/>
                <w:color w:val="000000" w:themeColor="text1"/>
                <w:sz w:val="28"/>
                <w:szCs w:val="28"/>
                <w:highlight w:val="none"/>
                <w:lang w:val="en-US" w:eastAsia="zh-CN" w:bidi="zh-TW"/>
                <w14:textFill>
                  <w14:solidFill>
                    <w14:schemeClr w14:val="tx1"/>
                  </w14:solidFill>
                </w14:textFill>
              </w:rPr>
            </w:pPr>
            <w:r>
              <w:rPr>
                <w:rFonts w:hint="default" w:ascii="Times New Roman" w:hAnsi="Times New Roman" w:eastAsia="仿宋_GB2312" w:cs="Times New Roman"/>
                <w:color w:val="000000" w:themeColor="text1"/>
                <w:sz w:val="28"/>
                <w:szCs w:val="28"/>
                <w:highlight w:val="none"/>
                <w:lang w:val="en-US" w:eastAsia="zh-CN" w:bidi="zh-TW"/>
                <w14:textFill>
                  <w14:solidFill>
                    <w14:schemeClr w14:val="tx1"/>
                  </w14:solidFill>
                </w14:textFill>
              </w:rPr>
              <w:t>3.其他法律、法规、国家政策文件规定的限制和禁止情形。</w:t>
            </w:r>
          </w:p>
        </w:tc>
      </w:tr>
    </w:tbl>
    <w:p w14:paraId="7A0CD1E6">
      <w:pPr>
        <w:pStyle w:val="3"/>
        <w:numPr>
          <w:ilvl w:val="0"/>
          <w:numId w:val="13"/>
        </w:numPr>
        <w:spacing w:before="240" w:after="240"/>
        <w:ind w:left="0" w:firstLine="0"/>
        <w:jc w:val="center"/>
        <w:rPr>
          <w:rFonts w:hint="eastAsia" w:ascii="黑体" w:hAnsi="黑体" w:eastAsia="黑体"/>
          <w:highlight w:val="none"/>
          <w:lang w:val="en-US" w:eastAsia="zh-CN"/>
        </w:rPr>
      </w:pPr>
      <w:bookmarkStart w:id="95" w:name="_Toc20195"/>
      <w:r>
        <w:rPr>
          <w:rFonts w:hint="eastAsia" w:ascii="黑体" w:hAnsi="黑体" w:eastAsia="黑体"/>
          <w:highlight w:val="none"/>
          <w:lang w:val="en-US" w:eastAsia="zh-CN"/>
        </w:rPr>
        <w:t>指标管控</w:t>
      </w:r>
      <w:bookmarkEnd w:id="95"/>
    </w:p>
    <w:p w14:paraId="6663528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上位规划传导的约束指标</w:t>
      </w:r>
    </w:p>
    <w:p w14:paraId="27DC98A0">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lang w:val="en-US" w:eastAsia="zh-CN"/>
        </w:rPr>
        <w:t>村庄建设边界规模严格执行萧县国土空间总体规划下达指标</w:t>
      </w:r>
      <w:r>
        <w:rPr>
          <w:rFonts w:hint="eastAsia" w:ascii="Times New Roman" w:hAnsi="Times New Roman" w:eastAsia="仿宋_GB2312" w:cs="Times New Roman"/>
          <w:highlight w:val="none"/>
          <w:lang w:val="en-US" w:eastAsia="zh-CN"/>
        </w:rPr>
        <w:t>（最终数据以经批准后的乡镇级国土空间总体规划为依据）。</w:t>
      </w:r>
    </w:p>
    <w:p w14:paraId="1DC3CDC3">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指标预留</w:t>
      </w:r>
    </w:p>
    <w:p w14:paraId="4E9F8AC3">
      <w:pPr>
        <w:pStyle w:val="13"/>
        <w:autoSpaceDE/>
        <w:autoSpaceDN/>
        <w:spacing w:before="0" w:beforeLines="0" w:line="360" w:lineRule="auto"/>
        <w:ind w:left="0" w:leftChars="0" w:right="0" w:rightChars="0" w:firstLine="64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国土空间开发保护预留指标要求。确需选址在村庄建设边界外的少量乡村居住用地、乡村基础设施、零星乡村产业用地，在符合相关空间控制线管控要求的前提下，通过落实规划预留村庄建设用地指标或缩减村庄建设边界内新增潜力空间规模等方式落地建设。</w:t>
      </w:r>
    </w:p>
    <w:p w14:paraId="47140CE2">
      <w:pPr>
        <w:pStyle w:val="3"/>
        <w:numPr>
          <w:ilvl w:val="0"/>
          <w:numId w:val="13"/>
        </w:numPr>
        <w:spacing w:before="240" w:after="240"/>
        <w:ind w:left="0" w:firstLine="0"/>
        <w:jc w:val="center"/>
        <w:rPr>
          <w:rFonts w:hint="eastAsia" w:ascii="黑体" w:hAnsi="黑体" w:eastAsia="黑体"/>
          <w:highlight w:val="none"/>
          <w:lang w:val="en-US" w:eastAsia="zh-CN"/>
        </w:rPr>
      </w:pPr>
      <w:bookmarkStart w:id="96" w:name="_Toc4757"/>
      <w:r>
        <w:rPr>
          <w:rFonts w:hint="eastAsia" w:ascii="黑体" w:hAnsi="黑体" w:eastAsia="黑体"/>
          <w:highlight w:val="none"/>
          <w:lang w:val="en-US" w:eastAsia="zh-CN"/>
        </w:rPr>
        <w:t>用地布局</w:t>
      </w:r>
      <w:bookmarkEnd w:id="96"/>
    </w:p>
    <w:p w14:paraId="6FAAA25A">
      <w:pPr>
        <w:pStyle w:val="13"/>
        <w:keepNext w:val="0"/>
        <w:keepLines w:val="0"/>
        <w:pageBreakBefore w:val="0"/>
        <w:widowControl w:val="0"/>
        <w:kinsoku/>
        <w:wordWrap/>
        <w:overflowPunct/>
        <w:topLinePunct w:val="0"/>
        <w:autoSpaceDE w:val="0"/>
        <w:autoSpaceDN w:val="0"/>
        <w:bidi w:val="0"/>
        <w:adjustRightInd/>
        <w:snapToGrid/>
        <w:spacing w:before="0" w:beforeLines="0" w:line="360" w:lineRule="auto"/>
        <w:ind w:left="0" w:leftChars="0" w:right="110" w:firstLine="681" w:firstLineChars="213"/>
        <w:textAlignment w:val="auto"/>
        <w:rPr>
          <w:rFonts w:hint="eastAsia" w:eastAsia="仿宋_GB2312"/>
          <w:color w:val="000000" w:themeColor="text1"/>
          <w:highlight w:val="none"/>
          <w:lang w:val="en-US" w:eastAsia="zh-CN"/>
          <w14:textFill>
            <w14:solidFill>
              <w14:schemeClr w14:val="tx1"/>
            </w14:solidFill>
          </w14:textFill>
        </w:rPr>
      </w:pPr>
      <w:r>
        <w:rPr>
          <w:rFonts w:hint="eastAsia" w:eastAsia="仿宋_GB2312"/>
          <w:color w:val="000000" w:themeColor="text1"/>
          <w:highlight w:val="none"/>
          <w:lang w:val="en-US" w:eastAsia="zh-CN"/>
          <w14:textFill>
            <w14:solidFill>
              <w14:schemeClr w14:val="tx1"/>
            </w14:solidFill>
          </w14:textFill>
        </w:rPr>
        <w:t>村庄建设用地应选址在地质条件较好、环境适宜、交通方便的地段。新增村庄建设用地应与农村土地综合整治相结合，充分利用原有闲置宅基地、村内空闲地、村周边的丘陵坡地或其他未利用地，少占或不占耕地。村庄建设原则上应避让各类地质灾害隐患地段及其他危险地段，无法避免的，应按照具体的地质灾害分区防控要求，采取针对性的防治措施。</w:t>
      </w:r>
    </w:p>
    <w:p w14:paraId="214D1FDB">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村民住房布局要求</w:t>
      </w:r>
    </w:p>
    <w:p w14:paraId="5C545AB3">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村民住房选址要引导集聚、预留空间，有利生产、方便生活。严格落实“一户一宅”政策要求，引导在村庄建设边界内选址、盘活利用闲置宅基地。经批准异地建造住宅的，应当严格按照“建新拆旧”要求将原宅基地交还给村集体。</w:t>
      </w:r>
    </w:p>
    <w:p w14:paraId="2B85344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农房选址要求严格落实农村乱占耕地建房“八不准”，严格落实一户一宅，新建农房应向上位国土空间规划确定的农民集中居住区集聚。新建、改建、现状扩建农房应在村庄建设边界内选址，可通过存量腾挪潜力空间安排用地，并尽量使用未利用地，不占或少占耕地。确需新增散居村民住宅用地的，在保证安全及满足底线管控等前提下，可使用规划“留白”机动指标在村庄建设边界外安排少量建设用地予以保障，实行比例和面积控制，并尽量使用未利用地，不占或少占耕地，禁止占用永久基本农田。 </w:t>
      </w:r>
    </w:p>
    <w:p w14:paraId="4CBA21D8">
      <w:pPr>
        <w:pStyle w:val="13"/>
        <w:autoSpaceDE/>
        <w:autoSpaceDN/>
        <w:spacing w:before="0" w:beforeLines="0" w:line="360" w:lineRule="auto"/>
        <w:ind w:left="0" w:leftChars="0" w:right="0" w:rightChars="0" w:firstLine="640" w:firstLineChars="0"/>
        <w:contextualSpacing/>
        <w:rPr>
          <w:rFonts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具体建设内容应符合《关于进一步加强农村宅基地审批管理工作的实施意见》（皖农合〔2020〕38 号）、《萧县农村宅基地审批管理办法（试行）》等相关规范要求。</w:t>
      </w:r>
    </w:p>
    <w:p w14:paraId="4D189A11">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乡村公共服务设施用地布局要求</w:t>
      </w:r>
    </w:p>
    <w:p w14:paraId="22FD6559">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按照《社区生活圈规划技术指南》（TD/T1062-2021）要求，可构建“乡集镇、村/组”两个乡村社区生活圈层级，强化县域与乡村层面对农村基本公共服务供给的统筹，配套标准按照乡村公共服务设施配置表执行。注重相邻村庄之间服务要素的错位配置和共享使用，鼓励有条件的村村之间、村镇（乡）之间、村城之间共享公共服务设施。鼓励充分利用现有存量建设用地空间，多功能复合设置。</w:t>
      </w:r>
    </w:p>
    <w:p w14:paraId="2BB6D59E">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构建功能复合、便捷可达、环境宜人的乡集镇公共活动中心，文化、体育、医疗、教育等服务要素宜邻近生活性街道、交通节点、公园水系等布局。引导村/组级公共服务要素适度集聚，可结合乡村生产生活及出行休闲习惯统筹布局，围绕现状公共空间、公交站点、特色公建、古树名木等打造乡村公共活动中心，作为居民日常活动、办事、交往的主要场所。</w:t>
      </w:r>
    </w:p>
    <w:tbl>
      <w:tblPr>
        <w:tblStyle w:val="33"/>
        <w:tblW w:w="883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7"/>
        <w:gridCol w:w="2731"/>
        <w:gridCol w:w="1298"/>
        <w:gridCol w:w="1334"/>
        <w:gridCol w:w="2059"/>
      </w:tblGrid>
      <w:tr w14:paraId="449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8839" w:type="dxa"/>
            <w:gridSpan w:val="5"/>
            <w:shd w:val="clear" w:color="auto" w:fill="F1F1F1"/>
            <w:vAlign w:val="center"/>
          </w:tcPr>
          <w:p w14:paraId="15FC402B">
            <w:pPr>
              <w:pStyle w:val="64"/>
              <w:keepNext w:val="0"/>
              <w:keepLines w:val="0"/>
              <w:pageBreakBefore w:val="0"/>
              <w:widowControl w:val="0"/>
              <w:kinsoku/>
              <w:wordWrap/>
              <w:overflowPunct/>
              <w:topLinePunct w:val="0"/>
              <w:autoSpaceDE w:val="0"/>
              <w:autoSpaceDN w:val="0"/>
              <w:bidi w:val="0"/>
              <w:adjustRightInd/>
              <w:snapToGrid/>
              <w:spacing w:before="78" w:line="240" w:lineRule="auto"/>
              <w:jc w:val="center"/>
              <w:textAlignment w:val="auto"/>
              <w:rPr>
                <w:rFonts w:hint="eastAsia" w:ascii="仿宋_GB2312" w:hAnsi="仿宋_GB2312" w:eastAsia="仿宋_GB2312" w:cs="仿宋_GB2312"/>
                <w:b/>
                <w:bCs/>
                <w:spacing w:val="-7"/>
                <w:sz w:val="21"/>
                <w:szCs w:val="21"/>
                <w:highlight w:val="none"/>
              </w:rPr>
            </w:pPr>
            <w:r>
              <w:rPr>
                <w:rFonts w:hint="eastAsia" w:ascii="黑体" w:hAnsi="黑体" w:eastAsia="黑体" w:cs="黑体"/>
                <w:b w:val="0"/>
                <w:bCs w:val="0"/>
                <w:spacing w:val="-7"/>
                <w:sz w:val="28"/>
                <w:szCs w:val="28"/>
                <w:highlight w:val="none"/>
                <w:lang w:val="en-US" w:eastAsia="zh-CN"/>
              </w:rPr>
              <w:t>专栏：</w:t>
            </w:r>
            <w:r>
              <w:rPr>
                <w:rFonts w:hint="eastAsia" w:ascii="黑体" w:hAnsi="黑体" w:eastAsia="黑体" w:cs="黑体"/>
                <w:b w:val="0"/>
                <w:bCs w:val="0"/>
                <w:spacing w:val="-7"/>
                <w:sz w:val="28"/>
                <w:szCs w:val="28"/>
                <w:highlight w:val="none"/>
              </w:rPr>
              <w:t>乡村公共服务设施配置表</w:t>
            </w:r>
          </w:p>
        </w:tc>
      </w:tr>
      <w:tr w14:paraId="43FD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417" w:type="dxa"/>
            <w:vMerge w:val="restart"/>
            <w:shd w:val="clear" w:color="auto" w:fill="F1F1F1"/>
            <w:vAlign w:val="center"/>
          </w:tcPr>
          <w:p w14:paraId="7484F90F">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分类</w:t>
            </w:r>
          </w:p>
        </w:tc>
        <w:tc>
          <w:tcPr>
            <w:tcW w:w="2731" w:type="dxa"/>
            <w:vMerge w:val="restart"/>
            <w:shd w:val="clear" w:color="auto" w:fill="F1F1F1"/>
            <w:vAlign w:val="center"/>
          </w:tcPr>
          <w:p w14:paraId="19416C56">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乡村公共服务设施名称</w:t>
            </w:r>
          </w:p>
        </w:tc>
        <w:tc>
          <w:tcPr>
            <w:tcW w:w="2632" w:type="dxa"/>
            <w:gridSpan w:val="2"/>
            <w:shd w:val="clear" w:color="auto" w:fill="F1F1F1"/>
            <w:vAlign w:val="center"/>
          </w:tcPr>
          <w:p w14:paraId="3496B9F5">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生活圈层级</w:t>
            </w:r>
          </w:p>
        </w:tc>
        <w:tc>
          <w:tcPr>
            <w:tcW w:w="2059" w:type="dxa"/>
            <w:vMerge w:val="restart"/>
            <w:shd w:val="clear" w:color="auto" w:fill="F1F1F1"/>
            <w:vAlign w:val="center"/>
          </w:tcPr>
          <w:p w14:paraId="7D6033E7">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配置要求</w:t>
            </w:r>
          </w:p>
        </w:tc>
      </w:tr>
      <w:tr w14:paraId="0397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DDC47B8">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Merge w:val="continue"/>
            <w:vAlign w:val="center"/>
          </w:tcPr>
          <w:p w14:paraId="4CCF652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1298" w:type="dxa"/>
            <w:shd w:val="clear" w:color="auto" w:fill="F1F1F1"/>
            <w:vAlign w:val="center"/>
          </w:tcPr>
          <w:p w14:paraId="28070FC6">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乡集镇</w:t>
            </w:r>
          </w:p>
        </w:tc>
        <w:tc>
          <w:tcPr>
            <w:tcW w:w="1334" w:type="dxa"/>
            <w:shd w:val="clear" w:color="auto" w:fill="F1F1F1"/>
            <w:vAlign w:val="center"/>
          </w:tcPr>
          <w:p w14:paraId="6B157035">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村/组</w:t>
            </w:r>
          </w:p>
        </w:tc>
        <w:tc>
          <w:tcPr>
            <w:tcW w:w="2059" w:type="dxa"/>
            <w:vMerge w:val="continue"/>
            <w:vAlign w:val="center"/>
          </w:tcPr>
          <w:p w14:paraId="4F062D57">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r>
      <w:tr w14:paraId="7687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1F5D962C">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健康管理</w:t>
            </w:r>
          </w:p>
        </w:tc>
        <w:tc>
          <w:tcPr>
            <w:tcW w:w="2731" w:type="dxa"/>
            <w:vAlign w:val="center"/>
          </w:tcPr>
          <w:p w14:paraId="278161E1">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乡镇卫生院</w:t>
            </w:r>
          </w:p>
        </w:tc>
        <w:tc>
          <w:tcPr>
            <w:tcW w:w="1298" w:type="dxa"/>
            <w:vAlign w:val="center"/>
          </w:tcPr>
          <w:p w14:paraId="79E36C7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10"/>
                          <a:stretch>
                            <a:fillRect/>
                          </a:stretch>
                        </pic:blipFill>
                        <pic:spPr>
                          <a:xfrm>
                            <a:off x="0" y="0"/>
                            <a:ext cx="122986" cy="168859"/>
                          </a:xfrm>
                          <a:prstGeom prst="rect">
                            <a:avLst/>
                          </a:prstGeom>
                        </pic:spPr>
                      </pic:pic>
                    </a:graphicData>
                  </a:graphic>
                </wp:inline>
              </w:drawing>
            </w:r>
          </w:p>
        </w:tc>
        <w:tc>
          <w:tcPr>
            <w:tcW w:w="1334" w:type="dxa"/>
            <w:vAlign w:val="center"/>
          </w:tcPr>
          <w:p w14:paraId="630BC563">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69C80119">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宜独立占地</w:t>
            </w:r>
          </w:p>
        </w:tc>
      </w:tr>
      <w:tr w14:paraId="60D5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162FF2E1">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310AC5C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卫生服务站</w:t>
            </w:r>
          </w:p>
        </w:tc>
        <w:tc>
          <w:tcPr>
            <w:tcW w:w="1298" w:type="dxa"/>
            <w:vAlign w:val="center"/>
          </w:tcPr>
          <w:p w14:paraId="09D83512">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4793962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7CECA6F2">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3AD7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0932346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0DCCCDD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村卫生室</w:t>
            </w:r>
          </w:p>
        </w:tc>
        <w:tc>
          <w:tcPr>
            <w:tcW w:w="1298" w:type="dxa"/>
            <w:vAlign w:val="center"/>
          </w:tcPr>
          <w:p w14:paraId="2A3C7718">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45BE38C1">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36BEC0F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3733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restart"/>
            <w:vAlign w:val="center"/>
          </w:tcPr>
          <w:p w14:paraId="1ABDA461">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为老服务</w:t>
            </w:r>
          </w:p>
        </w:tc>
        <w:tc>
          <w:tcPr>
            <w:tcW w:w="2731" w:type="dxa"/>
            <w:vAlign w:val="center"/>
          </w:tcPr>
          <w:p w14:paraId="7C8C657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养老院</w:t>
            </w:r>
          </w:p>
        </w:tc>
        <w:tc>
          <w:tcPr>
            <w:tcW w:w="1298" w:type="dxa"/>
            <w:vAlign w:val="center"/>
          </w:tcPr>
          <w:p w14:paraId="59035C32">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0"/>
                          <a:stretch>
                            <a:fillRect/>
                          </a:stretch>
                        </pic:blipFill>
                        <pic:spPr>
                          <a:xfrm>
                            <a:off x="0" y="0"/>
                            <a:ext cx="122986" cy="168859"/>
                          </a:xfrm>
                          <a:prstGeom prst="rect">
                            <a:avLst/>
                          </a:prstGeom>
                        </pic:spPr>
                      </pic:pic>
                    </a:graphicData>
                  </a:graphic>
                </wp:inline>
              </w:drawing>
            </w:r>
          </w:p>
        </w:tc>
        <w:tc>
          <w:tcPr>
            <w:tcW w:w="1334" w:type="dxa"/>
            <w:vAlign w:val="center"/>
          </w:tcPr>
          <w:p w14:paraId="624C3298">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0AAB00A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宜独立占地</w:t>
            </w:r>
          </w:p>
        </w:tc>
      </w:tr>
      <w:tr w14:paraId="325A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78CD850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1C8B555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老年活动室</w:t>
            </w:r>
          </w:p>
        </w:tc>
        <w:tc>
          <w:tcPr>
            <w:tcW w:w="1298" w:type="dxa"/>
            <w:vAlign w:val="center"/>
          </w:tcPr>
          <w:p w14:paraId="1A5EDFF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0E4A042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190360B3">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340C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3ECE7D93">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5CA74E40">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老年人日间照料中心</w:t>
            </w:r>
          </w:p>
        </w:tc>
        <w:tc>
          <w:tcPr>
            <w:tcW w:w="1298" w:type="dxa"/>
            <w:vAlign w:val="center"/>
          </w:tcPr>
          <w:p w14:paraId="770A4F6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280F698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38E309B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78F7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3A3E075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6F3A0563">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村级幸福院</w:t>
            </w:r>
          </w:p>
        </w:tc>
        <w:tc>
          <w:tcPr>
            <w:tcW w:w="1298" w:type="dxa"/>
            <w:vAlign w:val="center"/>
          </w:tcPr>
          <w:p w14:paraId="7A09742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19D34E0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537F40C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应独立占地</w:t>
            </w:r>
          </w:p>
        </w:tc>
      </w:tr>
      <w:tr w14:paraId="0407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60D5E490">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终身教育</w:t>
            </w:r>
          </w:p>
        </w:tc>
        <w:tc>
          <w:tcPr>
            <w:tcW w:w="2731" w:type="dxa"/>
            <w:vAlign w:val="center"/>
          </w:tcPr>
          <w:p w14:paraId="10719199">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高中</w:t>
            </w:r>
          </w:p>
        </w:tc>
        <w:tc>
          <w:tcPr>
            <w:tcW w:w="1298" w:type="dxa"/>
            <w:vAlign w:val="center"/>
          </w:tcPr>
          <w:p w14:paraId="429102E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2" name="IM 10"/>
                  <wp:cNvGraphicFramePr/>
                  <a:graphic xmlns:a="http://schemas.openxmlformats.org/drawingml/2006/main">
                    <a:graphicData uri="http://schemas.openxmlformats.org/drawingml/2006/picture">
                      <pic:pic xmlns:pic="http://schemas.openxmlformats.org/drawingml/2006/picture">
                        <pic:nvPicPr>
                          <pic:cNvPr id="12" name="IM 10"/>
                          <pic:cNvPicPr/>
                        </pic:nvPicPr>
                        <pic:blipFill>
                          <a:blip r:embed="rId13"/>
                          <a:stretch>
                            <a:fillRect/>
                          </a:stretch>
                        </pic:blipFill>
                        <pic:spPr>
                          <a:xfrm>
                            <a:off x="0" y="0"/>
                            <a:ext cx="122986" cy="168859"/>
                          </a:xfrm>
                          <a:prstGeom prst="rect">
                            <a:avLst/>
                          </a:prstGeom>
                        </pic:spPr>
                      </pic:pic>
                    </a:graphicData>
                  </a:graphic>
                </wp:inline>
              </w:drawing>
            </w:r>
          </w:p>
        </w:tc>
        <w:tc>
          <w:tcPr>
            <w:tcW w:w="1334" w:type="dxa"/>
            <w:vAlign w:val="center"/>
          </w:tcPr>
          <w:p w14:paraId="4C2BEB9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4006C9B3">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宜独立占地</w:t>
            </w:r>
          </w:p>
        </w:tc>
      </w:tr>
      <w:tr w14:paraId="692E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A1FAE49">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3DE5063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初中</w:t>
            </w:r>
          </w:p>
        </w:tc>
        <w:tc>
          <w:tcPr>
            <w:tcW w:w="1298" w:type="dxa"/>
            <w:vAlign w:val="center"/>
          </w:tcPr>
          <w:p w14:paraId="62189BA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40C0E4B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2D05802E">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宜独立占地</w:t>
            </w:r>
          </w:p>
        </w:tc>
      </w:tr>
      <w:tr w14:paraId="4BE2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3BB4C3C1">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6BF0797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小学</w:t>
            </w:r>
          </w:p>
        </w:tc>
        <w:tc>
          <w:tcPr>
            <w:tcW w:w="1298" w:type="dxa"/>
            <w:vAlign w:val="center"/>
          </w:tcPr>
          <w:p w14:paraId="4EE90F49">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620BE16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3" name="IM 12"/>
                  <wp:cNvGraphicFramePr/>
                  <a:graphic xmlns:a="http://schemas.openxmlformats.org/drawingml/2006/main">
                    <a:graphicData uri="http://schemas.openxmlformats.org/drawingml/2006/picture">
                      <pic:pic xmlns:pic="http://schemas.openxmlformats.org/drawingml/2006/picture">
                        <pic:nvPicPr>
                          <pic:cNvPr id="13" name="IM 12"/>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7C8A6C7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应独立占地</w:t>
            </w:r>
          </w:p>
        </w:tc>
      </w:tr>
      <w:tr w14:paraId="67AA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2CD2438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0A005511">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幼儿园</w:t>
            </w:r>
          </w:p>
        </w:tc>
        <w:tc>
          <w:tcPr>
            <w:tcW w:w="1298" w:type="dxa"/>
            <w:vAlign w:val="center"/>
          </w:tcPr>
          <w:p w14:paraId="099BD6C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01854996">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5E2BBC7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应独立占地</w:t>
            </w:r>
          </w:p>
        </w:tc>
      </w:tr>
      <w:tr w14:paraId="5105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3081D6A7">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文化活动</w:t>
            </w:r>
          </w:p>
        </w:tc>
        <w:tc>
          <w:tcPr>
            <w:tcW w:w="2731" w:type="dxa"/>
            <w:vAlign w:val="center"/>
          </w:tcPr>
          <w:p w14:paraId="21C0697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乡镇文化活动中心</w:t>
            </w:r>
          </w:p>
        </w:tc>
        <w:tc>
          <w:tcPr>
            <w:tcW w:w="1298" w:type="dxa"/>
            <w:vAlign w:val="center"/>
          </w:tcPr>
          <w:p w14:paraId="34B6E8D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3"/>
                          <a:stretch>
                            <a:fillRect/>
                          </a:stretch>
                        </pic:blipFill>
                        <pic:spPr>
                          <a:xfrm>
                            <a:off x="0" y="0"/>
                            <a:ext cx="122986" cy="168859"/>
                          </a:xfrm>
                          <a:prstGeom prst="rect">
                            <a:avLst/>
                          </a:prstGeom>
                        </pic:spPr>
                      </pic:pic>
                    </a:graphicData>
                  </a:graphic>
                </wp:inline>
              </w:drawing>
            </w:r>
          </w:p>
        </w:tc>
        <w:tc>
          <w:tcPr>
            <w:tcW w:w="1334" w:type="dxa"/>
            <w:vAlign w:val="center"/>
          </w:tcPr>
          <w:p w14:paraId="09A5144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0EFF0FF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可综合设置</w:t>
            </w:r>
          </w:p>
        </w:tc>
      </w:tr>
      <w:tr w14:paraId="7EF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continue"/>
            <w:vAlign w:val="center"/>
          </w:tcPr>
          <w:p w14:paraId="0FE6FFA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41C2585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文化活动室</w:t>
            </w:r>
          </w:p>
        </w:tc>
        <w:tc>
          <w:tcPr>
            <w:tcW w:w="1298" w:type="dxa"/>
            <w:vAlign w:val="center"/>
          </w:tcPr>
          <w:p w14:paraId="0503AB4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62AB7A0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353D511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2752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191EFB7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5F019E79">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农家书屋</w:t>
            </w:r>
          </w:p>
        </w:tc>
        <w:tc>
          <w:tcPr>
            <w:tcW w:w="1298" w:type="dxa"/>
            <w:vAlign w:val="center"/>
          </w:tcPr>
          <w:p w14:paraId="6A61C53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4E320EE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28C3BF96">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5B81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continue"/>
            <w:vAlign w:val="center"/>
          </w:tcPr>
          <w:p w14:paraId="4C457931">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4ED4B84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红白喜事厅</w:t>
            </w:r>
          </w:p>
        </w:tc>
        <w:tc>
          <w:tcPr>
            <w:tcW w:w="1298" w:type="dxa"/>
            <w:vAlign w:val="center"/>
          </w:tcPr>
          <w:p w14:paraId="278941C5">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5210E522">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570E66A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20EC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439F7C8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5A89A3D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特色民俗活动点</w:t>
            </w:r>
          </w:p>
        </w:tc>
        <w:tc>
          <w:tcPr>
            <w:tcW w:w="1298" w:type="dxa"/>
            <w:vAlign w:val="center"/>
          </w:tcPr>
          <w:p w14:paraId="19D77B5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62758158">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641DFD4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63BA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417" w:type="dxa"/>
            <w:vMerge w:val="restart"/>
            <w:vAlign w:val="center"/>
          </w:tcPr>
          <w:p w14:paraId="1325980D">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体育健康</w:t>
            </w:r>
          </w:p>
        </w:tc>
        <w:tc>
          <w:tcPr>
            <w:tcW w:w="2731" w:type="dxa"/>
            <w:vAlign w:val="center"/>
          </w:tcPr>
          <w:p w14:paraId="5C79ECA7">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乡镇体育中心</w:t>
            </w:r>
          </w:p>
        </w:tc>
        <w:tc>
          <w:tcPr>
            <w:tcW w:w="1298" w:type="dxa"/>
            <w:vAlign w:val="center"/>
          </w:tcPr>
          <w:p w14:paraId="5CEA9F0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
                          <a:stretch>
                            <a:fillRect/>
                          </a:stretch>
                        </pic:blipFill>
                        <pic:spPr>
                          <a:xfrm>
                            <a:off x="0" y="0"/>
                            <a:ext cx="122986" cy="168859"/>
                          </a:xfrm>
                          <a:prstGeom prst="rect">
                            <a:avLst/>
                          </a:prstGeom>
                        </pic:spPr>
                      </pic:pic>
                    </a:graphicData>
                  </a:graphic>
                </wp:inline>
              </w:drawing>
            </w:r>
          </w:p>
        </w:tc>
        <w:tc>
          <w:tcPr>
            <w:tcW w:w="1334" w:type="dxa"/>
            <w:vAlign w:val="center"/>
          </w:tcPr>
          <w:p w14:paraId="15D1C1F0">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6340DE10">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可综合设置</w:t>
            </w:r>
          </w:p>
        </w:tc>
      </w:tr>
      <w:tr w14:paraId="1EBF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6E8934D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0553AC0E">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室外综合健身场地</w:t>
            </w:r>
          </w:p>
        </w:tc>
        <w:tc>
          <w:tcPr>
            <w:tcW w:w="1298" w:type="dxa"/>
            <w:vAlign w:val="center"/>
          </w:tcPr>
          <w:p w14:paraId="02B0B19E">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28C1FB0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4090D5A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0B47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18DFF388">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0CA7C30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健身广场</w:t>
            </w:r>
          </w:p>
        </w:tc>
        <w:tc>
          <w:tcPr>
            <w:tcW w:w="1298" w:type="dxa"/>
            <w:vAlign w:val="center"/>
          </w:tcPr>
          <w:p w14:paraId="65E2CA1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70B4EF3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122986" cy="168859"/>
                          </a:xfrm>
                          <a:prstGeom prst="rect">
                            <a:avLst/>
                          </a:prstGeom>
                        </pic:spPr>
                      </pic:pic>
                    </a:graphicData>
                  </a:graphic>
                </wp:inline>
              </w:drawing>
            </w:r>
          </w:p>
        </w:tc>
        <w:tc>
          <w:tcPr>
            <w:tcW w:w="2059" w:type="dxa"/>
            <w:vAlign w:val="center"/>
          </w:tcPr>
          <w:p w14:paraId="61CEB0C0">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4E4FA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restart"/>
            <w:vAlign w:val="center"/>
          </w:tcPr>
          <w:p w14:paraId="459F14CD">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商业服务</w:t>
            </w:r>
          </w:p>
        </w:tc>
        <w:tc>
          <w:tcPr>
            <w:tcW w:w="2731" w:type="dxa"/>
            <w:vAlign w:val="center"/>
          </w:tcPr>
          <w:p w14:paraId="59129E83">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菜市场</w:t>
            </w:r>
          </w:p>
        </w:tc>
        <w:tc>
          <w:tcPr>
            <w:tcW w:w="1298" w:type="dxa"/>
            <w:vAlign w:val="center"/>
          </w:tcPr>
          <w:p w14:paraId="7A22FAC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7AD9D8C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1E57D4F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可综合设置</w:t>
            </w:r>
          </w:p>
        </w:tc>
      </w:tr>
      <w:tr w14:paraId="0F03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417" w:type="dxa"/>
            <w:vMerge w:val="continue"/>
            <w:vAlign w:val="center"/>
          </w:tcPr>
          <w:p w14:paraId="5AEAD9E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4C42C05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邮政营业场所</w:t>
            </w:r>
          </w:p>
        </w:tc>
        <w:tc>
          <w:tcPr>
            <w:tcW w:w="1298" w:type="dxa"/>
            <w:vAlign w:val="center"/>
          </w:tcPr>
          <w:p w14:paraId="17D2F98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7F8D516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467A049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可综合设置</w:t>
            </w:r>
          </w:p>
        </w:tc>
      </w:tr>
      <w:tr w14:paraId="7979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Merge w:val="continue"/>
            <w:vAlign w:val="center"/>
          </w:tcPr>
          <w:p w14:paraId="690328E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41115A4B">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便民农家店</w:t>
            </w:r>
          </w:p>
        </w:tc>
        <w:tc>
          <w:tcPr>
            <w:tcW w:w="1298" w:type="dxa"/>
            <w:vAlign w:val="center"/>
          </w:tcPr>
          <w:p w14:paraId="776316F1">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6DE8B3A6">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220013BA">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61DF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Merge w:val="continue"/>
            <w:vAlign w:val="center"/>
          </w:tcPr>
          <w:p w14:paraId="4A646F78">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p>
        </w:tc>
        <w:tc>
          <w:tcPr>
            <w:tcW w:w="2731" w:type="dxa"/>
            <w:vAlign w:val="center"/>
          </w:tcPr>
          <w:p w14:paraId="106A3189">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金融电信服务点</w:t>
            </w:r>
          </w:p>
        </w:tc>
        <w:tc>
          <w:tcPr>
            <w:tcW w:w="1298" w:type="dxa"/>
            <w:vAlign w:val="center"/>
          </w:tcPr>
          <w:p w14:paraId="705A8336">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1AB1459F">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drawing>
                <wp:inline distT="0" distB="0" distL="0" distR="0">
                  <wp:extent cx="122555" cy="168275"/>
                  <wp:effectExtent l="0" t="0" r="10795" b="2540"/>
                  <wp:docPr id="15" name="IM 26"/>
                  <wp:cNvGraphicFramePr/>
                  <a:graphic xmlns:a="http://schemas.openxmlformats.org/drawingml/2006/main">
                    <a:graphicData uri="http://schemas.openxmlformats.org/drawingml/2006/picture">
                      <pic:pic xmlns:pic="http://schemas.openxmlformats.org/drawingml/2006/picture">
                        <pic:nvPicPr>
                          <pic:cNvPr id="15" name="IM 26"/>
                          <pic:cNvPicPr/>
                        </pic:nvPicPr>
                        <pic:blipFill>
                          <a:blip r:embed="rId11"/>
                          <a:stretch>
                            <a:fillRect/>
                          </a:stretch>
                        </pic:blipFill>
                        <pic:spPr>
                          <a:xfrm>
                            <a:off x="0" y="0"/>
                            <a:ext cx="122986" cy="168859"/>
                          </a:xfrm>
                          <a:prstGeom prst="rect">
                            <a:avLst/>
                          </a:prstGeom>
                        </pic:spPr>
                      </pic:pic>
                    </a:graphicData>
                  </a:graphic>
                </wp:inline>
              </w:drawing>
            </w:r>
          </w:p>
        </w:tc>
        <w:tc>
          <w:tcPr>
            <w:tcW w:w="2059" w:type="dxa"/>
            <w:vAlign w:val="center"/>
          </w:tcPr>
          <w:p w14:paraId="6265E0A7">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r w14:paraId="0917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417" w:type="dxa"/>
            <w:vAlign w:val="center"/>
          </w:tcPr>
          <w:p w14:paraId="1EF45EDB">
            <w:pPr>
              <w:pStyle w:val="64"/>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行政管理</w:t>
            </w:r>
          </w:p>
        </w:tc>
        <w:tc>
          <w:tcPr>
            <w:tcW w:w="2731" w:type="dxa"/>
            <w:vAlign w:val="center"/>
          </w:tcPr>
          <w:p w14:paraId="729136BD">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村务室</w:t>
            </w:r>
          </w:p>
        </w:tc>
        <w:tc>
          <w:tcPr>
            <w:tcW w:w="1298" w:type="dxa"/>
            <w:vAlign w:val="center"/>
          </w:tcPr>
          <w:p w14:paraId="7DDA8574">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1334" w:type="dxa"/>
            <w:vAlign w:val="center"/>
          </w:tcPr>
          <w:p w14:paraId="25122CAC">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w:t>
            </w:r>
          </w:p>
        </w:tc>
        <w:tc>
          <w:tcPr>
            <w:tcW w:w="2059" w:type="dxa"/>
            <w:vAlign w:val="center"/>
          </w:tcPr>
          <w:p w14:paraId="7F20BF76">
            <w:pPr>
              <w:pStyle w:val="64"/>
              <w:keepNext w:val="0"/>
              <w:keepLines w:val="0"/>
              <w:pageBreakBefore w:val="0"/>
              <w:widowControl w:val="0"/>
              <w:kinsoku/>
              <w:wordWrap/>
              <w:overflowPunct/>
              <w:topLinePunct w:val="0"/>
              <w:autoSpaceDE w:val="0"/>
              <w:autoSpaceDN w:val="0"/>
              <w:bidi w:val="0"/>
              <w:adjustRightInd/>
              <w:snapToGrid/>
              <w:spacing w:line="240" w:lineRule="auto"/>
              <w:ind w:left="232"/>
              <w:jc w:val="center"/>
              <w:textAlignment w:val="auto"/>
              <w:rPr>
                <w:rFonts w:hint="eastAsia" w:ascii="仿宋_GB2312" w:hAnsi="仿宋_GB2312" w:eastAsia="仿宋_GB2312" w:cs="仿宋_GB2312"/>
                <w:spacing w:val="-2"/>
                <w:sz w:val="24"/>
                <w:szCs w:val="24"/>
                <w:highlight w:val="none"/>
              </w:rPr>
            </w:pPr>
            <w:r>
              <w:rPr>
                <w:rFonts w:hint="eastAsia" w:ascii="仿宋_GB2312" w:hAnsi="仿宋_GB2312" w:eastAsia="仿宋_GB2312" w:cs="仿宋_GB2312"/>
                <w:spacing w:val="-2"/>
                <w:sz w:val="24"/>
                <w:szCs w:val="24"/>
                <w:highlight w:val="none"/>
              </w:rPr>
              <w:t>宜综合设置</w:t>
            </w:r>
          </w:p>
        </w:tc>
      </w:tr>
    </w:tbl>
    <w:p w14:paraId="78D55292">
      <w:pPr>
        <w:pageBreakBefore w:val="0"/>
        <w:widowControl w:val="0"/>
        <w:kinsoku/>
        <w:wordWrap/>
        <w:overflowPunct/>
        <w:topLinePunct w:val="0"/>
        <w:autoSpaceDE w:val="0"/>
        <w:autoSpaceDN w:val="0"/>
        <w:bidi w:val="0"/>
        <w:adjustRightInd/>
        <w:snapToGrid/>
        <w:spacing w:line="360" w:lineRule="auto"/>
        <w:textAlignment w:val="auto"/>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注： ●——一般情况下建设；</w:t>
      </w:r>
      <w:r>
        <w:rPr>
          <w:rFonts w:hint="eastAsia" w:ascii="仿宋" w:hAnsi="仿宋" w:eastAsia="仿宋" w:cs="仿宋"/>
          <w:spacing w:val="-85"/>
          <w:sz w:val="28"/>
          <w:szCs w:val="28"/>
          <w:highlight w:val="none"/>
        </w:rPr>
        <w:t xml:space="preserve"> </w:t>
      </w:r>
      <w:r>
        <w:rPr>
          <w:rFonts w:hint="eastAsia" w:ascii="仿宋" w:hAnsi="仿宋" w:eastAsia="仿宋" w:cs="仿宋"/>
          <w:position w:val="-3"/>
          <w:sz w:val="28"/>
          <w:szCs w:val="28"/>
          <w:highlight w:val="none"/>
        </w:rPr>
        <w:drawing>
          <wp:inline distT="0" distB="0" distL="0" distR="0">
            <wp:extent cx="122555" cy="168275"/>
            <wp:effectExtent l="0" t="0" r="10795" b="254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4"/>
                    <a:stretch>
                      <a:fillRect/>
                    </a:stretch>
                  </pic:blipFill>
                  <pic:spPr>
                    <a:xfrm>
                      <a:off x="0" y="0"/>
                      <a:ext cx="122986" cy="168859"/>
                    </a:xfrm>
                    <a:prstGeom prst="rect">
                      <a:avLst/>
                    </a:prstGeom>
                  </pic:spPr>
                </pic:pic>
              </a:graphicData>
            </a:graphic>
          </wp:inline>
        </w:drawing>
      </w:r>
      <w:r>
        <w:rPr>
          <w:rFonts w:hint="eastAsia" w:ascii="仿宋" w:hAnsi="仿宋" w:eastAsia="仿宋" w:cs="仿宋"/>
          <w:spacing w:val="1"/>
          <w:sz w:val="28"/>
          <w:szCs w:val="28"/>
          <w:highlight w:val="none"/>
        </w:rPr>
        <w:t>——有条件情况下建设。</w:t>
      </w:r>
    </w:p>
    <w:p w14:paraId="199957CD">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乡村市政公用设施用地布局要求</w:t>
      </w:r>
    </w:p>
    <w:p w14:paraId="36C573C9">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乡村市政公用设施应充分考虑地形地貌、防灾减灾、邻避距离等要素，在满足功能需求的前提下减少对环境和生活的影响。</w:t>
      </w:r>
    </w:p>
    <w:p w14:paraId="017AB6ED">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污水处理设施布局必须满足水源保护区划定控制要求；应布置在居民点常年主导风向的下风向、村庄水系下游；宜靠近受纳水体或农田灌溉区；宜设置在便于污水、污泥的收集、排放和再利用的区域；宜选址在交通、运输及供水供电较方便地段；远离学校及医院等公共建筑；不宜设置在低洼易涝区。</w:t>
      </w:r>
    </w:p>
    <w:p w14:paraId="039DA7C5">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乡村公厕应选择不易积存雨水的地段；宜建在公共场所等人口较集中的区域；附属式公共厕所可优先考虑与村委会、村民活动中心、老人活动站、卫生站等设施结合建设；独立式公共厕所可优先考虑建在村入 口、活动广场、停车场、集贸市场等区域；与集中式给水点和地下取水构筑物等的距离应大于 30 米；宜建在所服务区域的常年主导风向的下风向处；不宜靠近民房、学校及卫生设施等敏感建筑。</w:t>
      </w:r>
    </w:p>
    <w:p w14:paraId="0B89B2F5">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各类设施用地应符合国家和地方相关行业标准的规定。</w:t>
      </w:r>
    </w:p>
    <w:p w14:paraId="436A8243">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乡村产业用地布局要求</w:t>
      </w:r>
    </w:p>
    <w:p w14:paraId="0C91928A">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乡村产业必须符合《产业结构调整指导目录（2024 年本）》的要求；严禁生产、制造危险化学品及其相关产物。</w:t>
      </w:r>
    </w:p>
    <w:p w14:paraId="02E70A4B">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规模较大、工业化程度高、分散布局配套设施成本高的产业项目宜在产业园区内布局；具有一定规模的农产品加工宜在城镇开发边界内集中布局。</w:t>
      </w:r>
    </w:p>
    <w:p w14:paraId="7DE57E2A">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直接服务种植养殖业的农产品加工、电子商务、仓储保鲜冷链、产地低温直销配送等产业原则上应集中在行政村村庄建设边界内。</w:t>
      </w:r>
    </w:p>
    <w:p w14:paraId="6CD108A2">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利用农村本地资源开展农产品初加工、发展休闲观光旅游而必需的配套设施建设，可在不占用永久基本农田和生态保护红线、不突破乡镇级国土空间规划传导的建设用地指标等约束条件、不破坏生态环境和乡村风貌的前提下，在村庄建设边界外安排少量建设用地。</w:t>
      </w:r>
    </w:p>
    <w:p w14:paraId="4669E9A8">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 xml:space="preserve">文旅融合产业鼓励在传承保护优先基础上，推动历史文化资源活化利用，进一步实现一二三产融合发展。合理利用院落形式建筑特色，植入文化博览、非遗体验等传统文化功能，配套研学体验、休闲娱乐等旅游服务功能。以建设用地功能为主导，指导非建设用地产业、环境、景观整治，结合传统农业，拓宽文旅产业空间承载范围，实现一二三产一体化发展格局。  </w:t>
      </w:r>
    </w:p>
    <w:p w14:paraId="302A4D12">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鼓励乡村产业用地与其他用地功能合理布局，鼓励闲置资源活化利用，实现用地混合。在符合国土空间规划确定的用地类型、控制性高度、乡村风貌、基础设施和用途管制要求、确保安全的前提下，鼓励对闲置宅基地、闲置集体用地、古院落等农村建设用地，通过购买、租赁、经营权转让、资产入股、集中流转、收储等方式整合活化，进行复合利用，发展乡村民宿、农产品初加工、电子商务、 民俗体验、文化创意等乡村产业。</w:t>
      </w:r>
    </w:p>
    <w:p w14:paraId="0D583F08">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乡村产业项目原则上应为直接服务于乡村振兴和农村生产生活的项目，并符合村庄所在的乡镇主体功能定位和相关产业规划，不得违背产业准入负面清单，不得用于商品住宅、别墅、酒店、公寓等房地产开发。</w:t>
      </w:r>
    </w:p>
    <w:p w14:paraId="141CCCF9">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国土综合整治要求</w:t>
      </w:r>
    </w:p>
    <w:p w14:paraId="0DB3AE32">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落实国土空间总体规划或专项规划确定的国土综合整治区域及要求。以乡镇为基本实施单元，统筹推进农用地整治与建设用地整理。</w:t>
      </w:r>
    </w:p>
    <w:p w14:paraId="431FEAB5">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农用地整治：大力推进土地综合整治，统筹实施农用地集中连片整治、质量提升和生态化改造，开展高标准农田建设，严格保护已建成高标准农田，落实新增高标准农田建设任务，建设“稳产、节水、生态、美观” 的高标准农田。到 2035 年将具备条件的永久基本农田全部建设为高标准农田。</w:t>
      </w:r>
    </w:p>
    <w:p w14:paraId="530FAAA9">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设用地整理：适应宜居宜业和美乡村建设需要，统筹考虑区位条件、资源禀赋、环境容量、产业基础、历史文化传承以及农民住房、产业发展、公共服务、基础设施等各类建设用地需求，根据实施单元具备的基础条件和特点，对农村零散、闲置、低效建设用地进行整理盘活，统筹推进建设用地布局优化、村庄建设用地整理、废弃采矿用地复垦利用、集体经营性建设用地依法流转等，确保城镇开发边界规模和扩展倍数不突破、整治区域内建设用地总面积不增加，进一步提升土地资源配置效率和节约集约利用水平，为保障农民合理居住需求、乡村基础设施建设和产业发展提供用地支撑。</w:t>
      </w:r>
    </w:p>
    <w:p w14:paraId="6DAEB55B">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生态保护修复要求</w:t>
      </w:r>
    </w:p>
    <w:p w14:paraId="6A962C4E">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落实国土空间总体规划确定的生态保护修复区域及要求。以严守生态保护红线、改善农村人居环境、优化生态空间布局为目标，统筹考虑自然生态系统的完整性和联通性、乡村肌理格局以及基层群众对于和美乡村建设的需要，协同开展矿山生态修复、湿地与水域生态修复、山林生态修复等工作，加快宜居宜业和美乡村建设。</w:t>
      </w:r>
    </w:p>
    <w:p w14:paraId="135D2365">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矿山生态修复：坚持“谁开发、谁保护，谁污染、谁治理”的原则，重点加强关停矿山等区域山体修复，改善生态环境，提 高生态质量。引导矿业修复与乡村振兴有机结合，积极开展工矿废弃地整治复垦。针对历史遗留矿山主要采取自然恢复、辅助再生、生态重建、转型利用等生态修复方式；针对现有矿山，坚持“边开采边复垦复绿”，加强对矿山绿化修复工作的引导和监督。</w:t>
      </w:r>
    </w:p>
    <w:p w14:paraId="7AA9C645">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湿地与水域生态修复：优化滨河生态廊道环境。坚持“源头保护、沿线治污、两岸增绿、生态补水、中水回用” 的思路，持续实施流域生态保护工程。坚持水岸同治、河路共治，建设带状生态滨水空间， 以生态步道、慢行系统串联老城和新区。</w:t>
      </w:r>
    </w:p>
    <w:p w14:paraId="56E238CE">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山林生态修复：实施造林绿化行动，推行置换造林、购买式造林、碳汇造林等市场化运作机制，持续促进增绿增收双赢。重点抓好景区、林区、旅游林地建设，加强植树造林，进一步提高森林覆盖率。实施国省干道、旅游公路等道路两侧宜林荒山绿化工程，提升通道沿线两侧生态景观。</w:t>
      </w:r>
    </w:p>
    <w:p w14:paraId="03F3D84C">
      <w:pPr>
        <w:pStyle w:val="3"/>
        <w:numPr>
          <w:ilvl w:val="0"/>
          <w:numId w:val="13"/>
        </w:numPr>
        <w:spacing w:before="240" w:after="240"/>
        <w:ind w:left="0" w:firstLine="0"/>
        <w:jc w:val="center"/>
        <w:rPr>
          <w:rFonts w:hint="eastAsia" w:ascii="黑体" w:hAnsi="黑体" w:eastAsia="黑体"/>
          <w:highlight w:val="none"/>
          <w:lang w:val="en-US" w:eastAsia="zh-CN"/>
        </w:rPr>
      </w:pPr>
      <w:bookmarkStart w:id="97" w:name="_Toc28209"/>
      <w:r>
        <w:rPr>
          <w:rFonts w:hint="eastAsia" w:ascii="黑体" w:hAnsi="黑体" w:eastAsia="黑体"/>
          <w:highlight w:val="none"/>
          <w:lang w:val="en-US" w:eastAsia="zh-CN"/>
        </w:rPr>
        <w:t>建设控制</w:t>
      </w:r>
      <w:bookmarkEnd w:id="97"/>
    </w:p>
    <w:p w14:paraId="19FF716C">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村民住宅建设标准</w:t>
      </w:r>
    </w:p>
    <w:p w14:paraId="6409A4D0">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严格落实“一户一宅”政策，宅基用地面积按照下列标准执行：城郊、农村集镇和圩区，每户不得超过 160 平方米； 平原地区，每户不得超过 220 平方米，且要明确选址要求和宅基用地范围。</w:t>
      </w:r>
    </w:p>
    <w:p w14:paraId="7EFE3B36">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建筑间距</w:t>
      </w:r>
    </w:p>
    <w:p w14:paraId="749B37C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城镇开发边界外乡村建设用地内的建筑间距，应符合消防、环保、日照、空间景观、工程管线敷设和文物保护等方面的要求。</w:t>
      </w:r>
    </w:p>
    <w:p w14:paraId="3D33C043">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农村建筑间距应不妨害相邻权、地役权，应保证相邻房屋的正常采光和通行要求，并符合《农村防火规范（GB50039）》的规定。</w:t>
      </w:r>
    </w:p>
    <w:p w14:paraId="0A67871A">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农村的厂房、仓库、公共建筑和建筑高度超过 15 米的居住建筑的建筑间距应执行国家标准《 建筑设计防火规范（GB50016）》的规定。</w:t>
      </w:r>
    </w:p>
    <w:p w14:paraId="67B0FD3E">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集贸市场、厂房、仓库以及变压器、变电所（站）之间及与居住建筑的防火间距应符合现行国家标准《建筑设计防火规范（GB50016）》的要求。</w:t>
      </w:r>
    </w:p>
    <w:p w14:paraId="62962032">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建筑退界</w:t>
      </w:r>
    </w:p>
    <w:p w14:paraId="0836CF43">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筑用地界线和沿乡村道路、公路、河道、铁路、电力线路、工程管线布局的建筑物以及在文物保护单位、易燃易爆设施、城市基础设施周边布局的建筑物，其退让距离应符合消防、日照、环保、卫生、抗震、防洪、安全和文物保护等要求，必要时还应征求相关部门意见。</w:t>
      </w:r>
    </w:p>
    <w:p w14:paraId="36E3BAD1">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同一建筑在建筑间距和建筑退让等多重控制要求的情况下原则上按最大的控制距离执行。</w:t>
      </w:r>
    </w:p>
    <w:p w14:paraId="235A93B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建筑后退用地界线距离：建筑后退用地界线原则不低于 3 米。用地局限时，在满足消防、日照等要求的前提下，并经征得界外相邻用地单位同意，建筑后退用地界线距离可适当缩小或不作要求。</w:t>
      </w:r>
    </w:p>
    <w:p w14:paraId="5C93B4A5">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建筑后退公路距离：除高速公路防护、养护需要的建筑以外，其他建筑后退高速公路边沟外缘的距离不得小于 30 米；后退匝道、高速公路连接线外缘的距离不得小于 20 米；后退收费站的距离不得小于 50 米。</w:t>
      </w:r>
    </w:p>
    <w:p w14:paraId="4FB979C8">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根据《公路安全保护条例》规定，公路两侧建筑控制区范围从公路边沟外缘起：国道不少于 20 米；省道不少于 15 米；县道不少于 10 米； 乡道不少于 5 米。</w:t>
      </w:r>
    </w:p>
    <w:p w14:paraId="56CFE7C6">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建筑后退高压架空电力线路距离：建筑后退高压架空电力线路边导线的距离为：35 千伏、66千伏、110 千伏电力线，不小于 10 米；220 千伏、330 千伏电力线，不小于 15 米；500 千伏电力线，不小于 30 米，用地局限时，建筑后退高压架空电力线路边导线的距离可适当缩小，但应符合在最大计算风偏情况下的安全距离要求。</w:t>
      </w:r>
    </w:p>
    <w:p w14:paraId="5F64BB36">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建筑退让村庄内部道路距离：村庄建筑、围墙距村庄内部支路的距离不应小于 1 米，距村庄内部主要道路的距离不应小于 2 米。临路方向后退距离如村内有约定的，按照约定退让距离执行。临路方向宜与同侧现状建筑外墙面边界齐平，保证沿路建筑的整齐美观。</w:t>
      </w:r>
    </w:p>
    <w:p w14:paraId="446B310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建筑高度</w:t>
      </w:r>
    </w:p>
    <w:p w14:paraId="72D06D1D">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建筑物的高度应符合日照、消防、建筑间距、乡村景观、节地等方面的要求，按照《闫集镇乡村建设用地通则式管理控制指标表》规定控制。</w:t>
      </w:r>
    </w:p>
    <w:p w14:paraId="426F4651">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在各级文物保护建筑周围的建设控制地带内以及与历史风貌建筑、风景名胜区相邻的新建、扩建、改建各类建（构）筑物，其建筑高度必须符合文物古迹和历史风貌建筑保护的有关规定，并按相关保护规划执行。</w:t>
      </w:r>
    </w:p>
    <w:p w14:paraId="66C536F8">
      <w:pPr>
        <w:pStyle w:val="3"/>
        <w:numPr>
          <w:ilvl w:val="0"/>
          <w:numId w:val="13"/>
        </w:numPr>
        <w:spacing w:before="240" w:after="240"/>
        <w:ind w:left="0" w:firstLine="0"/>
        <w:jc w:val="center"/>
        <w:rPr>
          <w:rFonts w:hint="eastAsia" w:ascii="黑体" w:hAnsi="黑体" w:eastAsia="黑体"/>
          <w:highlight w:val="none"/>
          <w:lang w:val="en-US" w:eastAsia="zh-CN"/>
        </w:rPr>
      </w:pPr>
      <w:bookmarkStart w:id="98" w:name="_Toc16117"/>
      <w:r>
        <w:rPr>
          <w:rFonts w:hint="eastAsia" w:ascii="黑体" w:hAnsi="黑体" w:eastAsia="黑体"/>
          <w:highlight w:val="none"/>
          <w:lang w:val="en-US" w:eastAsia="zh-CN"/>
        </w:rPr>
        <w:t>交通组织</w:t>
      </w:r>
      <w:bookmarkEnd w:id="98"/>
    </w:p>
    <w:p w14:paraId="1CFEEDD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村庄道路</w:t>
      </w:r>
    </w:p>
    <w:p w14:paraId="488C4554">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村庄道路根据其在路网中的交通功能及对沿线居民的服务功能，分为干路、支路和巷道三级。村庄道路红线内可包含机动车道、非机动车道、人行道、设施带、绿化、路肩、边沟等设施。村庄道路红线宽度应根据道路设施和地下管线综合确定，干路及支路两侧应设置路灯和必要的指示牌。村庄应完善通村组道路和入户道路建设，并预留消防通道。村庄道路空间规划应与村庄风貌相协调。</w:t>
      </w:r>
    </w:p>
    <w:p w14:paraId="74AC57FD">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公共停车场</w:t>
      </w:r>
    </w:p>
    <w:p w14:paraId="32C6DB07">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村庄停车设施应根据村庄的实际停车需求适度建设公共停车场。公共停车场宜分散布局，可利用村内闲置地、边角地、未利用地，并宜靠近公共服务设施。农村村民住房小汽车停车位可结合农房入户空间停放，停放比例宜1辆／户。</w:t>
      </w:r>
    </w:p>
    <w:p w14:paraId="1C3858EE">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充电设施</w:t>
      </w:r>
    </w:p>
    <w:p w14:paraId="2F4D7436">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农村充电设施的布局应符合相关专项规划的要求，应满足环境保护和消防安全的要求，选址应考虑配电网、环境、风向等因素。按照《电动汽车充电基础设施技术标准》（DBJ04/T398-2019），社会公共停车场充电车位直接建设的配建比例要达到15%。</w:t>
      </w:r>
    </w:p>
    <w:p w14:paraId="4252E9E2">
      <w:pPr>
        <w:pStyle w:val="3"/>
        <w:numPr>
          <w:ilvl w:val="0"/>
          <w:numId w:val="13"/>
        </w:numPr>
        <w:spacing w:before="240" w:after="240"/>
        <w:ind w:left="0" w:firstLine="0"/>
        <w:jc w:val="center"/>
        <w:rPr>
          <w:rFonts w:hint="eastAsia" w:ascii="黑体" w:hAnsi="黑体" w:eastAsia="黑体"/>
          <w:highlight w:val="none"/>
          <w:lang w:val="en-US" w:eastAsia="zh-CN"/>
        </w:rPr>
      </w:pPr>
      <w:bookmarkStart w:id="99" w:name="_Toc23247"/>
      <w:r>
        <w:rPr>
          <w:rFonts w:hint="eastAsia" w:ascii="黑体" w:hAnsi="黑体" w:eastAsia="黑体"/>
          <w:highlight w:val="none"/>
          <w:lang w:val="en-US" w:eastAsia="zh-CN"/>
        </w:rPr>
        <w:t>人居环境整治与风貌提升</w:t>
      </w:r>
      <w:bookmarkEnd w:id="99"/>
    </w:p>
    <w:p w14:paraId="56C41B8F">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人居环境整治要求</w:t>
      </w:r>
    </w:p>
    <w:p w14:paraId="29D4070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统筹生态生产生活融合，根据村庄发展水平及自身条件，综合考虑乡村发展规律和村民诉求，因地制宜推进乡村人居环境整治工作。主要任务包括厕所革命、污水治理、生产生活垃圾治理三个方面，以农业为主要产业的村庄还应强化农膜以及其他农业生产废弃物的处置和资源化利用。</w:t>
      </w:r>
    </w:p>
    <w:p w14:paraId="7A99ECB3">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厕所革命：合理规划布局农村公共厕所，加快建设乡村景区旅游厕所，落实公共厕所管护责任，强化日常卫生保洁。科学选择改厕技术模式，宜水则水、宜旱则旱。加强厕所粪污无害化处理与资源化利用。</w:t>
      </w:r>
    </w:p>
    <w:p w14:paraId="5E94B4CB">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污水治理：以资源化利用、可持续治理为导向，选择符合农村实际的生活污水治理技术，优先推广运行费用低、管护简便的治理技术。以房前屋后河塘沟渠和群众反映强烈的黑臭水体为重点，采取控源截污、清淤疏浚、生态修复、水体净化等措施综合治理。</w:t>
      </w:r>
    </w:p>
    <w:p w14:paraId="3B81F3E3">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生产生活垃圾治理：完善农村生活垃圾收集、转运、处置设施和模式，因地制宜采用小型化、分散化的无害化处理方式，推进农村生活垃圾分类减量与利用。</w:t>
      </w:r>
    </w:p>
    <w:p w14:paraId="50D99788">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景观风貌指引要求</w:t>
      </w:r>
    </w:p>
    <w:p w14:paraId="4E64D49C">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深入实施乡村绿化美化行动，突出保护乡村山体田园、河湖湿地、原生植被、古树名木等，引导鼓励村民通过栽植果蔬、花木等开展庭院绿化，通过农村“ 四旁”（水旁、路旁、村旁、宅旁）植树推进村庄绿化，充分利用荒地、废弃地、边角地等开展村庄小微公园和公共绿地建设。</w:t>
      </w:r>
    </w:p>
    <w:p w14:paraId="22E77E21">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统筹引导建筑风格，充分注重村民生活习惯和特色文化传承，按照以人为本的总体导向，营造乡土建筑与场景。新建和进行外立面改造的乡村建设项目及村民住房立面可以参照《安徽省（皖北片区）农房设计图集》和《安徽省和美乡村农房设计图集》，对建筑高度、体量、造型、风格和色调等进行指导。各乡镇可结合自身特征对风貌进行统一管控，既要注重村居整体风貌，又要注重农房单体设计，实现具有传统特色的建筑形式。在文物保护单位建设控制区内修建新建筑和构筑物，应按文物保护法律法规及有关规范执行，不得破坏文物保护单位的环境风貌。</w:t>
      </w:r>
    </w:p>
    <w:p w14:paraId="29CA5E89">
      <w:pPr>
        <w:pStyle w:val="3"/>
        <w:numPr>
          <w:ilvl w:val="0"/>
          <w:numId w:val="13"/>
        </w:numPr>
        <w:spacing w:before="240" w:after="240"/>
        <w:ind w:left="0" w:firstLine="0"/>
        <w:jc w:val="center"/>
        <w:rPr>
          <w:rFonts w:hint="eastAsia" w:ascii="黑体" w:hAnsi="黑体" w:eastAsia="黑体"/>
          <w:highlight w:val="none"/>
          <w:lang w:val="en-US" w:eastAsia="zh-CN"/>
        </w:rPr>
      </w:pPr>
      <w:bookmarkStart w:id="100" w:name="_Toc29190"/>
      <w:r>
        <w:rPr>
          <w:rFonts w:hint="eastAsia" w:ascii="黑体" w:hAnsi="黑体" w:eastAsia="黑体"/>
          <w:highlight w:val="none"/>
          <w:lang w:val="en-US" w:eastAsia="zh-CN"/>
        </w:rPr>
        <w:t>通用图则</w:t>
      </w:r>
      <w:bookmarkEnd w:id="100"/>
    </w:p>
    <w:p w14:paraId="7F02A544">
      <w:pPr>
        <w:pStyle w:val="13"/>
        <w:keepNext w:val="0"/>
        <w:keepLines w:val="0"/>
        <w:pageBreakBefore w:val="0"/>
        <w:widowControl w:val="0"/>
        <w:kinsoku/>
        <w:wordWrap/>
        <w:overflowPunct/>
        <w:topLinePunct w:val="0"/>
        <w:autoSpaceDE w:val="0"/>
        <w:autoSpaceDN w:val="0"/>
        <w:bidi w:val="0"/>
        <w:adjustRightInd/>
        <w:snapToGrid/>
        <w:spacing w:before="0" w:beforeLines="0" w:line="360" w:lineRule="auto"/>
        <w:ind w:left="0" w:leftChars="0" w:right="110" w:firstLine="681" w:firstLineChars="213"/>
        <w:textAlignment w:val="auto"/>
        <w:rPr>
          <w:rFonts w:hint="eastAsia" w:eastAsia="仿宋_GB2312"/>
          <w:color w:val="000000" w:themeColor="text1"/>
          <w:highlight w:val="none"/>
          <w:lang w:eastAsia="zh-CN"/>
          <w14:textFill>
            <w14:solidFill>
              <w14:schemeClr w14:val="tx1"/>
            </w14:solidFill>
          </w14:textFill>
        </w:rPr>
      </w:pPr>
      <w:r>
        <w:rPr>
          <w:rFonts w:hint="default" w:eastAsia="仿宋_GB2312"/>
          <w:color w:val="000000" w:themeColor="text1"/>
          <w:highlight w:val="none"/>
          <w:lang w:val="en-US" w:eastAsia="zh-CN"/>
          <w14:textFill>
            <w14:solidFill>
              <w14:schemeClr w14:val="tx1"/>
            </w14:solidFill>
          </w14:textFill>
        </w:rPr>
        <w:t>通用图则包括重要控制线分布图则和地块控制图则。</w:t>
      </w:r>
    </w:p>
    <w:p w14:paraId="64F461BD">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图则管控</w:t>
      </w:r>
    </w:p>
    <w:p w14:paraId="6AFCF676">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重要控制线分布图则应落实上位规划划定的相关重要控制线空间分布和面积。</w:t>
      </w:r>
    </w:p>
    <w:p w14:paraId="6EEDA826">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地块控制图则设置规划条件要遵守相关技术规范和标准，应因地制宜，与村庄风貌、周边环境相协调。经审定的规划图则，是规划管理和行政许可的依据，应按要求的数据标准形成矢量数据。</w:t>
      </w:r>
    </w:p>
    <w:p w14:paraId="450DC502">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制图要求</w:t>
      </w:r>
    </w:p>
    <w:p w14:paraId="7DA38B33">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重要控制线分布图则应表达包括耕地和永久基本农田保护红线、生态保护红线、村庄建设边界、历史文化保护线、灾害风险控制线等重要控制线空间分布。可在图中插入表格，明确重要控制线划定面积。</w:t>
      </w:r>
    </w:p>
    <w:p w14:paraId="0E7F7F0A">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地块控制图则应表达地块位置、用地面积、用地性质、容积率、建筑高度、建筑密度、建筑退让等控制内容，包括建筑风貌、设施配套等控制内容。</w:t>
      </w:r>
    </w:p>
    <w:p w14:paraId="239BBF60">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程序要求</w:t>
      </w:r>
    </w:p>
    <w:p w14:paraId="69B44A9C">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通用图则由镇人民政府组织编制，由县自然资源和规划局组织技术审查和论证，镇人民政府组织村（居）民委员会审议和村（居）民会议或村（居）民代表会议讨论通过，并在村（居）内公示栏或镇人民政府官方网站公示，公示时间不得少于30日。公示期满无异议后，报县人民政府批准，经县自然资源和规划主管部门备案后施行。</w:t>
      </w:r>
    </w:p>
    <w:p w14:paraId="66F4A86C">
      <w:pPr>
        <w:pStyle w:val="3"/>
        <w:numPr>
          <w:ilvl w:val="0"/>
          <w:numId w:val="13"/>
        </w:numPr>
        <w:spacing w:before="240" w:after="240"/>
        <w:ind w:left="0" w:firstLine="0"/>
        <w:jc w:val="center"/>
        <w:rPr>
          <w:rFonts w:hint="eastAsia" w:ascii="黑体" w:hAnsi="黑体" w:eastAsia="黑体"/>
          <w:highlight w:val="none"/>
          <w:lang w:val="en-US" w:eastAsia="zh-CN"/>
        </w:rPr>
      </w:pPr>
      <w:bookmarkStart w:id="101" w:name="_Toc27775"/>
      <w:r>
        <w:rPr>
          <w:rFonts w:hint="eastAsia" w:ascii="黑体" w:hAnsi="黑体" w:eastAsia="黑体"/>
          <w:highlight w:val="none"/>
          <w:lang w:val="en-US" w:eastAsia="zh-CN"/>
        </w:rPr>
        <w:t>实施管理规定</w:t>
      </w:r>
      <w:bookmarkEnd w:id="101"/>
    </w:p>
    <w:p w14:paraId="0E6A28F5">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加强实施监督</w:t>
      </w:r>
    </w:p>
    <w:p w14:paraId="5BCC950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强化日常监督管理，工作过程中要注重实现全流程、多方式的公众参与，广泛征求当地村民、村委和相关部门等意见，积极向公众宣传。</w:t>
      </w:r>
    </w:p>
    <w:p w14:paraId="357FE049">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其他事项</w:t>
      </w:r>
    </w:p>
    <w:p w14:paraId="0A10BA8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“通则式”成果不得与法律法规和有关政策冲突。</w:t>
      </w:r>
    </w:p>
    <w:p w14:paraId="40C0F4EF">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成果要求</w:t>
      </w:r>
    </w:p>
    <w:p w14:paraId="7D0BA6AE">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乡村地区“通则式”规划技术管理规定成果包含“文本”、“图则”。</w:t>
      </w:r>
    </w:p>
    <w:p w14:paraId="06526021">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“文本”主要以条文形式对底线管控、规划管理规定等内容进行阐述，言简意骸、通俗易懂，可纳入“村规民约”。</w:t>
      </w:r>
    </w:p>
    <w:p w14:paraId="702D598C">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“图则”主要为重要控制线分布和地块控制图则，清晰易识别。</w:t>
      </w:r>
    </w:p>
    <w:p w14:paraId="131FE4C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规划数据库建设应符合国土空间规划“一张图”统一标准和要求，纳入县级国土空间规划数据库，可不单独建设规划数据库。</w:t>
      </w:r>
    </w:p>
    <w:p w14:paraId="09E60AC1">
      <w:pPr>
        <w:pStyle w:val="46"/>
        <w:spacing w:before="0" w:line="360" w:lineRule="auto"/>
        <w:ind w:left="0" w:right="108" w:firstLine="675" w:firstLineChars="200"/>
        <w:rPr>
          <w:rFonts w:eastAsia="仿宋"/>
          <w:w w:val="105"/>
          <w:sz w:val="32"/>
          <w:highlight w:val="none"/>
        </w:rPr>
      </w:pPr>
      <w:r>
        <w:rPr>
          <w:rFonts w:hint="eastAsia" w:eastAsia="仿宋"/>
          <w:w w:val="105"/>
          <w:sz w:val="32"/>
          <w:highlight w:val="none"/>
          <w:lang w:val="en-US" w:eastAsia="zh-CN"/>
        </w:rPr>
        <w:t>规划许可</w:t>
      </w:r>
    </w:p>
    <w:p w14:paraId="236A022A">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依据《村庄规划许可依据一览表》规定的情形，核发规划许可存在以下三类情形：</w:t>
      </w:r>
    </w:p>
    <w:p w14:paraId="2D658BA4">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（1）√：可直接依据“通则”核发许可的项目，按照用地指引及相关要求，直接核发乡村建设规划许可。</w:t>
      </w:r>
    </w:p>
    <w:p w14:paraId="0AACC4FF">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（2）+：在“通则”的基础上补充编制重点地块图则的项目，审查通过后图则公示30天无异议后，办理乡村建设规划许可。</w:t>
      </w:r>
    </w:p>
    <w:p w14:paraId="3F12675B">
      <w:pPr>
        <w:pStyle w:val="13"/>
        <w:autoSpaceDE/>
        <w:autoSpaceDN/>
        <w:spacing w:before="0" w:beforeLines="0" w:line="360" w:lineRule="auto"/>
        <w:ind w:left="0" w:leftChars="0" w:right="0" w:rightChars="0" w:firstLine="640" w:firstLineChars="0"/>
        <w:contextualSpacing/>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（3）×：不适用“通则”的项目，编制规划落实方案或详细规划（村庄规划），经县级人民政府批准后作为核发规划许可的依据。</w:t>
      </w:r>
    </w:p>
    <w:p w14:paraId="32ECAF38">
      <w:pPr>
        <w:pStyle w:val="3"/>
        <w:numPr>
          <w:ilvl w:val="0"/>
          <w:numId w:val="13"/>
        </w:numPr>
        <w:spacing w:before="240" w:after="240"/>
        <w:ind w:left="0" w:firstLine="0"/>
        <w:jc w:val="center"/>
        <w:rPr>
          <w:rFonts w:hint="eastAsia" w:ascii="黑体" w:hAnsi="黑体" w:eastAsia="黑体"/>
          <w:highlight w:val="none"/>
          <w:lang w:val="en-US" w:eastAsia="zh-CN"/>
        </w:rPr>
      </w:pPr>
      <w:bookmarkStart w:id="102" w:name="_Toc31590"/>
      <w:r>
        <w:rPr>
          <w:rFonts w:hint="eastAsia" w:ascii="黑体" w:hAnsi="黑体" w:eastAsia="黑体"/>
          <w:highlight w:val="none"/>
          <w:lang w:val="en-US" w:eastAsia="zh-CN"/>
        </w:rPr>
        <w:t>实施管理规定</w:t>
      </w:r>
      <w:bookmarkEnd w:id="102"/>
    </w:p>
    <w:p w14:paraId="5BB85D15">
      <w:pPr>
        <w:pStyle w:val="13"/>
        <w:keepNext w:val="0"/>
        <w:keepLines w:val="0"/>
        <w:pageBreakBefore w:val="0"/>
        <w:widowControl w:val="0"/>
        <w:kinsoku/>
        <w:wordWrap/>
        <w:overflowPunct/>
        <w:topLinePunct w:val="0"/>
        <w:autoSpaceDE w:val="0"/>
        <w:autoSpaceDN w:val="0"/>
        <w:bidi w:val="0"/>
        <w:adjustRightInd/>
        <w:snapToGrid/>
        <w:spacing w:before="0" w:beforeLines="0" w:line="592" w:lineRule="exact"/>
        <w:ind w:left="0" w:leftChars="0" w:right="110" w:firstLine="681" w:firstLineChars="213"/>
        <w:textAlignment w:val="auto"/>
        <w:rPr>
          <w:rFonts w:hint="eastAsia" w:eastAsia="仿宋_GB2312"/>
          <w:color w:val="000000" w:themeColor="text1"/>
          <w:highlight w:val="none"/>
          <w:lang w:eastAsia="zh-CN"/>
          <w14:textFill>
            <w14:solidFill>
              <w14:schemeClr w14:val="tx1"/>
            </w14:solidFill>
          </w14:textFill>
        </w:rPr>
      </w:pPr>
      <w:r>
        <w:rPr>
          <w:rFonts w:hint="eastAsia" w:eastAsia="仿宋_GB2312"/>
          <w:color w:val="000000" w:themeColor="text1"/>
          <w:highlight w:val="none"/>
          <w:lang w:eastAsia="zh-CN"/>
          <w14:textFill>
            <w14:solidFill>
              <w14:schemeClr w14:val="tx1"/>
            </w14:solidFill>
          </w14:textFill>
        </w:rPr>
        <w:t>“通则”批准后，根据实施情况适时开展评估调整，因乡村地区开发保护利用需要，及县人民政府确定的其他情形确需修改“通则”的，应当由组织编制机关征求利害关系人意见，并按原审批程序组织修改、报批。“通则”修改原则上不能突破县级、乡镇级国土空间总体规划确定的强制性内容、约束性指标，确需调整的，必须按照法定程序先修改相应层级的国土空间总体规划。 </w:t>
      </w:r>
    </w:p>
    <w:p w14:paraId="0D37857C">
      <w:pPr>
        <w:pStyle w:val="13"/>
        <w:keepNext w:val="0"/>
        <w:keepLines w:val="0"/>
        <w:pageBreakBefore w:val="0"/>
        <w:widowControl w:val="0"/>
        <w:kinsoku/>
        <w:wordWrap/>
        <w:overflowPunct/>
        <w:topLinePunct w:val="0"/>
        <w:autoSpaceDE w:val="0"/>
        <w:autoSpaceDN w:val="0"/>
        <w:bidi w:val="0"/>
        <w:adjustRightInd/>
        <w:snapToGrid/>
        <w:spacing w:before="0" w:beforeLines="0" w:line="592" w:lineRule="exact"/>
        <w:ind w:left="0" w:leftChars="0" w:right="110" w:firstLine="681" w:firstLineChars="213"/>
        <w:textAlignment w:val="auto"/>
        <w:rPr>
          <w:rFonts w:hint="eastAsia" w:eastAsia="仿宋_GB2312"/>
          <w:color w:val="000000" w:themeColor="text1"/>
          <w:highlight w:val="none"/>
          <w:lang w:eastAsia="zh-CN"/>
          <w14:textFill>
            <w14:solidFill>
              <w14:schemeClr w14:val="tx1"/>
            </w14:solidFill>
          </w14:textFill>
        </w:rPr>
      </w:pPr>
      <w:r>
        <w:rPr>
          <w:rFonts w:hint="eastAsia" w:eastAsia="仿宋_GB2312"/>
          <w:color w:val="000000" w:themeColor="text1"/>
          <w:highlight w:val="none"/>
          <w:lang w:eastAsia="zh-CN"/>
          <w14:textFill>
            <w14:solidFill>
              <w14:schemeClr w14:val="tx1"/>
            </w14:solidFill>
          </w14:textFill>
        </w:rPr>
        <w:t>“通则”实施后新编制详细规划（村庄规划)的区域，应做好与“通则”实施情况的衔接工作。“通则”中涉及的重要管控线、用途分区、村庄建设用地总规模、村庄建设用地边界等数据以经批准后的乡镇级国土空间总体规划为准。“通则”应符合法律法规、相关政策、技术标准和上位规划的要求，国家、省、市另有规定的，从其规定。</w:t>
      </w:r>
    </w:p>
    <w:tbl>
      <w:tblPr>
        <w:tblStyle w:val="26"/>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71"/>
        <w:gridCol w:w="1375"/>
        <w:gridCol w:w="2818"/>
        <w:gridCol w:w="599"/>
        <w:gridCol w:w="494"/>
        <w:gridCol w:w="419"/>
        <w:gridCol w:w="1911"/>
      </w:tblGrid>
      <w:tr w14:paraId="4DFA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5000" w:type="pct"/>
            <w:gridSpan w:val="7"/>
            <w:shd w:val="clear" w:color="auto" w:fill="auto"/>
            <w:vAlign w:val="center"/>
          </w:tcPr>
          <w:p w14:paraId="24DD491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8"/>
                <w:szCs w:val="28"/>
                <w:highlight w:val="none"/>
                <w:lang w:val="en-US" w:eastAsia="zh-CN"/>
                <w14:textFill>
                  <w14:solidFill>
                    <w14:schemeClr w14:val="tx1"/>
                  </w14:solidFill>
                </w14:textFill>
              </w:rPr>
              <w:t>专栏：村庄规划许可依据一览表</w:t>
            </w:r>
          </w:p>
        </w:tc>
      </w:tr>
      <w:tr w14:paraId="1874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528" w:type="pct"/>
            <w:gridSpan w:val="2"/>
            <w:vMerge w:val="restart"/>
            <w:shd w:val="clear" w:color="auto" w:fill="auto"/>
            <w:vAlign w:val="center"/>
          </w:tcPr>
          <w:p w14:paraId="1CBC51F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用地类型</w:t>
            </w:r>
          </w:p>
        </w:tc>
        <w:tc>
          <w:tcPr>
            <w:tcW w:w="1568" w:type="pct"/>
            <w:vMerge w:val="restart"/>
            <w:shd w:val="clear" w:color="auto" w:fill="auto"/>
            <w:vAlign w:val="center"/>
          </w:tcPr>
          <w:p w14:paraId="11355AF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具体建设内容</w:t>
            </w:r>
          </w:p>
        </w:tc>
        <w:tc>
          <w:tcPr>
            <w:tcW w:w="1903" w:type="pct"/>
            <w:gridSpan w:val="4"/>
            <w:shd w:val="clear" w:color="auto" w:fill="auto"/>
            <w:vAlign w:val="center"/>
          </w:tcPr>
          <w:p w14:paraId="1E6AD64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土地利用情况</w:t>
            </w:r>
          </w:p>
        </w:tc>
      </w:tr>
      <w:tr w14:paraId="23D1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528" w:type="pct"/>
            <w:gridSpan w:val="2"/>
            <w:vMerge w:val="continue"/>
            <w:shd w:val="clear" w:color="auto" w:fill="auto"/>
            <w:vAlign w:val="center"/>
          </w:tcPr>
          <w:p w14:paraId="664A1A2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Merge w:val="continue"/>
            <w:shd w:val="clear" w:color="auto" w:fill="auto"/>
            <w:vAlign w:val="center"/>
          </w:tcPr>
          <w:p w14:paraId="0437217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333" w:type="pct"/>
            <w:vMerge w:val="restart"/>
            <w:shd w:val="clear" w:color="auto" w:fill="auto"/>
            <w:vAlign w:val="center"/>
          </w:tcPr>
          <w:p w14:paraId="7301E2E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新增</w:t>
            </w:r>
          </w:p>
          <w:p w14:paraId="34E2CA5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建设用地</w:t>
            </w:r>
          </w:p>
        </w:tc>
        <w:tc>
          <w:tcPr>
            <w:tcW w:w="1570" w:type="pct"/>
            <w:gridSpan w:val="3"/>
            <w:shd w:val="clear" w:color="auto" w:fill="auto"/>
            <w:vAlign w:val="center"/>
          </w:tcPr>
          <w:p w14:paraId="45BCC50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存量建设用地</w:t>
            </w:r>
          </w:p>
        </w:tc>
      </w:tr>
      <w:tr w14:paraId="04C7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1528" w:type="pct"/>
            <w:gridSpan w:val="2"/>
            <w:vMerge w:val="continue"/>
            <w:shd w:val="clear" w:color="auto" w:fill="auto"/>
            <w:vAlign w:val="center"/>
          </w:tcPr>
          <w:p w14:paraId="1BBD137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Merge w:val="continue"/>
            <w:shd w:val="clear" w:color="auto" w:fill="auto"/>
            <w:vAlign w:val="center"/>
          </w:tcPr>
          <w:p w14:paraId="1329DC0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333" w:type="pct"/>
            <w:vMerge w:val="continue"/>
            <w:shd w:val="clear" w:color="auto" w:fill="auto"/>
            <w:vAlign w:val="center"/>
          </w:tcPr>
          <w:p w14:paraId="7D19B0D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275" w:type="pct"/>
            <w:vMerge w:val="restart"/>
            <w:shd w:val="clear" w:color="auto" w:fill="auto"/>
            <w:vAlign w:val="center"/>
          </w:tcPr>
          <w:p w14:paraId="2F36129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改变</w:t>
            </w:r>
          </w:p>
          <w:p w14:paraId="231E2C2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用途</w:t>
            </w:r>
          </w:p>
        </w:tc>
        <w:tc>
          <w:tcPr>
            <w:tcW w:w="1294" w:type="pct"/>
            <w:gridSpan w:val="2"/>
            <w:shd w:val="clear" w:color="auto" w:fill="auto"/>
            <w:vAlign w:val="center"/>
          </w:tcPr>
          <w:p w14:paraId="42DE827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使用原用途</w:t>
            </w:r>
          </w:p>
        </w:tc>
      </w:tr>
      <w:tr w14:paraId="58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5" w:hRule="atLeast"/>
          <w:jc w:val="center"/>
        </w:trPr>
        <w:tc>
          <w:tcPr>
            <w:tcW w:w="1528" w:type="pct"/>
            <w:gridSpan w:val="2"/>
            <w:vMerge w:val="continue"/>
            <w:shd w:val="clear" w:color="auto" w:fill="auto"/>
            <w:vAlign w:val="center"/>
          </w:tcPr>
          <w:p w14:paraId="7A9DFD0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vMerge w:val="continue"/>
            <w:shd w:val="clear" w:color="auto" w:fill="auto"/>
            <w:vAlign w:val="center"/>
          </w:tcPr>
          <w:p w14:paraId="1E915B1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333" w:type="pct"/>
            <w:vMerge w:val="continue"/>
            <w:shd w:val="clear" w:color="auto" w:fill="auto"/>
            <w:vAlign w:val="center"/>
          </w:tcPr>
          <w:p w14:paraId="6B54B54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275" w:type="pct"/>
            <w:vMerge w:val="continue"/>
            <w:shd w:val="clear" w:color="auto" w:fill="auto"/>
            <w:vAlign w:val="center"/>
          </w:tcPr>
          <w:p w14:paraId="6CDE00E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233" w:type="pct"/>
            <w:shd w:val="clear" w:color="auto" w:fill="auto"/>
            <w:vAlign w:val="center"/>
          </w:tcPr>
          <w:p w14:paraId="2FAB152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扩建</w:t>
            </w:r>
          </w:p>
        </w:tc>
        <w:tc>
          <w:tcPr>
            <w:tcW w:w="1061" w:type="pct"/>
            <w:shd w:val="clear" w:color="auto" w:fill="auto"/>
            <w:vAlign w:val="center"/>
          </w:tcPr>
          <w:p w14:paraId="552CA452">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重建、翻建</w:t>
            </w:r>
          </w:p>
          <w:p w14:paraId="260F122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（包括不扩大面积、高度的改建）</w:t>
            </w:r>
          </w:p>
        </w:tc>
      </w:tr>
      <w:tr w14:paraId="5394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1528" w:type="pct"/>
            <w:gridSpan w:val="2"/>
            <w:vMerge w:val="restart"/>
            <w:shd w:val="clear" w:color="auto" w:fill="auto"/>
            <w:vAlign w:val="center"/>
          </w:tcPr>
          <w:p w14:paraId="02806A8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农村宅基地（0703地类）</w:t>
            </w:r>
          </w:p>
        </w:tc>
        <w:tc>
          <w:tcPr>
            <w:tcW w:w="1568" w:type="pct"/>
            <w:shd w:val="clear" w:color="auto" w:fill="auto"/>
            <w:vAlign w:val="center"/>
          </w:tcPr>
          <w:p w14:paraId="0D774FF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单宗独户或单宗联排</w:t>
            </w:r>
          </w:p>
        </w:tc>
        <w:tc>
          <w:tcPr>
            <w:tcW w:w="333" w:type="pct"/>
            <w:shd w:val="clear" w:color="auto" w:fill="auto"/>
            <w:vAlign w:val="center"/>
          </w:tcPr>
          <w:p w14:paraId="4A60502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18DB173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7A35ED9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0B73C8F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6F90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1528" w:type="pct"/>
            <w:gridSpan w:val="2"/>
            <w:vMerge w:val="continue"/>
            <w:shd w:val="clear" w:color="auto" w:fill="auto"/>
            <w:vAlign w:val="center"/>
          </w:tcPr>
          <w:p w14:paraId="6802A6E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shd w:val="clear" w:color="auto" w:fill="auto"/>
            <w:vAlign w:val="center"/>
          </w:tcPr>
          <w:p w14:paraId="72C83FA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用地规模3亩以上的集中安置</w:t>
            </w:r>
          </w:p>
        </w:tc>
        <w:tc>
          <w:tcPr>
            <w:tcW w:w="333" w:type="pct"/>
            <w:shd w:val="clear" w:color="auto" w:fill="auto"/>
            <w:vAlign w:val="center"/>
          </w:tcPr>
          <w:p w14:paraId="1D1A53D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2A41D802">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18AA84B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668EDF9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440F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1528" w:type="pct"/>
            <w:gridSpan w:val="2"/>
            <w:shd w:val="clear" w:color="auto" w:fill="auto"/>
            <w:vAlign w:val="center"/>
          </w:tcPr>
          <w:p w14:paraId="2A7C2F9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农村社区服务设施用地</w:t>
            </w:r>
          </w:p>
          <w:p w14:paraId="48F42F2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（0704地类）</w:t>
            </w:r>
          </w:p>
        </w:tc>
        <w:tc>
          <w:tcPr>
            <w:tcW w:w="1568" w:type="pct"/>
            <w:shd w:val="clear" w:color="auto" w:fill="auto"/>
            <w:vAlign w:val="center"/>
          </w:tcPr>
          <w:p w14:paraId="011C602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村委会、农村卫生服务站、休息亭、文化礼堂、宗祠、体育健身点等</w:t>
            </w:r>
          </w:p>
        </w:tc>
        <w:tc>
          <w:tcPr>
            <w:tcW w:w="333" w:type="pct"/>
            <w:shd w:val="clear" w:color="auto" w:fill="auto"/>
            <w:vAlign w:val="center"/>
          </w:tcPr>
          <w:p w14:paraId="236A0A4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78535F8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38F1D14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1E2BAA6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6197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restart"/>
            <w:shd w:val="clear" w:color="auto" w:fill="auto"/>
            <w:vAlign w:val="center"/>
          </w:tcPr>
          <w:p w14:paraId="0A2C3E5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公共管理与公</w:t>
            </w:r>
          </w:p>
          <w:p w14:paraId="6C81E22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共服务用地</w:t>
            </w:r>
          </w:p>
          <w:p w14:paraId="42C9514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（08地类）</w:t>
            </w:r>
          </w:p>
        </w:tc>
        <w:tc>
          <w:tcPr>
            <w:tcW w:w="765" w:type="pct"/>
            <w:shd w:val="clear" w:color="auto" w:fill="auto"/>
            <w:vAlign w:val="center"/>
          </w:tcPr>
          <w:p w14:paraId="172DF2E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幼儿园用地</w:t>
            </w:r>
          </w:p>
        </w:tc>
        <w:tc>
          <w:tcPr>
            <w:tcW w:w="1568" w:type="pct"/>
            <w:shd w:val="clear" w:color="auto" w:fill="auto"/>
            <w:vAlign w:val="center"/>
          </w:tcPr>
          <w:p w14:paraId="01366CD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幼儿园</w:t>
            </w:r>
          </w:p>
        </w:tc>
        <w:tc>
          <w:tcPr>
            <w:tcW w:w="333" w:type="pct"/>
            <w:shd w:val="clear" w:color="auto" w:fill="auto"/>
            <w:vAlign w:val="center"/>
          </w:tcPr>
          <w:p w14:paraId="4E38964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3A11F212">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3F558EE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69FF76CE">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632E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755FF93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shd w:val="clear" w:color="auto" w:fill="auto"/>
            <w:vAlign w:val="center"/>
          </w:tcPr>
          <w:p w14:paraId="136901F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基层医疗卫生设施用地</w:t>
            </w:r>
          </w:p>
        </w:tc>
        <w:tc>
          <w:tcPr>
            <w:tcW w:w="1568" w:type="pct"/>
            <w:shd w:val="clear" w:color="auto" w:fill="auto"/>
            <w:vAlign w:val="center"/>
          </w:tcPr>
          <w:p w14:paraId="11E7054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卫生院</w:t>
            </w:r>
          </w:p>
        </w:tc>
        <w:tc>
          <w:tcPr>
            <w:tcW w:w="333" w:type="pct"/>
            <w:shd w:val="clear" w:color="auto" w:fill="auto"/>
            <w:vAlign w:val="center"/>
          </w:tcPr>
          <w:p w14:paraId="6B261A6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38D7A32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055104A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4E4F4D7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2963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6EF79CD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restart"/>
            <w:shd w:val="clear" w:color="auto" w:fill="auto"/>
            <w:vAlign w:val="center"/>
          </w:tcPr>
          <w:p w14:paraId="6B65C50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老年人社会福利用地</w:t>
            </w:r>
          </w:p>
        </w:tc>
        <w:tc>
          <w:tcPr>
            <w:tcW w:w="1568" w:type="pct"/>
            <w:shd w:val="clear" w:color="auto" w:fill="auto"/>
            <w:vAlign w:val="center"/>
          </w:tcPr>
          <w:p w14:paraId="2219B07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养老院</w:t>
            </w:r>
          </w:p>
        </w:tc>
        <w:tc>
          <w:tcPr>
            <w:tcW w:w="333" w:type="pct"/>
            <w:shd w:val="clear" w:color="auto" w:fill="auto"/>
            <w:vAlign w:val="center"/>
          </w:tcPr>
          <w:p w14:paraId="36E0E54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7CA542D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4874F69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5E89BC6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1F53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7F52E53E">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shd w:val="clear" w:color="auto" w:fill="auto"/>
            <w:vAlign w:val="center"/>
          </w:tcPr>
          <w:p w14:paraId="06F9542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shd w:val="clear" w:color="auto" w:fill="auto"/>
            <w:vAlign w:val="center"/>
          </w:tcPr>
          <w:p w14:paraId="46905D3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居家养老服务中心</w:t>
            </w:r>
          </w:p>
        </w:tc>
        <w:tc>
          <w:tcPr>
            <w:tcW w:w="333" w:type="pct"/>
            <w:shd w:val="clear" w:color="auto" w:fill="auto"/>
            <w:vAlign w:val="center"/>
          </w:tcPr>
          <w:p w14:paraId="1DB8B21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3887477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59DA24B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42337D4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5073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4358E7E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shd w:val="clear" w:color="auto" w:fill="auto"/>
            <w:vAlign w:val="center"/>
          </w:tcPr>
          <w:p w14:paraId="71067CC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儿童社会福利用地</w:t>
            </w:r>
          </w:p>
        </w:tc>
        <w:tc>
          <w:tcPr>
            <w:tcW w:w="1568" w:type="pct"/>
            <w:shd w:val="clear" w:color="auto" w:fill="auto"/>
            <w:vAlign w:val="center"/>
          </w:tcPr>
          <w:p w14:paraId="221B149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留守儿童福利院</w:t>
            </w:r>
          </w:p>
        </w:tc>
        <w:tc>
          <w:tcPr>
            <w:tcW w:w="333" w:type="pct"/>
            <w:shd w:val="clear" w:color="auto" w:fill="auto"/>
            <w:vAlign w:val="center"/>
          </w:tcPr>
          <w:p w14:paraId="18D9D22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6E477F8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37086C9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734C097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3D78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shd w:val="clear" w:color="auto" w:fill="auto"/>
            <w:vAlign w:val="center"/>
          </w:tcPr>
          <w:p w14:paraId="7E73BC2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工业用地（1001地类）</w:t>
            </w:r>
          </w:p>
        </w:tc>
        <w:tc>
          <w:tcPr>
            <w:tcW w:w="765" w:type="pct"/>
            <w:shd w:val="clear" w:color="auto" w:fill="auto"/>
            <w:vAlign w:val="center"/>
          </w:tcPr>
          <w:p w14:paraId="5822EA4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一、二类工业用地</w:t>
            </w:r>
          </w:p>
        </w:tc>
        <w:tc>
          <w:tcPr>
            <w:tcW w:w="1568" w:type="pct"/>
            <w:shd w:val="clear" w:color="auto" w:fill="auto"/>
            <w:vAlign w:val="center"/>
          </w:tcPr>
          <w:p w14:paraId="525E236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用于农产品初加工的产业用地</w:t>
            </w:r>
          </w:p>
        </w:tc>
        <w:tc>
          <w:tcPr>
            <w:tcW w:w="333" w:type="pct"/>
            <w:shd w:val="clear" w:color="auto" w:fill="auto"/>
            <w:vAlign w:val="center"/>
          </w:tcPr>
          <w:p w14:paraId="2EA1840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2A907D4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369A057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79DB6C4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r>
      <w:tr w14:paraId="7FCA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1528" w:type="pct"/>
            <w:gridSpan w:val="2"/>
            <w:shd w:val="clear" w:color="auto" w:fill="auto"/>
            <w:vAlign w:val="center"/>
          </w:tcPr>
          <w:p w14:paraId="33E911B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物流仓储用地（1101地类）</w:t>
            </w:r>
          </w:p>
        </w:tc>
        <w:tc>
          <w:tcPr>
            <w:tcW w:w="1568" w:type="pct"/>
            <w:shd w:val="clear" w:color="auto" w:fill="auto"/>
            <w:vAlign w:val="center"/>
          </w:tcPr>
          <w:p w14:paraId="7934054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物流快递中转点</w:t>
            </w:r>
          </w:p>
        </w:tc>
        <w:tc>
          <w:tcPr>
            <w:tcW w:w="333" w:type="pct"/>
            <w:shd w:val="clear" w:color="auto" w:fill="auto"/>
            <w:vAlign w:val="center"/>
          </w:tcPr>
          <w:p w14:paraId="2C3359E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4FB1E19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75D7434E">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3C28DB2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r>
      <w:tr w14:paraId="0781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restart"/>
            <w:shd w:val="clear" w:color="auto" w:fill="auto"/>
            <w:vAlign w:val="center"/>
          </w:tcPr>
          <w:p w14:paraId="1EBC4782">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交通运输用地</w:t>
            </w:r>
          </w:p>
          <w:p w14:paraId="4CB3776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（12地类）</w:t>
            </w:r>
          </w:p>
        </w:tc>
        <w:tc>
          <w:tcPr>
            <w:tcW w:w="765" w:type="pct"/>
            <w:shd w:val="clear" w:color="auto" w:fill="auto"/>
            <w:vAlign w:val="center"/>
          </w:tcPr>
          <w:p w14:paraId="338F218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城镇村道路用地</w:t>
            </w:r>
          </w:p>
        </w:tc>
        <w:tc>
          <w:tcPr>
            <w:tcW w:w="1568" w:type="pct"/>
            <w:shd w:val="clear" w:color="auto" w:fill="auto"/>
            <w:vAlign w:val="center"/>
          </w:tcPr>
          <w:p w14:paraId="4CDA1B1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村道</w:t>
            </w:r>
          </w:p>
        </w:tc>
        <w:tc>
          <w:tcPr>
            <w:tcW w:w="333" w:type="pct"/>
            <w:shd w:val="clear" w:color="auto" w:fill="auto"/>
            <w:vAlign w:val="center"/>
          </w:tcPr>
          <w:p w14:paraId="6E019CF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03A107EE">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5AB1B41E">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7201190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3504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4BB5310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shd w:val="clear" w:color="auto" w:fill="auto"/>
            <w:vAlign w:val="center"/>
          </w:tcPr>
          <w:p w14:paraId="5DCDC1C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社会停车场用地</w:t>
            </w:r>
          </w:p>
        </w:tc>
        <w:tc>
          <w:tcPr>
            <w:tcW w:w="1568" w:type="pct"/>
            <w:shd w:val="clear" w:color="auto" w:fill="auto"/>
            <w:vAlign w:val="center"/>
          </w:tcPr>
          <w:p w14:paraId="5C95625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景区停车场</w:t>
            </w:r>
          </w:p>
        </w:tc>
        <w:tc>
          <w:tcPr>
            <w:tcW w:w="333" w:type="pct"/>
            <w:shd w:val="clear" w:color="auto" w:fill="auto"/>
            <w:vAlign w:val="center"/>
          </w:tcPr>
          <w:p w14:paraId="52E988A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633AE64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705BF772">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33A25FD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1100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restart"/>
            <w:shd w:val="clear" w:color="auto" w:fill="auto"/>
            <w:vAlign w:val="center"/>
          </w:tcPr>
          <w:p w14:paraId="66E73DE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公用设施用地</w:t>
            </w:r>
          </w:p>
          <w:p w14:paraId="209BC39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（13地类）</w:t>
            </w:r>
          </w:p>
        </w:tc>
        <w:tc>
          <w:tcPr>
            <w:tcW w:w="765" w:type="pct"/>
            <w:shd w:val="clear" w:color="auto" w:fill="auto"/>
            <w:vAlign w:val="center"/>
          </w:tcPr>
          <w:p w14:paraId="31F0157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供水用地</w:t>
            </w:r>
          </w:p>
        </w:tc>
        <w:tc>
          <w:tcPr>
            <w:tcW w:w="1568" w:type="pct"/>
            <w:shd w:val="clear" w:color="auto" w:fill="auto"/>
            <w:vAlign w:val="center"/>
          </w:tcPr>
          <w:p w14:paraId="11C369F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小型农村取水设施</w:t>
            </w:r>
          </w:p>
        </w:tc>
        <w:tc>
          <w:tcPr>
            <w:tcW w:w="333" w:type="pct"/>
            <w:shd w:val="clear" w:color="auto" w:fill="auto"/>
            <w:vAlign w:val="center"/>
          </w:tcPr>
          <w:p w14:paraId="46A3096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1A9169A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5DC53D4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1455DF4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4DF5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74E0D21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shd w:val="clear" w:color="auto" w:fill="auto"/>
            <w:vAlign w:val="center"/>
          </w:tcPr>
          <w:p w14:paraId="7DD4138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排水用地</w:t>
            </w:r>
          </w:p>
        </w:tc>
        <w:tc>
          <w:tcPr>
            <w:tcW w:w="1568" w:type="pct"/>
            <w:shd w:val="clear" w:color="auto" w:fill="auto"/>
            <w:vAlign w:val="center"/>
          </w:tcPr>
          <w:p w14:paraId="2C47864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小型农村污水处理池</w:t>
            </w:r>
          </w:p>
        </w:tc>
        <w:tc>
          <w:tcPr>
            <w:tcW w:w="333" w:type="pct"/>
            <w:shd w:val="clear" w:color="auto" w:fill="auto"/>
            <w:vAlign w:val="center"/>
          </w:tcPr>
          <w:p w14:paraId="311AC1A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09C5F69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3BE0E8F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55D807D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733D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381C82C2">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shd w:val="clear" w:color="auto" w:fill="auto"/>
            <w:vAlign w:val="center"/>
          </w:tcPr>
          <w:p w14:paraId="1C84973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供电用地</w:t>
            </w:r>
          </w:p>
        </w:tc>
        <w:tc>
          <w:tcPr>
            <w:tcW w:w="1568" w:type="pct"/>
            <w:shd w:val="clear" w:color="auto" w:fill="auto"/>
            <w:vAlign w:val="center"/>
          </w:tcPr>
          <w:p w14:paraId="3E56C0A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村配电房</w:t>
            </w:r>
          </w:p>
        </w:tc>
        <w:tc>
          <w:tcPr>
            <w:tcW w:w="333" w:type="pct"/>
            <w:shd w:val="clear" w:color="auto" w:fill="auto"/>
            <w:vAlign w:val="center"/>
          </w:tcPr>
          <w:p w14:paraId="555597F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683A2D5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6ACF44F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0EEA2EA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3425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5260395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shd w:val="clear" w:color="auto" w:fill="auto"/>
            <w:vAlign w:val="center"/>
          </w:tcPr>
          <w:p w14:paraId="4602A49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通信用地</w:t>
            </w:r>
          </w:p>
        </w:tc>
        <w:tc>
          <w:tcPr>
            <w:tcW w:w="1568" w:type="pct"/>
            <w:shd w:val="clear" w:color="auto" w:fill="auto"/>
            <w:vAlign w:val="center"/>
          </w:tcPr>
          <w:p w14:paraId="5B53AFD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通信基站</w:t>
            </w:r>
          </w:p>
        </w:tc>
        <w:tc>
          <w:tcPr>
            <w:tcW w:w="333" w:type="pct"/>
            <w:shd w:val="clear" w:color="auto" w:fill="auto"/>
            <w:vAlign w:val="center"/>
          </w:tcPr>
          <w:p w14:paraId="54C02F6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63CB8E0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0268DD8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003EE5F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5873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2929E14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restart"/>
            <w:shd w:val="clear" w:color="auto" w:fill="auto"/>
            <w:vAlign w:val="center"/>
          </w:tcPr>
          <w:p w14:paraId="1C050F4E">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环卫用地</w:t>
            </w:r>
          </w:p>
        </w:tc>
        <w:tc>
          <w:tcPr>
            <w:tcW w:w="1568" w:type="pct"/>
            <w:shd w:val="clear" w:color="auto" w:fill="auto"/>
            <w:vAlign w:val="center"/>
          </w:tcPr>
          <w:p w14:paraId="20E5CC7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垃圾中转站</w:t>
            </w:r>
          </w:p>
        </w:tc>
        <w:tc>
          <w:tcPr>
            <w:tcW w:w="333" w:type="pct"/>
            <w:shd w:val="clear" w:color="auto" w:fill="auto"/>
            <w:vAlign w:val="center"/>
          </w:tcPr>
          <w:p w14:paraId="42EE374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1A5E601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0A34DBB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2E995AF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22B5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27588C2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shd w:val="clear" w:color="auto" w:fill="auto"/>
            <w:vAlign w:val="center"/>
          </w:tcPr>
          <w:p w14:paraId="1000794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shd w:val="clear" w:color="auto" w:fill="auto"/>
            <w:vAlign w:val="center"/>
          </w:tcPr>
          <w:p w14:paraId="121227F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垃圾收集点</w:t>
            </w:r>
          </w:p>
        </w:tc>
        <w:tc>
          <w:tcPr>
            <w:tcW w:w="333" w:type="pct"/>
            <w:shd w:val="clear" w:color="auto" w:fill="auto"/>
            <w:vAlign w:val="center"/>
          </w:tcPr>
          <w:p w14:paraId="307CF01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0E77681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02D3017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4844431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09D9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46D9C4F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shd w:val="clear" w:color="auto" w:fill="auto"/>
            <w:vAlign w:val="center"/>
          </w:tcPr>
          <w:p w14:paraId="5E2BC2E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shd w:val="clear" w:color="auto" w:fill="auto"/>
            <w:vAlign w:val="center"/>
          </w:tcPr>
          <w:p w14:paraId="292668A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公厕</w:t>
            </w:r>
          </w:p>
        </w:tc>
        <w:tc>
          <w:tcPr>
            <w:tcW w:w="333" w:type="pct"/>
            <w:shd w:val="clear" w:color="auto" w:fill="auto"/>
            <w:vAlign w:val="center"/>
          </w:tcPr>
          <w:p w14:paraId="5DDD1D2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76FD4D4A">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11DBAE1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0DCCBCE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3531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3C1A5FA0">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restart"/>
            <w:shd w:val="clear" w:color="auto" w:fill="auto"/>
            <w:vAlign w:val="center"/>
          </w:tcPr>
          <w:p w14:paraId="531B6392">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水工设施用地</w:t>
            </w:r>
          </w:p>
        </w:tc>
        <w:tc>
          <w:tcPr>
            <w:tcW w:w="1568" w:type="pct"/>
            <w:shd w:val="clear" w:color="auto" w:fill="auto"/>
            <w:vAlign w:val="center"/>
          </w:tcPr>
          <w:p w14:paraId="4819EB4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村级水闸</w:t>
            </w:r>
          </w:p>
        </w:tc>
        <w:tc>
          <w:tcPr>
            <w:tcW w:w="333" w:type="pct"/>
            <w:shd w:val="clear" w:color="auto" w:fill="auto"/>
            <w:vAlign w:val="center"/>
          </w:tcPr>
          <w:p w14:paraId="4A6459E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0575AB1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3B75EB7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08EC598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2044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vMerge w:val="continue"/>
            <w:shd w:val="clear" w:color="auto" w:fill="auto"/>
            <w:vAlign w:val="center"/>
          </w:tcPr>
          <w:p w14:paraId="27EE594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765" w:type="pct"/>
            <w:vMerge w:val="continue"/>
            <w:shd w:val="clear" w:color="auto" w:fill="auto"/>
            <w:vAlign w:val="center"/>
          </w:tcPr>
          <w:p w14:paraId="3DB20C4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p>
        </w:tc>
        <w:tc>
          <w:tcPr>
            <w:tcW w:w="1568" w:type="pct"/>
            <w:shd w:val="clear" w:color="auto" w:fill="auto"/>
            <w:vAlign w:val="center"/>
          </w:tcPr>
          <w:p w14:paraId="2F95BFF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水电机房</w:t>
            </w:r>
          </w:p>
        </w:tc>
        <w:tc>
          <w:tcPr>
            <w:tcW w:w="333" w:type="pct"/>
            <w:shd w:val="clear" w:color="auto" w:fill="auto"/>
            <w:vAlign w:val="center"/>
          </w:tcPr>
          <w:p w14:paraId="06F07B95">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56A8D733">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0B10701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2FC66D48">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58CB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763" w:type="pct"/>
            <w:shd w:val="clear" w:color="auto" w:fill="auto"/>
            <w:vAlign w:val="center"/>
          </w:tcPr>
          <w:p w14:paraId="50C7013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绿地与开敞空间用地</w:t>
            </w:r>
          </w:p>
          <w:p w14:paraId="26CC7484">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（14地类）</w:t>
            </w:r>
          </w:p>
        </w:tc>
        <w:tc>
          <w:tcPr>
            <w:tcW w:w="765" w:type="pct"/>
            <w:shd w:val="clear" w:color="auto" w:fill="auto"/>
            <w:vAlign w:val="center"/>
          </w:tcPr>
          <w:p w14:paraId="517BC6B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公园绿地</w:t>
            </w:r>
          </w:p>
        </w:tc>
        <w:tc>
          <w:tcPr>
            <w:tcW w:w="1568" w:type="pct"/>
            <w:shd w:val="clear" w:color="auto" w:fill="auto"/>
            <w:vAlign w:val="center"/>
          </w:tcPr>
          <w:p w14:paraId="15FC4BE7">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小型农村公园</w:t>
            </w:r>
          </w:p>
        </w:tc>
        <w:tc>
          <w:tcPr>
            <w:tcW w:w="333" w:type="pct"/>
            <w:shd w:val="clear" w:color="auto" w:fill="auto"/>
            <w:vAlign w:val="center"/>
          </w:tcPr>
          <w:p w14:paraId="53F62D8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75" w:type="pct"/>
            <w:shd w:val="clear" w:color="auto" w:fill="auto"/>
            <w:vAlign w:val="center"/>
          </w:tcPr>
          <w:p w14:paraId="479551DF">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233" w:type="pct"/>
            <w:shd w:val="clear" w:color="auto" w:fill="auto"/>
            <w:vAlign w:val="center"/>
          </w:tcPr>
          <w:p w14:paraId="3A6C901C">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c>
          <w:tcPr>
            <w:tcW w:w="1061" w:type="pct"/>
            <w:shd w:val="clear" w:color="auto" w:fill="auto"/>
            <w:vAlign w:val="center"/>
          </w:tcPr>
          <w:p w14:paraId="3EDD265D">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w:t>
            </w:r>
          </w:p>
        </w:tc>
      </w:tr>
      <w:tr w14:paraId="22FE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jc w:val="center"/>
        </w:trPr>
        <w:tc>
          <w:tcPr>
            <w:tcW w:w="1528" w:type="pct"/>
            <w:gridSpan w:val="2"/>
            <w:shd w:val="clear" w:color="auto" w:fill="auto"/>
            <w:vAlign w:val="center"/>
          </w:tcPr>
          <w:p w14:paraId="7B0D7DD9">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殡葬用地（1506地类）</w:t>
            </w:r>
          </w:p>
        </w:tc>
        <w:tc>
          <w:tcPr>
            <w:tcW w:w="1568" w:type="pct"/>
            <w:shd w:val="clear" w:color="auto" w:fill="auto"/>
            <w:vAlign w:val="center"/>
          </w:tcPr>
          <w:p w14:paraId="491B6FDB">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乡村公益性公墓、树葬点、骨灰存放堂</w:t>
            </w:r>
          </w:p>
        </w:tc>
        <w:tc>
          <w:tcPr>
            <w:tcW w:w="333" w:type="pct"/>
            <w:shd w:val="clear" w:color="auto" w:fill="auto"/>
            <w:vAlign w:val="center"/>
          </w:tcPr>
          <w:p w14:paraId="575034F6">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75" w:type="pct"/>
            <w:shd w:val="clear" w:color="auto" w:fill="auto"/>
            <w:vAlign w:val="center"/>
          </w:tcPr>
          <w:p w14:paraId="2834273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233" w:type="pct"/>
            <w:shd w:val="clear" w:color="auto" w:fill="auto"/>
            <w:vAlign w:val="center"/>
          </w:tcPr>
          <w:p w14:paraId="369CDC81">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c>
          <w:tcPr>
            <w:tcW w:w="1061" w:type="pct"/>
            <w:shd w:val="clear" w:color="auto" w:fill="auto"/>
            <w:vAlign w:val="center"/>
          </w:tcPr>
          <w:p w14:paraId="0D0DA8DE">
            <w:pPr>
              <w:pStyle w:val="13"/>
              <w:keepNext w:val="0"/>
              <w:keepLines w:val="0"/>
              <w:pageBreakBefore w:val="0"/>
              <w:widowControl w:val="0"/>
              <w:kinsoku/>
              <w:wordWrap/>
              <w:overflowPunct/>
              <w:topLinePunct w:val="0"/>
              <w:autoSpaceDE w:val="0"/>
              <w:autoSpaceDN w:val="0"/>
              <w:bidi w:val="0"/>
              <w:adjustRightInd/>
              <w:snapToGrid/>
              <w:spacing w:before="0" w:beforeLines="0" w:line="240" w:lineRule="auto"/>
              <w:ind w:left="0" w:leftChars="0" w:right="0" w:rightChars="0" w:firstLine="0" w:firstLineChars="0"/>
              <w:jc w:val="center"/>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t>十</w:t>
            </w:r>
          </w:p>
        </w:tc>
      </w:tr>
    </w:tbl>
    <w:p w14:paraId="0791E4F8">
      <w:pPr>
        <w:pStyle w:val="13"/>
        <w:keepNext w:val="0"/>
        <w:keepLines w:val="0"/>
        <w:pageBreakBefore w:val="0"/>
        <w:widowControl w:val="0"/>
        <w:kinsoku/>
        <w:wordWrap/>
        <w:overflowPunct/>
        <w:topLinePunct w:val="0"/>
        <w:autoSpaceDE w:val="0"/>
        <w:autoSpaceDN w:val="0"/>
        <w:bidi w:val="0"/>
        <w:adjustRightInd/>
        <w:snapToGrid/>
        <w:spacing w:before="0" w:beforeLines="0" w:line="592" w:lineRule="exact"/>
        <w:ind w:left="0" w:leftChars="0" w:right="110" w:firstLine="596" w:firstLineChars="213"/>
        <w:textAlignment w:val="auto"/>
        <w:rPr>
          <w:rFonts w:hint="eastAsia" w:ascii="Times New Roman" w:hAnsi="Times New Roman" w:eastAsia="仿宋_GB2312" w:cs="Times New Roman"/>
          <w:b w:val="0"/>
          <w:bCs w:val="0"/>
          <w:sz w:val="21"/>
          <w:szCs w:val="21"/>
          <w:highlight w:val="none"/>
          <w:lang w:val="en-US" w:eastAsia="zh-CN" w:bidi="ar"/>
        </w:rPr>
      </w:pPr>
      <w:r>
        <w:rPr>
          <w:rFonts w:hint="eastAsia" w:eastAsia="仿宋_GB2312"/>
          <w:color w:val="000000" w:themeColor="text1"/>
          <w:sz w:val="28"/>
          <w:szCs w:val="28"/>
          <w:highlight w:val="none"/>
          <w:lang w:eastAsia="zh-CN"/>
          <w14:textFill>
            <w14:solidFill>
              <w14:schemeClr w14:val="tx1"/>
            </w14:solidFill>
          </w14:textFill>
        </w:rPr>
        <w:t>注：√：直接以“通则”为规划依据；+：在“通则”基础上需补充编制重点地块图则为规划依据；×：“通则”不适用仅允许规划落实方案或详细规划作为规划依据。</w:t>
      </w:r>
    </w:p>
    <w:sectPr>
      <w:footerReference r:id="rId6" w:type="default"/>
      <w:pgSz w:w="11910" w:h="16850"/>
      <w:pgMar w:top="1360" w:right="1380" w:bottom="1640" w:left="1560" w:header="645" w:footer="14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91D82">
    <w:pPr>
      <w:pStyle w:val="17"/>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6E179">
                          <w:pPr>
                            <w:pStyle w:val="17"/>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C6E179">
                    <w:pPr>
                      <w:pStyle w:val="17"/>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sdt>
      <w:sdtPr>
        <w:id w:val="-2023612232"/>
        <w:showingPlcHdr/>
      </w:sdtPr>
      <w:sdtContent>
        <w:r>
          <w:rPr>
            <w:rFonts w:hint="eastAsia"/>
            <w:lang w:eastAsia="zh-CN"/>
          </w:rPr>
          <w:t xml:space="preserve">     </w:t>
        </w:r>
      </w:sdtContent>
    </w:sdt>
  </w:p>
  <w:p w14:paraId="3D1DF059">
    <w:pPr>
      <w:pStyle w:val="13"/>
      <w:spacing w:before="120" w:line="14" w:lineRule="auto"/>
      <w:ind w:left="110" w:right="110" w:firstLine="40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CBEB">
    <w:pPr>
      <w:pStyle w:val="17"/>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125"/>
                          </w:sdtPr>
                          <w:sdtContent>
                            <w:p w14:paraId="244AA253">
                              <w:pPr>
                                <w:pStyle w:val="17"/>
                                <w:jc w:val="right"/>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eastAsia="zh-CN"/>
                                </w:rPr>
                                <w:t>18</w:t>
                              </w:r>
                              <w:r>
                                <w:rPr>
                                  <w:rFonts w:ascii="Times New Roman" w:hAnsi="Times New Roman" w:cs="Times New Roman"/>
                                  <w:sz w:val="21"/>
                                  <w:szCs w:val="21"/>
                                </w:rPr>
                                <w:fldChar w:fldCharType="end"/>
                              </w:r>
                            </w:p>
                          </w:sdtContent>
                        </w:sdt>
                        <w:p w14:paraId="5E42072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47459125"/>
                    </w:sdtPr>
                    <w:sdtContent>
                      <w:p w14:paraId="244AA253">
                        <w:pPr>
                          <w:pStyle w:val="17"/>
                          <w:jc w:val="right"/>
                        </w:pPr>
                        <w:r>
                          <w:rPr>
                            <w:rFonts w:ascii="Times New Roman" w:hAnsi="Times New Roman" w:cs="Times New Roman"/>
                            <w:sz w:val="21"/>
                            <w:szCs w:val="21"/>
                          </w:rPr>
                          <w:fldChar w:fldCharType="begin"/>
                        </w:r>
                        <w:r>
                          <w:rPr>
                            <w:rFonts w:hint="eastAsia"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hint="eastAsia" w:ascii="Times New Roman" w:hAnsi="Times New Roman" w:cs="Times New Roman"/>
                            <w:sz w:val="21"/>
                            <w:szCs w:val="21"/>
                            <w:lang w:val="zh-CN" w:eastAsia="zh-CN"/>
                          </w:rPr>
                          <w:t>18</w:t>
                        </w:r>
                        <w:r>
                          <w:rPr>
                            <w:rFonts w:ascii="Times New Roman" w:hAnsi="Times New Roman" w:cs="Times New Roman"/>
                            <w:sz w:val="21"/>
                            <w:szCs w:val="21"/>
                          </w:rPr>
                          <w:fldChar w:fldCharType="end"/>
                        </w:r>
                      </w:p>
                    </w:sdtContent>
                  </w:sdt>
                  <w:p w14:paraId="5E420724"/>
                </w:txbxContent>
              </v:textbox>
            </v:shape>
          </w:pict>
        </mc:Fallback>
      </mc:AlternateContent>
    </w:r>
  </w:p>
  <w:p w14:paraId="22C7AD98">
    <w:pPr>
      <w:pStyle w:val="13"/>
      <w:spacing w:before="120" w:line="14" w:lineRule="auto"/>
      <w:ind w:left="110" w:right="110" w:firstLine="4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6A038">
    <w:pPr>
      <w:pStyle w:val="13"/>
      <w:spacing w:before="120" w:line="14" w:lineRule="auto"/>
      <w:ind w:left="110" w:right="110" w:firstLine="640"/>
      <w:rPr>
        <w:sz w:val="20"/>
      </w:rPr>
    </w:pPr>
    <w:r>
      <w:rPr>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3360" cy="139700"/>
              <wp:effectExtent l="1270" t="0" r="4445" b="4445"/>
              <wp:wrapNone/>
              <wp:docPr id="7"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3360" cy="139700"/>
                      </a:xfrm>
                      <a:prstGeom prst="rect">
                        <a:avLst/>
                      </a:prstGeom>
                      <a:noFill/>
                      <a:ln>
                        <a:noFill/>
                      </a:ln>
                    </wps:spPr>
                    <wps:txbx>
                      <w:txbxContent>
                        <w:p w14:paraId="45DF3053">
                          <w:pPr>
                            <w:spacing w:line="220" w:lineRule="exact"/>
                            <w:ind w:left="40"/>
                            <w:rPr>
                              <w:sz w:val="18"/>
                            </w:rPr>
                          </w:pPr>
                          <w:r>
                            <w:fldChar w:fldCharType="begin"/>
                          </w:r>
                          <w:r>
                            <w:rPr>
                              <w:sz w:val="18"/>
                            </w:rPr>
                            <w:instrText xml:space="preserve"> PAGE </w:instrText>
                          </w:r>
                          <w:r>
                            <w:fldChar w:fldCharType="separate"/>
                          </w:r>
                          <w:r>
                            <w:rPr>
                              <w:sz w:val="18"/>
                            </w:rPr>
                            <w:t>81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0pt;height:11pt;width:16.8pt;mso-position-horizontal:center;mso-position-horizontal-relative:margin;z-index:251660288;mso-width-relative:page;mso-height-relative:page;" filled="f" stroked="f" coordsize="21600,21600" o:gfxdata="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aZcD0wAAAAMBAAAPAAAAAAAAAAEAIAAAACIAAABkcnMvZG93bnJldi54bWxQ&#10;SwECFAAUAAAACACHTuJAcmzXrfwBAAADBAAADgAAAAAAAAABACAAAAAiAQAAZHJzL2Uyb0RvYy54&#10;bWxQSwUGAAAAAAYABgBZAQAAkAUAAAAA&#10;">
              <v:fill on="f" focussize="0,0"/>
              <v:stroke on="f"/>
              <v:imagedata o:title=""/>
              <o:lock v:ext="edit" aspectratio="f"/>
              <v:textbox inset="0mm,0mm,0mm,0mm">
                <w:txbxContent>
                  <w:p w14:paraId="45DF3053">
                    <w:pPr>
                      <w:spacing w:line="220" w:lineRule="exact"/>
                      <w:ind w:left="40"/>
                      <w:rPr>
                        <w:sz w:val="18"/>
                      </w:rPr>
                    </w:pPr>
                    <w:r>
                      <w:fldChar w:fldCharType="begin"/>
                    </w:r>
                    <w:r>
                      <w:rPr>
                        <w:sz w:val="18"/>
                      </w:rPr>
                      <w:instrText xml:space="preserve"> PAGE </w:instrText>
                    </w:r>
                    <w:r>
                      <w:fldChar w:fldCharType="separate"/>
                    </w:r>
                    <w:r>
                      <w:rPr>
                        <w:sz w:val="18"/>
                      </w:rP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B2FDA">
    <w:pPr>
      <w:rPr>
        <w:rFonts w:eastAsia="PMingLiU-Ext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80E6E"/>
    <w:multiLevelType w:val="multilevel"/>
    <w:tmpl w:val="D6380E6E"/>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1">
    <w:nsid w:val="1BAE1258"/>
    <w:multiLevelType w:val="multilevel"/>
    <w:tmpl w:val="1BAE1258"/>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2">
    <w:nsid w:val="3A626F2B"/>
    <w:multiLevelType w:val="multilevel"/>
    <w:tmpl w:val="3A626F2B"/>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3">
    <w:nsid w:val="41473DAF"/>
    <w:multiLevelType w:val="multilevel"/>
    <w:tmpl w:val="41473DAF"/>
    <w:lvl w:ilvl="0" w:tentative="0">
      <w:start w:val="1"/>
      <w:numFmt w:val="chineseCountingThousand"/>
      <w:lvlText w:val="第%1节"/>
      <w:lvlJc w:val="left"/>
      <w:pPr>
        <w:ind w:left="3256" w:hanging="420"/>
      </w:pPr>
      <w:rPr>
        <w:rFonts w:hint="eastAsia" w:ascii="黑体" w:eastAsia="黑体" w:hAnsiTheme="minorEastAsia"/>
      </w:rPr>
    </w:lvl>
    <w:lvl w:ilvl="1" w:tentative="0">
      <w:start w:val="1"/>
      <w:numFmt w:val="lowerLetter"/>
      <w:lvlText w:val="%2)"/>
      <w:lvlJc w:val="left"/>
      <w:pPr>
        <w:ind w:left="3818" w:hanging="420"/>
      </w:pPr>
    </w:lvl>
    <w:lvl w:ilvl="2" w:tentative="0">
      <w:start w:val="1"/>
      <w:numFmt w:val="lowerRoman"/>
      <w:lvlText w:val="%3."/>
      <w:lvlJc w:val="right"/>
      <w:pPr>
        <w:ind w:left="4238" w:hanging="420"/>
      </w:pPr>
    </w:lvl>
    <w:lvl w:ilvl="3" w:tentative="0">
      <w:start w:val="1"/>
      <w:numFmt w:val="decimal"/>
      <w:lvlText w:val="%4."/>
      <w:lvlJc w:val="left"/>
      <w:pPr>
        <w:ind w:left="4658" w:hanging="420"/>
      </w:pPr>
    </w:lvl>
    <w:lvl w:ilvl="4" w:tentative="0">
      <w:start w:val="1"/>
      <w:numFmt w:val="lowerLetter"/>
      <w:lvlText w:val="%5)"/>
      <w:lvlJc w:val="left"/>
      <w:pPr>
        <w:ind w:left="5078" w:hanging="420"/>
      </w:pPr>
    </w:lvl>
    <w:lvl w:ilvl="5" w:tentative="0">
      <w:start w:val="1"/>
      <w:numFmt w:val="lowerRoman"/>
      <w:lvlText w:val="%6."/>
      <w:lvlJc w:val="right"/>
      <w:pPr>
        <w:ind w:left="5498" w:hanging="420"/>
      </w:pPr>
    </w:lvl>
    <w:lvl w:ilvl="6" w:tentative="0">
      <w:start w:val="1"/>
      <w:numFmt w:val="decimal"/>
      <w:lvlText w:val="%7."/>
      <w:lvlJc w:val="left"/>
      <w:pPr>
        <w:ind w:left="5918" w:hanging="420"/>
      </w:pPr>
    </w:lvl>
    <w:lvl w:ilvl="7" w:tentative="0">
      <w:start w:val="1"/>
      <w:numFmt w:val="lowerLetter"/>
      <w:lvlText w:val="%8)"/>
      <w:lvlJc w:val="left"/>
      <w:pPr>
        <w:ind w:left="6338" w:hanging="420"/>
      </w:pPr>
    </w:lvl>
    <w:lvl w:ilvl="8" w:tentative="0">
      <w:start w:val="1"/>
      <w:numFmt w:val="lowerRoman"/>
      <w:lvlText w:val="%9."/>
      <w:lvlJc w:val="right"/>
      <w:pPr>
        <w:ind w:left="6758" w:hanging="420"/>
      </w:pPr>
    </w:lvl>
  </w:abstractNum>
  <w:abstractNum w:abstractNumId="4">
    <w:nsid w:val="5BA764B1"/>
    <w:multiLevelType w:val="multilevel"/>
    <w:tmpl w:val="5BA764B1"/>
    <w:lvl w:ilvl="0" w:tentative="0">
      <w:start w:val="1"/>
      <w:numFmt w:val="decimal"/>
      <w:pStyle w:val="46"/>
      <w:lvlText w:val="第%1条 "/>
      <w:lvlJc w:val="left"/>
      <w:pPr>
        <w:ind w:left="2689" w:hanging="420"/>
      </w:pPr>
      <w:rPr>
        <w:rFonts w:hint="eastAsia" w:eastAsia="仿宋"/>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ind w:left="1128" w:hanging="420"/>
      </w:pPr>
      <w:rPr>
        <w:rFonts w:hint="eastAsia"/>
      </w:rPr>
    </w:lvl>
    <w:lvl w:ilvl="2" w:tentative="0">
      <w:start w:val="1"/>
      <w:numFmt w:val="lowerRoman"/>
      <w:lvlText w:val="%3."/>
      <w:lvlJc w:val="right"/>
      <w:pPr>
        <w:ind w:left="1548" w:hanging="420"/>
      </w:pPr>
      <w:rPr>
        <w:rFonts w:hint="eastAsia"/>
      </w:rPr>
    </w:lvl>
    <w:lvl w:ilvl="3" w:tentative="0">
      <w:start w:val="1"/>
      <w:numFmt w:val="decimal"/>
      <w:lvlText w:val="%4."/>
      <w:lvlJc w:val="left"/>
      <w:pPr>
        <w:ind w:left="1968" w:hanging="420"/>
      </w:pPr>
      <w:rPr>
        <w:rFonts w:hint="eastAsia"/>
      </w:rPr>
    </w:lvl>
    <w:lvl w:ilvl="4" w:tentative="0">
      <w:start w:val="1"/>
      <w:numFmt w:val="lowerLetter"/>
      <w:lvlText w:val="%5)"/>
      <w:lvlJc w:val="left"/>
      <w:pPr>
        <w:ind w:left="2388" w:hanging="420"/>
      </w:pPr>
      <w:rPr>
        <w:rFonts w:hint="eastAsia"/>
      </w:rPr>
    </w:lvl>
    <w:lvl w:ilvl="5" w:tentative="0">
      <w:start w:val="1"/>
      <w:numFmt w:val="lowerRoman"/>
      <w:lvlText w:val="%6."/>
      <w:lvlJc w:val="right"/>
      <w:pPr>
        <w:ind w:left="2808" w:hanging="420"/>
      </w:pPr>
      <w:rPr>
        <w:rFonts w:hint="eastAsia"/>
      </w:rPr>
    </w:lvl>
    <w:lvl w:ilvl="6" w:tentative="0">
      <w:start w:val="1"/>
      <w:numFmt w:val="decimal"/>
      <w:lvlText w:val="%7."/>
      <w:lvlJc w:val="left"/>
      <w:pPr>
        <w:ind w:left="3228" w:hanging="420"/>
      </w:pPr>
      <w:rPr>
        <w:rFonts w:hint="eastAsia"/>
      </w:rPr>
    </w:lvl>
    <w:lvl w:ilvl="7" w:tentative="0">
      <w:start w:val="1"/>
      <w:numFmt w:val="lowerLetter"/>
      <w:lvlText w:val="%8)"/>
      <w:lvlJc w:val="left"/>
      <w:pPr>
        <w:ind w:left="3648" w:hanging="420"/>
      </w:pPr>
      <w:rPr>
        <w:rFonts w:hint="eastAsia"/>
      </w:rPr>
    </w:lvl>
    <w:lvl w:ilvl="8" w:tentative="0">
      <w:start w:val="1"/>
      <w:numFmt w:val="lowerRoman"/>
      <w:lvlText w:val="%9."/>
      <w:lvlJc w:val="right"/>
      <w:pPr>
        <w:ind w:left="4068" w:hanging="420"/>
      </w:pPr>
      <w:rPr>
        <w:rFonts w:hint="eastAsia"/>
      </w:rPr>
    </w:lvl>
  </w:abstractNum>
  <w:abstractNum w:abstractNumId="5">
    <w:nsid w:val="60A7328B"/>
    <w:multiLevelType w:val="multilevel"/>
    <w:tmpl w:val="60A7328B"/>
    <w:lvl w:ilvl="0" w:tentative="0">
      <w:start w:val="1"/>
      <w:numFmt w:val="decimal"/>
      <w:pStyle w:val="47"/>
      <w:lvlText w:val="第%1条"/>
      <w:lvlJc w:val="left"/>
      <w:pPr>
        <w:ind w:left="708" w:hanging="420"/>
      </w:pPr>
      <w:rPr>
        <w:rFonts w:hint="eastAsia"/>
      </w:rPr>
    </w:lvl>
    <w:lvl w:ilvl="1" w:tentative="0">
      <w:start w:val="1"/>
      <w:numFmt w:val="lowerLetter"/>
      <w:lvlText w:val="%2)"/>
      <w:lvlJc w:val="left"/>
      <w:pPr>
        <w:ind w:left="1128" w:hanging="420"/>
      </w:pPr>
    </w:lvl>
    <w:lvl w:ilvl="2" w:tentative="0">
      <w:start w:val="1"/>
      <w:numFmt w:val="lowerRoman"/>
      <w:lvlText w:val="%3."/>
      <w:lvlJc w:val="right"/>
      <w:pPr>
        <w:ind w:left="1548" w:hanging="420"/>
      </w:pPr>
    </w:lvl>
    <w:lvl w:ilvl="3" w:tentative="0">
      <w:start w:val="1"/>
      <w:numFmt w:val="decimal"/>
      <w:lvlText w:val="%4."/>
      <w:lvlJc w:val="left"/>
      <w:pPr>
        <w:ind w:left="1968" w:hanging="420"/>
      </w:pPr>
    </w:lvl>
    <w:lvl w:ilvl="4" w:tentative="0">
      <w:start w:val="1"/>
      <w:numFmt w:val="lowerLetter"/>
      <w:lvlText w:val="%5)"/>
      <w:lvlJc w:val="left"/>
      <w:pPr>
        <w:ind w:left="2388" w:hanging="420"/>
      </w:pPr>
    </w:lvl>
    <w:lvl w:ilvl="5" w:tentative="0">
      <w:start w:val="1"/>
      <w:numFmt w:val="lowerRoman"/>
      <w:lvlText w:val="%6."/>
      <w:lvlJc w:val="right"/>
      <w:pPr>
        <w:ind w:left="2808" w:hanging="420"/>
      </w:pPr>
    </w:lvl>
    <w:lvl w:ilvl="6" w:tentative="0">
      <w:start w:val="1"/>
      <w:numFmt w:val="decimal"/>
      <w:lvlText w:val="%7."/>
      <w:lvlJc w:val="left"/>
      <w:pPr>
        <w:ind w:left="3228" w:hanging="420"/>
      </w:pPr>
    </w:lvl>
    <w:lvl w:ilvl="7" w:tentative="0">
      <w:start w:val="1"/>
      <w:numFmt w:val="lowerLetter"/>
      <w:lvlText w:val="%8)"/>
      <w:lvlJc w:val="left"/>
      <w:pPr>
        <w:ind w:left="3648" w:hanging="420"/>
      </w:pPr>
    </w:lvl>
    <w:lvl w:ilvl="8" w:tentative="0">
      <w:start w:val="1"/>
      <w:numFmt w:val="lowerRoman"/>
      <w:lvlText w:val="%9."/>
      <w:lvlJc w:val="right"/>
      <w:pPr>
        <w:ind w:left="4068" w:hanging="420"/>
      </w:pPr>
    </w:lvl>
  </w:abstractNum>
  <w:abstractNum w:abstractNumId="6">
    <w:nsid w:val="711D24F1"/>
    <w:multiLevelType w:val="multilevel"/>
    <w:tmpl w:val="711D24F1"/>
    <w:lvl w:ilvl="0" w:tentative="0">
      <w:start w:val="1"/>
      <w:numFmt w:val="chineseCountingThousand"/>
      <w:pStyle w:val="2"/>
      <w:lvlText w:val="第%1章"/>
      <w:lvlJc w:val="left"/>
      <w:pPr>
        <w:ind w:left="420" w:hanging="420"/>
      </w:pPr>
      <w:rPr>
        <w:rFonts w:hint="eastAsia" w:ascii="方正小标宋_GBK" w:hAnsi="黑体" w:eastAsia="方正小标宋_GBK"/>
      </w:rPr>
    </w:lvl>
    <w:lvl w:ilvl="1" w:tentative="0">
      <w:start w:val="1"/>
      <w:numFmt w:val="decimalZero"/>
      <w:isLgl/>
      <w:lvlText w:val="节 %1.%2"/>
      <w:lvlJc w:val="left"/>
      <w:pPr>
        <w:ind w:left="2978" w:firstLine="0"/>
      </w:pPr>
    </w:lvl>
    <w:lvl w:ilvl="2" w:tentative="0">
      <w:start w:val="1"/>
      <w:numFmt w:val="lowerLetter"/>
      <w:pStyle w:val="4"/>
      <w:lvlText w:val="(%3)"/>
      <w:lvlJc w:val="left"/>
      <w:pPr>
        <w:ind w:left="720" w:hanging="432"/>
      </w:pPr>
    </w:lvl>
    <w:lvl w:ilvl="3" w:tentative="0">
      <w:start w:val="1"/>
      <w:numFmt w:val="lowerRoman"/>
      <w:pStyle w:val="5"/>
      <w:lvlText w:val="(%4)"/>
      <w:lvlJc w:val="right"/>
      <w:pPr>
        <w:ind w:left="864" w:hanging="144"/>
      </w:pPr>
    </w:lvl>
    <w:lvl w:ilvl="4" w:tentative="0">
      <w:start w:val="1"/>
      <w:numFmt w:val="decimal"/>
      <w:pStyle w:val="6"/>
      <w:lvlText w:val="%5)"/>
      <w:lvlJc w:val="left"/>
      <w:pPr>
        <w:ind w:left="1008" w:hanging="432"/>
      </w:pPr>
    </w:lvl>
    <w:lvl w:ilvl="5" w:tentative="0">
      <w:start w:val="1"/>
      <w:numFmt w:val="lowerLetter"/>
      <w:pStyle w:val="7"/>
      <w:lvlText w:val="%6)"/>
      <w:lvlJc w:val="left"/>
      <w:pPr>
        <w:ind w:left="1152" w:hanging="432"/>
      </w:pPr>
    </w:lvl>
    <w:lvl w:ilvl="6" w:tentative="0">
      <w:start w:val="1"/>
      <w:numFmt w:val="lowerRoman"/>
      <w:pStyle w:val="8"/>
      <w:lvlText w:val="%7)"/>
      <w:lvlJc w:val="right"/>
      <w:pPr>
        <w:ind w:left="1296" w:hanging="288"/>
      </w:pPr>
    </w:lvl>
    <w:lvl w:ilvl="7" w:tentative="0">
      <w:start w:val="1"/>
      <w:numFmt w:val="lowerLetter"/>
      <w:pStyle w:val="9"/>
      <w:lvlText w:val="%8."/>
      <w:lvlJc w:val="left"/>
      <w:pPr>
        <w:ind w:left="1440" w:hanging="432"/>
      </w:pPr>
    </w:lvl>
    <w:lvl w:ilvl="8" w:tentative="0">
      <w:start w:val="1"/>
      <w:numFmt w:val="lowerRoman"/>
      <w:pStyle w:val="10"/>
      <w:lvlText w:val="%9."/>
      <w:lvlJc w:val="right"/>
      <w:pPr>
        <w:ind w:left="1584" w:hanging="144"/>
      </w:pPr>
    </w:lvl>
  </w:abstractNum>
  <w:num w:numId="1">
    <w:abstractNumId w:val="6"/>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iNDZjZWVhZDJkM2M1YTExNjJiNWViNjU3ZjRjYjYifQ=="/>
  </w:docVars>
  <w:rsids>
    <w:rsidRoot w:val="005C42B4"/>
    <w:rsid w:val="000000CA"/>
    <w:rsid w:val="000015E9"/>
    <w:rsid w:val="000033E9"/>
    <w:rsid w:val="00004891"/>
    <w:rsid w:val="000050E0"/>
    <w:rsid w:val="0001147E"/>
    <w:rsid w:val="0001351E"/>
    <w:rsid w:val="00013666"/>
    <w:rsid w:val="0001407B"/>
    <w:rsid w:val="00016971"/>
    <w:rsid w:val="000171FF"/>
    <w:rsid w:val="00017CC3"/>
    <w:rsid w:val="00020667"/>
    <w:rsid w:val="00020F2E"/>
    <w:rsid w:val="000210E6"/>
    <w:rsid w:val="0002477F"/>
    <w:rsid w:val="00026715"/>
    <w:rsid w:val="00032A43"/>
    <w:rsid w:val="00042EB2"/>
    <w:rsid w:val="000433D2"/>
    <w:rsid w:val="00043497"/>
    <w:rsid w:val="0004596D"/>
    <w:rsid w:val="00047477"/>
    <w:rsid w:val="00050B97"/>
    <w:rsid w:val="000525A3"/>
    <w:rsid w:val="000535E6"/>
    <w:rsid w:val="000539EC"/>
    <w:rsid w:val="000558D7"/>
    <w:rsid w:val="00056713"/>
    <w:rsid w:val="00060B50"/>
    <w:rsid w:val="00064868"/>
    <w:rsid w:val="00065B90"/>
    <w:rsid w:val="00067A4E"/>
    <w:rsid w:val="000721DC"/>
    <w:rsid w:val="00072AE7"/>
    <w:rsid w:val="00072EE9"/>
    <w:rsid w:val="000732B4"/>
    <w:rsid w:val="00075AF3"/>
    <w:rsid w:val="00076791"/>
    <w:rsid w:val="00076A4D"/>
    <w:rsid w:val="00076C4B"/>
    <w:rsid w:val="00076F4B"/>
    <w:rsid w:val="00081BAF"/>
    <w:rsid w:val="000820D4"/>
    <w:rsid w:val="000831F9"/>
    <w:rsid w:val="00083C04"/>
    <w:rsid w:val="00084578"/>
    <w:rsid w:val="00087171"/>
    <w:rsid w:val="0009028F"/>
    <w:rsid w:val="0009075B"/>
    <w:rsid w:val="00091AC7"/>
    <w:rsid w:val="00091BB1"/>
    <w:rsid w:val="00092924"/>
    <w:rsid w:val="00093F4B"/>
    <w:rsid w:val="00094A4F"/>
    <w:rsid w:val="000A4237"/>
    <w:rsid w:val="000A4B22"/>
    <w:rsid w:val="000A648A"/>
    <w:rsid w:val="000A7F0B"/>
    <w:rsid w:val="000B2833"/>
    <w:rsid w:val="000B4657"/>
    <w:rsid w:val="000B508E"/>
    <w:rsid w:val="000B655D"/>
    <w:rsid w:val="000B76AF"/>
    <w:rsid w:val="000C1D3E"/>
    <w:rsid w:val="000C2300"/>
    <w:rsid w:val="000C2EB3"/>
    <w:rsid w:val="000C3BBB"/>
    <w:rsid w:val="000D33CF"/>
    <w:rsid w:val="000D3DD6"/>
    <w:rsid w:val="000D4B71"/>
    <w:rsid w:val="000E21DC"/>
    <w:rsid w:val="000E3FEF"/>
    <w:rsid w:val="000F1C30"/>
    <w:rsid w:val="000F1E83"/>
    <w:rsid w:val="000F30A7"/>
    <w:rsid w:val="000F33C4"/>
    <w:rsid w:val="000F3C16"/>
    <w:rsid w:val="000F47D6"/>
    <w:rsid w:val="000F6B9F"/>
    <w:rsid w:val="000F771A"/>
    <w:rsid w:val="00100485"/>
    <w:rsid w:val="00103A5E"/>
    <w:rsid w:val="00107125"/>
    <w:rsid w:val="0011086D"/>
    <w:rsid w:val="00111C71"/>
    <w:rsid w:val="00115A56"/>
    <w:rsid w:val="00116AAB"/>
    <w:rsid w:val="00116AD2"/>
    <w:rsid w:val="00117047"/>
    <w:rsid w:val="00120C92"/>
    <w:rsid w:val="00126C25"/>
    <w:rsid w:val="001431F7"/>
    <w:rsid w:val="00143981"/>
    <w:rsid w:val="00145453"/>
    <w:rsid w:val="00145915"/>
    <w:rsid w:val="00151851"/>
    <w:rsid w:val="00165582"/>
    <w:rsid w:val="00170A5A"/>
    <w:rsid w:val="00174214"/>
    <w:rsid w:val="00174FD4"/>
    <w:rsid w:val="00175985"/>
    <w:rsid w:val="00181FA4"/>
    <w:rsid w:val="0018558D"/>
    <w:rsid w:val="00187121"/>
    <w:rsid w:val="00191F75"/>
    <w:rsid w:val="00192EE6"/>
    <w:rsid w:val="0019580B"/>
    <w:rsid w:val="001966B7"/>
    <w:rsid w:val="001A0C16"/>
    <w:rsid w:val="001A1B8F"/>
    <w:rsid w:val="001A1F76"/>
    <w:rsid w:val="001A518A"/>
    <w:rsid w:val="001A5C28"/>
    <w:rsid w:val="001B1AC4"/>
    <w:rsid w:val="001B1F6E"/>
    <w:rsid w:val="001B249E"/>
    <w:rsid w:val="001B7BD9"/>
    <w:rsid w:val="001C05DA"/>
    <w:rsid w:val="001C2267"/>
    <w:rsid w:val="001C34E7"/>
    <w:rsid w:val="001C4A73"/>
    <w:rsid w:val="001C63F4"/>
    <w:rsid w:val="001C6973"/>
    <w:rsid w:val="001D129E"/>
    <w:rsid w:val="001D12FC"/>
    <w:rsid w:val="001D30DD"/>
    <w:rsid w:val="001D357B"/>
    <w:rsid w:val="001D4E9D"/>
    <w:rsid w:val="001D66E3"/>
    <w:rsid w:val="001E01D7"/>
    <w:rsid w:val="001E2532"/>
    <w:rsid w:val="001E5775"/>
    <w:rsid w:val="001E5F44"/>
    <w:rsid w:val="001E7235"/>
    <w:rsid w:val="001F1C97"/>
    <w:rsid w:val="001F2211"/>
    <w:rsid w:val="001F385D"/>
    <w:rsid w:val="001F49A4"/>
    <w:rsid w:val="002014BA"/>
    <w:rsid w:val="002029B6"/>
    <w:rsid w:val="0020352E"/>
    <w:rsid w:val="002061BE"/>
    <w:rsid w:val="00206F1A"/>
    <w:rsid w:val="002124AB"/>
    <w:rsid w:val="00212B26"/>
    <w:rsid w:val="002134B5"/>
    <w:rsid w:val="00213AC0"/>
    <w:rsid w:val="00214502"/>
    <w:rsid w:val="00214DCF"/>
    <w:rsid w:val="00214F4F"/>
    <w:rsid w:val="0021551D"/>
    <w:rsid w:val="00215726"/>
    <w:rsid w:val="00216692"/>
    <w:rsid w:val="00221657"/>
    <w:rsid w:val="00222350"/>
    <w:rsid w:val="00224098"/>
    <w:rsid w:val="002243C5"/>
    <w:rsid w:val="00225C51"/>
    <w:rsid w:val="00225F1A"/>
    <w:rsid w:val="0022705C"/>
    <w:rsid w:val="00232F40"/>
    <w:rsid w:val="00233E4F"/>
    <w:rsid w:val="00235F96"/>
    <w:rsid w:val="002411F6"/>
    <w:rsid w:val="00246FE4"/>
    <w:rsid w:val="00247B14"/>
    <w:rsid w:val="00247BC8"/>
    <w:rsid w:val="00250500"/>
    <w:rsid w:val="002507EE"/>
    <w:rsid w:val="0025209B"/>
    <w:rsid w:val="00254E7D"/>
    <w:rsid w:val="0025687A"/>
    <w:rsid w:val="0025693E"/>
    <w:rsid w:val="00260F11"/>
    <w:rsid w:val="00261964"/>
    <w:rsid w:val="00262B3A"/>
    <w:rsid w:val="00263101"/>
    <w:rsid w:val="00264D24"/>
    <w:rsid w:val="002652F1"/>
    <w:rsid w:val="00265B58"/>
    <w:rsid w:val="002665BE"/>
    <w:rsid w:val="00267A57"/>
    <w:rsid w:val="0027008E"/>
    <w:rsid w:val="002723D1"/>
    <w:rsid w:val="0027343D"/>
    <w:rsid w:val="00284209"/>
    <w:rsid w:val="0028506F"/>
    <w:rsid w:val="002855F9"/>
    <w:rsid w:val="0028779D"/>
    <w:rsid w:val="002923E5"/>
    <w:rsid w:val="00292BE1"/>
    <w:rsid w:val="002A0398"/>
    <w:rsid w:val="002A05ED"/>
    <w:rsid w:val="002A2C39"/>
    <w:rsid w:val="002A430E"/>
    <w:rsid w:val="002B14EB"/>
    <w:rsid w:val="002B4D61"/>
    <w:rsid w:val="002C0DFD"/>
    <w:rsid w:val="002C2361"/>
    <w:rsid w:val="002C2403"/>
    <w:rsid w:val="002C4B93"/>
    <w:rsid w:val="002C7545"/>
    <w:rsid w:val="002D03DB"/>
    <w:rsid w:val="002D20DB"/>
    <w:rsid w:val="002D273B"/>
    <w:rsid w:val="002D64DF"/>
    <w:rsid w:val="002D68C7"/>
    <w:rsid w:val="002E36BF"/>
    <w:rsid w:val="002E4FAE"/>
    <w:rsid w:val="002E5373"/>
    <w:rsid w:val="002F01B6"/>
    <w:rsid w:val="002F7CD8"/>
    <w:rsid w:val="00300E40"/>
    <w:rsid w:val="003032D6"/>
    <w:rsid w:val="00304401"/>
    <w:rsid w:val="00306F25"/>
    <w:rsid w:val="003128D3"/>
    <w:rsid w:val="00312922"/>
    <w:rsid w:val="00314DAD"/>
    <w:rsid w:val="00314F10"/>
    <w:rsid w:val="0031665E"/>
    <w:rsid w:val="00316DB1"/>
    <w:rsid w:val="003171BF"/>
    <w:rsid w:val="00321E37"/>
    <w:rsid w:val="00332B33"/>
    <w:rsid w:val="003406AE"/>
    <w:rsid w:val="00340E02"/>
    <w:rsid w:val="00343C5E"/>
    <w:rsid w:val="00344D11"/>
    <w:rsid w:val="0034769F"/>
    <w:rsid w:val="00352719"/>
    <w:rsid w:val="00353CDA"/>
    <w:rsid w:val="00353D8B"/>
    <w:rsid w:val="003550D5"/>
    <w:rsid w:val="0035635E"/>
    <w:rsid w:val="00356611"/>
    <w:rsid w:val="003620D9"/>
    <w:rsid w:val="0036292A"/>
    <w:rsid w:val="003630D0"/>
    <w:rsid w:val="00364350"/>
    <w:rsid w:val="003645CC"/>
    <w:rsid w:val="00365193"/>
    <w:rsid w:val="00365314"/>
    <w:rsid w:val="0037212A"/>
    <w:rsid w:val="00372609"/>
    <w:rsid w:val="00374144"/>
    <w:rsid w:val="00374159"/>
    <w:rsid w:val="0037442F"/>
    <w:rsid w:val="00374B15"/>
    <w:rsid w:val="00374DE4"/>
    <w:rsid w:val="00375BD4"/>
    <w:rsid w:val="003760BF"/>
    <w:rsid w:val="0038097E"/>
    <w:rsid w:val="00380B3E"/>
    <w:rsid w:val="003812E9"/>
    <w:rsid w:val="003849A1"/>
    <w:rsid w:val="0038663D"/>
    <w:rsid w:val="00386AD9"/>
    <w:rsid w:val="00390031"/>
    <w:rsid w:val="00392D20"/>
    <w:rsid w:val="00393F96"/>
    <w:rsid w:val="0039411A"/>
    <w:rsid w:val="00395544"/>
    <w:rsid w:val="00395A40"/>
    <w:rsid w:val="0039764C"/>
    <w:rsid w:val="00397C5A"/>
    <w:rsid w:val="003A21D7"/>
    <w:rsid w:val="003A29F1"/>
    <w:rsid w:val="003A360F"/>
    <w:rsid w:val="003A3678"/>
    <w:rsid w:val="003A4A05"/>
    <w:rsid w:val="003A55F6"/>
    <w:rsid w:val="003A5F68"/>
    <w:rsid w:val="003A6227"/>
    <w:rsid w:val="003A6347"/>
    <w:rsid w:val="003A6CE4"/>
    <w:rsid w:val="003A74D8"/>
    <w:rsid w:val="003B0097"/>
    <w:rsid w:val="003B0120"/>
    <w:rsid w:val="003B0C23"/>
    <w:rsid w:val="003B0CB7"/>
    <w:rsid w:val="003B2ABB"/>
    <w:rsid w:val="003B341C"/>
    <w:rsid w:val="003B3921"/>
    <w:rsid w:val="003B4A28"/>
    <w:rsid w:val="003B52E5"/>
    <w:rsid w:val="003B5A17"/>
    <w:rsid w:val="003B6D60"/>
    <w:rsid w:val="003B7083"/>
    <w:rsid w:val="003B7104"/>
    <w:rsid w:val="003B72A9"/>
    <w:rsid w:val="003B7EC4"/>
    <w:rsid w:val="003C0599"/>
    <w:rsid w:val="003C4A35"/>
    <w:rsid w:val="003D1D0B"/>
    <w:rsid w:val="003D25E8"/>
    <w:rsid w:val="003D431E"/>
    <w:rsid w:val="003D52A7"/>
    <w:rsid w:val="003D53F9"/>
    <w:rsid w:val="003D5672"/>
    <w:rsid w:val="003E17AB"/>
    <w:rsid w:val="003E1BE2"/>
    <w:rsid w:val="003E1C9A"/>
    <w:rsid w:val="003E3E68"/>
    <w:rsid w:val="003E48CB"/>
    <w:rsid w:val="003E69AF"/>
    <w:rsid w:val="003E7239"/>
    <w:rsid w:val="003F10DF"/>
    <w:rsid w:val="003F38CD"/>
    <w:rsid w:val="003F3DAE"/>
    <w:rsid w:val="003F4687"/>
    <w:rsid w:val="004006B7"/>
    <w:rsid w:val="0040509E"/>
    <w:rsid w:val="004062E3"/>
    <w:rsid w:val="00406BB3"/>
    <w:rsid w:val="00410CF3"/>
    <w:rsid w:val="00412659"/>
    <w:rsid w:val="004129D9"/>
    <w:rsid w:val="00412FC5"/>
    <w:rsid w:val="00415706"/>
    <w:rsid w:val="00416EA6"/>
    <w:rsid w:val="00416FF2"/>
    <w:rsid w:val="00422699"/>
    <w:rsid w:val="0042359B"/>
    <w:rsid w:val="00423A13"/>
    <w:rsid w:val="00425613"/>
    <w:rsid w:val="00425667"/>
    <w:rsid w:val="00425901"/>
    <w:rsid w:val="004305E0"/>
    <w:rsid w:val="00433849"/>
    <w:rsid w:val="0043404F"/>
    <w:rsid w:val="00434E84"/>
    <w:rsid w:val="00435641"/>
    <w:rsid w:val="00435FFD"/>
    <w:rsid w:val="00437AB4"/>
    <w:rsid w:val="00440F4A"/>
    <w:rsid w:val="00441630"/>
    <w:rsid w:val="00442AFD"/>
    <w:rsid w:val="00442EDD"/>
    <w:rsid w:val="00444577"/>
    <w:rsid w:val="00445AD2"/>
    <w:rsid w:val="00447DED"/>
    <w:rsid w:val="00453FBB"/>
    <w:rsid w:val="00456DB1"/>
    <w:rsid w:val="0046005B"/>
    <w:rsid w:val="004604FA"/>
    <w:rsid w:val="00461CA5"/>
    <w:rsid w:val="00461ECB"/>
    <w:rsid w:val="0046375D"/>
    <w:rsid w:val="004639F7"/>
    <w:rsid w:val="00463A80"/>
    <w:rsid w:val="004664CD"/>
    <w:rsid w:val="00466DAA"/>
    <w:rsid w:val="0046742B"/>
    <w:rsid w:val="004678A4"/>
    <w:rsid w:val="00471B76"/>
    <w:rsid w:val="0047333D"/>
    <w:rsid w:val="004742DF"/>
    <w:rsid w:val="00474F06"/>
    <w:rsid w:val="00477B75"/>
    <w:rsid w:val="00485223"/>
    <w:rsid w:val="00486812"/>
    <w:rsid w:val="0049020B"/>
    <w:rsid w:val="0049192C"/>
    <w:rsid w:val="00494555"/>
    <w:rsid w:val="00496120"/>
    <w:rsid w:val="004961F0"/>
    <w:rsid w:val="00496B42"/>
    <w:rsid w:val="004A0C19"/>
    <w:rsid w:val="004A139C"/>
    <w:rsid w:val="004A2F95"/>
    <w:rsid w:val="004A561D"/>
    <w:rsid w:val="004A72A4"/>
    <w:rsid w:val="004B070B"/>
    <w:rsid w:val="004B3E8B"/>
    <w:rsid w:val="004B4286"/>
    <w:rsid w:val="004B7234"/>
    <w:rsid w:val="004C186B"/>
    <w:rsid w:val="004C3550"/>
    <w:rsid w:val="004C6A7D"/>
    <w:rsid w:val="004D2F0A"/>
    <w:rsid w:val="004D4954"/>
    <w:rsid w:val="004D6C2B"/>
    <w:rsid w:val="004E16C4"/>
    <w:rsid w:val="004E4A44"/>
    <w:rsid w:val="004E4D1A"/>
    <w:rsid w:val="004E720C"/>
    <w:rsid w:val="004E72D1"/>
    <w:rsid w:val="004F044F"/>
    <w:rsid w:val="004F22A6"/>
    <w:rsid w:val="004F252C"/>
    <w:rsid w:val="004F28FF"/>
    <w:rsid w:val="004F5EB1"/>
    <w:rsid w:val="00500FC4"/>
    <w:rsid w:val="0050308A"/>
    <w:rsid w:val="00506D2F"/>
    <w:rsid w:val="00507CB7"/>
    <w:rsid w:val="005120F3"/>
    <w:rsid w:val="00513928"/>
    <w:rsid w:val="005147CF"/>
    <w:rsid w:val="00514878"/>
    <w:rsid w:val="00516E6B"/>
    <w:rsid w:val="005173E5"/>
    <w:rsid w:val="00520A9B"/>
    <w:rsid w:val="00526481"/>
    <w:rsid w:val="00526B3A"/>
    <w:rsid w:val="00526F4C"/>
    <w:rsid w:val="00531528"/>
    <w:rsid w:val="005338AD"/>
    <w:rsid w:val="00534C28"/>
    <w:rsid w:val="00536902"/>
    <w:rsid w:val="005379A0"/>
    <w:rsid w:val="00540DB2"/>
    <w:rsid w:val="0054144C"/>
    <w:rsid w:val="00542176"/>
    <w:rsid w:val="00544577"/>
    <w:rsid w:val="00550E57"/>
    <w:rsid w:val="005513FF"/>
    <w:rsid w:val="00552108"/>
    <w:rsid w:val="00553F0C"/>
    <w:rsid w:val="00555088"/>
    <w:rsid w:val="0055701A"/>
    <w:rsid w:val="0055766E"/>
    <w:rsid w:val="005609F1"/>
    <w:rsid w:val="005618E4"/>
    <w:rsid w:val="005633EB"/>
    <w:rsid w:val="00564608"/>
    <w:rsid w:val="00564A5C"/>
    <w:rsid w:val="00566B12"/>
    <w:rsid w:val="00567718"/>
    <w:rsid w:val="00567FAC"/>
    <w:rsid w:val="005713CE"/>
    <w:rsid w:val="00572547"/>
    <w:rsid w:val="00574E92"/>
    <w:rsid w:val="00575C84"/>
    <w:rsid w:val="005764F6"/>
    <w:rsid w:val="005772CD"/>
    <w:rsid w:val="00577CDD"/>
    <w:rsid w:val="00580E32"/>
    <w:rsid w:val="00584B75"/>
    <w:rsid w:val="00587242"/>
    <w:rsid w:val="005902E6"/>
    <w:rsid w:val="0059422E"/>
    <w:rsid w:val="005A0D16"/>
    <w:rsid w:val="005A12A9"/>
    <w:rsid w:val="005A207A"/>
    <w:rsid w:val="005A20BB"/>
    <w:rsid w:val="005A28A3"/>
    <w:rsid w:val="005A3DF4"/>
    <w:rsid w:val="005A3E5E"/>
    <w:rsid w:val="005A79EE"/>
    <w:rsid w:val="005B0CA3"/>
    <w:rsid w:val="005B3DCF"/>
    <w:rsid w:val="005B41E3"/>
    <w:rsid w:val="005B5970"/>
    <w:rsid w:val="005C047D"/>
    <w:rsid w:val="005C17AE"/>
    <w:rsid w:val="005C3113"/>
    <w:rsid w:val="005C3A21"/>
    <w:rsid w:val="005C42B4"/>
    <w:rsid w:val="005C44F2"/>
    <w:rsid w:val="005D1F7B"/>
    <w:rsid w:val="005D6541"/>
    <w:rsid w:val="005D6CEF"/>
    <w:rsid w:val="005D7748"/>
    <w:rsid w:val="005E0784"/>
    <w:rsid w:val="005E2193"/>
    <w:rsid w:val="005E2D98"/>
    <w:rsid w:val="005E5D0D"/>
    <w:rsid w:val="005E7435"/>
    <w:rsid w:val="005F08E7"/>
    <w:rsid w:val="005F4244"/>
    <w:rsid w:val="005F7DA6"/>
    <w:rsid w:val="006000C3"/>
    <w:rsid w:val="00601814"/>
    <w:rsid w:val="00602B92"/>
    <w:rsid w:val="0060541C"/>
    <w:rsid w:val="00605676"/>
    <w:rsid w:val="00605A93"/>
    <w:rsid w:val="00605C93"/>
    <w:rsid w:val="006063AD"/>
    <w:rsid w:val="00611B0E"/>
    <w:rsid w:val="00611D7C"/>
    <w:rsid w:val="0061411E"/>
    <w:rsid w:val="006154C5"/>
    <w:rsid w:val="00615A15"/>
    <w:rsid w:val="00616AFC"/>
    <w:rsid w:val="00621F4C"/>
    <w:rsid w:val="0062295D"/>
    <w:rsid w:val="006241A8"/>
    <w:rsid w:val="00625CD6"/>
    <w:rsid w:val="006343FF"/>
    <w:rsid w:val="0063748C"/>
    <w:rsid w:val="00637E83"/>
    <w:rsid w:val="00645ACF"/>
    <w:rsid w:val="00646625"/>
    <w:rsid w:val="00651055"/>
    <w:rsid w:val="00652D78"/>
    <w:rsid w:val="006555CF"/>
    <w:rsid w:val="006559FB"/>
    <w:rsid w:val="00656329"/>
    <w:rsid w:val="00661437"/>
    <w:rsid w:val="006614EE"/>
    <w:rsid w:val="00662C2E"/>
    <w:rsid w:val="00666EA0"/>
    <w:rsid w:val="0066717C"/>
    <w:rsid w:val="00667805"/>
    <w:rsid w:val="0067081D"/>
    <w:rsid w:val="006735B0"/>
    <w:rsid w:val="00674343"/>
    <w:rsid w:val="00674AD0"/>
    <w:rsid w:val="006769F8"/>
    <w:rsid w:val="00680B63"/>
    <w:rsid w:val="00680D20"/>
    <w:rsid w:val="00681939"/>
    <w:rsid w:val="00681AE9"/>
    <w:rsid w:val="0068346F"/>
    <w:rsid w:val="006909C6"/>
    <w:rsid w:val="00692BDA"/>
    <w:rsid w:val="00693A65"/>
    <w:rsid w:val="00694CFF"/>
    <w:rsid w:val="00694DCB"/>
    <w:rsid w:val="0069503E"/>
    <w:rsid w:val="006953CE"/>
    <w:rsid w:val="00697A86"/>
    <w:rsid w:val="006A0D8C"/>
    <w:rsid w:val="006A1659"/>
    <w:rsid w:val="006A32F3"/>
    <w:rsid w:val="006A4F85"/>
    <w:rsid w:val="006B0047"/>
    <w:rsid w:val="006B1274"/>
    <w:rsid w:val="006B2888"/>
    <w:rsid w:val="006B2A17"/>
    <w:rsid w:val="006B2C2D"/>
    <w:rsid w:val="006B5104"/>
    <w:rsid w:val="006B73D8"/>
    <w:rsid w:val="006B75BD"/>
    <w:rsid w:val="006C1E91"/>
    <w:rsid w:val="006C1EBE"/>
    <w:rsid w:val="006C7086"/>
    <w:rsid w:val="006D077D"/>
    <w:rsid w:val="006D13A6"/>
    <w:rsid w:val="006D1AC3"/>
    <w:rsid w:val="006D269E"/>
    <w:rsid w:val="006D3835"/>
    <w:rsid w:val="006D3AA9"/>
    <w:rsid w:val="006D42CD"/>
    <w:rsid w:val="006D5E73"/>
    <w:rsid w:val="006D625C"/>
    <w:rsid w:val="006D76BB"/>
    <w:rsid w:val="006E4285"/>
    <w:rsid w:val="006E65D5"/>
    <w:rsid w:val="006F0054"/>
    <w:rsid w:val="006F0084"/>
    <w:rsid w:val="006F11C2"/>
    <w:rsid w:val="006F4DF5"/>
    <w:rsid w:val="006F5587"/>
    <w:rsid w:val="006F6DAF"/>
    <w:rsid w:val="00702443"/>
    <w:rsid w:val="0070289E"/>
    <w:rsid w:val="007028A8"/>
    <w:rsid w:val="00705E44"/>
    <w:rsid w:val="007063DC"/>
    <w:rsid w:val="0070683F"/>
    <w:rsid w:val="00711933"/>
    <w:rsid w:val="00713CD2"/>
    <w:rsid w:val="00717344"/>
    <w:rsid w:val="007203A8"/>
    <w:rsid w:val="00720438"/>
    <w:rsid w:val="00726B18"/>
    <w:rsid w:val="00727E77"/>
    <w:rsid w:val="0073568F"/>
    <w:rsid w:val="00735E03"/>
    <w:rsid w:val="00744639"/>
    <w:rsid w:val="00747723"/>
    <w:rsid w:val="00753BB2"/>
    <w:rsid w:val="00763D90"/>
    <w:rsid w:val="00764157"/>
    <w:rsid w:val="007651AF"/>
    <w:rsid w:val="00770D2D"/>
    <w:rsid w:val="007711D5"/>
    <w:rsid w:val="00774E4E"/>
    <w:rsid w:val="00775BE2"/>
    <w:rsid w:val="00776A54"/>
    <w:rsid w:val="00780ED8"/>
    <w:rsid w:val="00781931"/>
    <w:rsid w:val="00783D06"/>
    <w:rsid w:val="0078756B"/>
    <w:rsid w:val="00787CDD"/>
    <w:rsid w:val="0079216C"/>
    <w:rsid w:val="007946FE"/>
    <w:rsid w:val="007A07DC"/>
    <w:rsid w:val="007A19F8"/>
    <w:rsid w:val="007A21ED"/>
    <w:rsid w:val="007A2B5D"/>
    <w:rsid w:val="007A7BCB"/>
    <w:rsid w:val="007B123F"/>
    <w:rsid w:val="007B70FC"/>
    <w:rsid w:val="007B78E1"/>
    <w:rsid w:val="007C0080"/>
    <w:rsid w:val="007C00D0"/>
    <w:rsid w:val="007C010B"/>
    <w:rsid w:val="007C1368"/>
    <w:rsid w:val="007C1481"/>
    <w:rsid w:val="007C55E3"/>
    <w:rsid w:val="007C66C3"/>
    <w:rsid w:val="007C69B2"/>
    <w:rsid w:val="007D1440"/>
    <w:rsid w:val="007D1913"/>
    <w:rsid w:val="007D2722"/>
    <w:rsid w:val="007D4D80"/>
    <w:rsid w:val="007D7917"/>
    <w:rsid w:val="007D7B29"/>
    <w:rsid w:val="007D7CCF"/>
    <w:rsid w:val="007E1882"/>
    <w:rsid w:val="007E2095"/>
    <w:rsid w:val="007E2815"/>
    <w:rsid w:val="007E3F97"/>
    <w:rsid w:val="007E5F32"/>
    <w:rsid w:val="007E60C7"/>
    <w:rsid w:val="007E6C52"/>
    <w:rsid w:val="007E6EB8"/>
    <w:rsid w:val="007F7828"/>
    <w:rsid w:val="008002AC"/>
    <w:rsid w:val="0080037E"/>
    <w:rsid w:val="00800E69"/>
    <w:rsid w:val="00801420"/>
    <w:rsid w:val="00801867"/>
    <w:rsid w:val="00802442"/>
    <w:rsid w:val="00802E3E"/>
    <w:rsid w:val="0080369A"/>
    <w:rsid w:val="00804C11"/>
    <w:rsid w:val="0080623E"/>
    <w:rsid w:val="00807614"/>
    <w:rsid w:val="00811B2B"/>
    <w:rsid w:val="00812D31"/>
    <w:rsid w:val="00816001"/>
    <w:rsid w:val="008207C8"/>
    <w:rsid w:val="008208E2"/>
    <w:rsid w:val="00822695"/>
    <w:rsid w:val="00822DDE"/>
    <w:rsid w:val="00824B99"/>
    <w:rsid w:val="00826F88"/>
    <w:rsid w:val="0083173A"/>
    <w:rsid w:val="00833AFC"/>
    <w:rsid w:val="008355EF"/>
    <w:rsid w:val="00836F37"/>
    <w:rsid w:val="00837F91"/>
    <w:rsid w:val="008405FA"/>
    <w:rsid w:val="00840DA6"/>
    <w:rsid w:val="008418F5"/>
    <w:rsid w:val="00841FEA"/>
    <w:rsid w:val="00842BA7"/>
    <w:rsid w:val="00845FDB"/>
    <w:rsid w:val="008472B6"/>
    <w:rsid w:val="00851982"/>
    <w:rsid w:val="00860360"/>
    <w:rsid w:val="008613B1"/>
    <w:rsid w:val="00861885"/>
    <w:rsid w:val="00863410"/>
    <w:rsid w:val="00867BB9"/>
    <w:rsid w:val="00871338"/>
    <w:rsid w:val="008764DE"/>
    <w:rsid w:val="00876E88"/>
    <w:rsid w:val="00880DFA"/>
    <w:rsid w:val="00882E93"/>
    <w:rsid w:val="00885C2D"/>
    <w:rsid w:val="0089665F"/>
    <w:rsid w:val="00896DC3"/>
    <w:rsid w:val="008A20E9"/>
    <w:rsid w:val="008A3E85"/>
    <w:rsid w:val="008A571C"/>
    <w:rsid w:val="008A6573"/>
    <w:rsid w:val="008A658B"/>
    <w:rsid w:val="008A6B9F"/>
    <w:rsid w:val="008A6CE6"/>
    <w:rsid w:val="008A78CC"/>
    <w:rsid w:val="008B2C97"/>
    <w:rsid w:val="008B3402"/>
    <w:rsid w:val="008B4BB0"/>
    <w:rsid w:val="008B6582"/>
    <w:rsid w:val="008C0412"/>
    <w:rsid w:val="008C1FCD"/>
    <w:rsid w:val="008C217A"/>
    <w:rsid w:val="008C2285"/>
    <w:rsid w:val="008C29C3"/>
    <w:rsid w:val="008C5856"/>
    <w:rsid w:val="008C5B45"/>
    <w:rsid w:val="008C726A"/>
    <w:rsid w:val="008D1A81"/>
    <w:rsid w:val="008D35F8"/>
    <w:rsid w:val="008D3FEF"/>
    <w:rsid w:val="008D4741"/>
    <w:rsid w:val="008D4E67"/>
    <w:rsid w:val="008D5948"/>
    <w:rsid w:val="008D5EC9"/>
    <w:rsid w:val="008E13FA"/>
    <w:rsid w:val="008E14AE"/>
    <w:rsid w:val="008E167F"/>
    <w:rsid w:val="008E4A1C"/>
    <w:rsid w:val="008E5209"/>
    <w:rsid w:val="008E7249"/>
    <w:rsid w:val="008F134F"/>
    <w:rsid w:val="008F428A"/>
    <w:rsid w:val="008F4F5F"/>
    <w:rsid w:val="008F5203"/>
    <w:rsid w:val="008F646E"/>
    <w:rsid w:val="008F7B07"/>
    <w:rsid w:val="009012BB"/>
    <w:rsid w:val="00902833"/>
    <w:rsid w:val="00902C40"/>
    <w:rsid w:val="00904EA6"/>
    <w:rsid w:val="009078DC"/>
    <w:rsid w:val="00911198"/>
    <w:rsid w:val="0091172D"/>
    <w:rsid w:val="00912CE9"/>
    <w:rsid w:val="00914B8D"/>
    <w:rsid w:val="009165AF"/>
    <w:rsid w:val="00916D4D"/>
    <w:rsid w:val="00921690"/>
    <w:rsid w:val="0092200F"/>
    <w:rsid w:val="00923252"/>
    <w:rsid w:val="0092399E"/>
    <w:rsid w:val="00927949"/>
    <w:rsid w:val="009303F4"/>
    <w:rsid w:val="00930454"/>
    <w:rsid w:val="00930C24"/>
    <w:rsid w:val="009341A6"/>
    <w:rsid w:val="0093567B"/>
    <w:rsid w:val="00937031"/>
    <w:rsid w:val="00940E1E"/>
    <w:rsid w:val="00945E5C"/>
    <w:rsid w:val="009464E4"/>
    <w:rsid w:val="00946876"/>
    <w:rsid w:val="009509FC"/>
    <w:rsid w:val="0095110C"/>
    <w:rsid w:val="00951D93"/>
    <w:rsid w:val="00951E09"/>
    <w:rsid w:val="0095224D"/>
    <w:rsid w:val="00952BEA"/>
    <w:rsid w:val="009539FC"/>
    <w:rsid w:val="00954124"/>
    <w:rsid w:val="0096242B"/>
    <w:rsid w:val="0096283D"/>
    <w:rsid w:val="00963DF4"/>
    <w:rsid w:val="00964785"/>
    <w:rsid w:val="0096692B"/>
    <w:rsid w:val="00967E14"/>
    <w:rsid w:val="00970736"/>
    <w:rsid w:val="00970B18"/>
    <w:rsid w:val="00973EC2"/>
    <w:rsid w:val="009751AC"/>
    <w:rsid w:val="00980DFE"/>
    <w:rsid w:val="00981C82"/>
    <w:rsid w:val="0098255A"/>
    <w:rsid w:val="00984168"/>
    <w:rsid w:val="009845AA"/>
    <w:rsid w:val="00984D93"/>
    <w:rsid w:val="00985E4F"/>
    <w:rsid w:val="00985F30"/>
    <w:rsid w:val="009868F0"/>
    <w:rsid w:val="00986DA6"/>
    <w:rsid w:val="00986F2E"/>
    <w:rsid w:val="00993572"/>
    <w:rsid w:val="00993FAE"/>
    <w:rsid w:val="009946F7"/>
    <w:rsid w:val="00995BD8"/>
    <w:rsid w:val="0099715C"/>
    <w:rsid w:val="009A4EEC"/>
    <w:rsid w:val="009A6F96"/>
    <w:rsid w:val="009B06FD"/>
    <w:rsid w:val="009B07BA"/>
    <w:rsid w:val="009B2C6B"/>
    <w:rsid w:val="009B2E6E"/>
    <w:rsid w:val="009B305D"/>
    <w:rsid w:val="009B343F"/>
    <w:rsid w:val="009B472E"/>
    <w:rsid w:val="009B520F"/>
    <w:rsid w:val="009B67E7"/>
    <w:rsid w:val="009B694A"/>
    <w:rsid w:val="009C0441"/>
    <w:rsid w:val="009C13FC"/>
    <w:rsid w:val="009C4433"/>
    <w:rsid w:val="009C7F1B"/>
    <w:rsid w:val="009D0CDC"/>
    <w:rsid w:val="009D0D2A"/>
    <w:rsid w:val="009D228F"/>
    <w:rsid w:val="009D3032"/>
    <w:rsid w:val="009D3E78"/>
    <w:rsid w:val="009D4754"/>
    <w:rsid w:val="009D60E9"/>
    <w:rsid w:val="009D7C8E"/>
    <w:rsid w:val="009E0601"/>
    <w:rsid w:val="009E1260"/>
    <w:rsid w:val="009E1960"/>
    <w:rsid w:val="009E2188"/>
    <w:rsid w:val="009E3144"/>
    <w:rsid w:val="009E511C"/>
    <w:rsid w:val="009E5D12"/>
    <w:rsid w:val="009F2B76"/>
    <w:rsid w:val="009F3396"/>
    <w:rsid w:val="009F499A"/>
    <w:rsid w:val="009F566D"/>
    <w:rsid w:val="009F6F85"/>
    <w:rsid w:val="009F7684"/>
    <w:rsid w:val="00A0098D"/>
    <w:rsid w:val="00A02F2D"/>
    <w:rsid w:val="00A04D0A"/>
    <w:rsid w:val="00A068B6"/>
    <w:rsid w:val="00A06D21"/>
    <w:rsid w:val="00A13613"/>
    <w:rsid w:val="00A14119"/>
    <w:rsid w:val="00A146DB"/>
    <w:rsid w:val="00A14A59"/>
    <w:rsid w:val="00A14BA3"/>
    <w:rsid w:val="00A16E4D"/>
    <w:rsid w:val="00A20FE9"/>
    <w:rsid w:val="00A26BA5"/>
    <w:rsid w:val="00A273B5"/>
    <w:rsid w:val="00A27E44"/>
    <w:rsid w:val="00A33A3A"/>
    <w:rsid w:val="00A41A2C"/>
    <w:rsid w:val="00A425B3"/>
    <w:rsid w:val="00A427AB"/>
    <w:rsid w:val="00A42A04"/>
    <w:rsid w:val="00A435D5"/>
    <w:rsid w:val="00A4412A"/>
    <w:rsid w:val="00A44408"/>
    <w:rsid w:val="00A5117D"/>
    <w:rsid w:val="00A5213E"/>
    <w:rsid w:val="00A55886"/>
    <w:rsid w:val="00A57D2E"/>
    <w:rsid w:val="00A61FF0"/>
    <w:rsid w:val="00A67C00"/>
    <w:rsid w:val="00A67D1C"/>
    <w:rsid w:val="00A74613"/>
    <w:rsid w:val="00A74D19"/>
    <w:rsid w:val="00A7523F"/>
    <w:rsid w:val="00A76A84"/>
    <w:rsid w:val="00A7754C"/>
    <w:rsid w:val="00A77B0D"/>
    <w:rsid w:val="00A82107"/>
    <w:rsid w:val="00A82A8D"/>
    <w:rsid w:val="00A834DA"/>
    <w:rsid w:val="00A84E48"/>
    <w:rsid w:val="00A86839"/>
    <w:rsid w:val="00A87105"/>
    <w:rsid w:val="00A873B8"/>
    <w:rsid w:val="00A905ED"/>
    <w:rsid w:val="00A95240"/>
    <w:rsid w:val="00A959D0"/>
    <w:rsid w:val="00A960B2"/>
    <w:rsid w:val="00AA0545"/>
    <w:rsid w:val="00AA2076"/>
    <w:rsid w:val="00AA665D"/>
    <w:rsid w:val="00AB046E"/>
    <w:rsid w:val="00AB1B34"/>
    <w:rsid w:val="00AB341A"/>
    <w:rsid w:val="00AB3BC4"/>
    <w:rsid w:val="00AB4D7B"/>
    <w:rsid w:val="00AB5620"/>
    <w:rsid w:val="00AB5F4A"/>
    <w:rsid w:val="00AB60D2"/>
    <w:rsid w:val="00AC0552"/>
    <w:rsid w:val="00AC1EEA"/>
    <w:rsid w:val="00AC60D0"/>
    <w:rsid w:val="00AD0F61"/>
    <w:rsid w:val="00AD21C9"/>
    <w:rsid w:val="00AD563F"/>
    <w:rsid w:val="00AD7A56"/>
    <w:rsid w:val="00AD7D4D"/>
    <w:rsid w:val="00AD7E48"/>
    <w:rsid w:val="00AE355C"/>
    <w:rsid w:val="00AE3A1A"/>
    <w:rsid w:val="00AE7EF5"/>
    <w:rsid w:val="00AF0D73"/>
    <w:rsid w:val="00AF1856"/>
    <w:rsid w:val="00AF21F4"/>
    <w:rsid w:val="00AF5C23"/>
    <w:rsid w:val="00AF6600"/>
    <w:rsid w:val="00B00BB4"/>
    <w:rsid w:val="00B00DB2"/>
    <w:rsid w:val="00B01ACF"/>
    <w:rsid w:val="00B062B2"/>
    <w:rsid w:val="00B06D48"/>
    <w:rsid w:val="00B141F1"/>
    <w:rsid w:val="00B149A8"/>
    <w:rsid w:val="00B177BE"/>
    <w:rsid w:val="00B17D0B"/>
    <w:rsid w:val="00B20C9D"/>
    <w:rsid w:val="00B20D04"/>
    <w:rsid w:val="00B2159B"/>
    <w:rsid w:val="00B26122"/>
    <w:rsid w:val="00B26EEE"/>
    <w:rsid w:val="00B2799B"/>
    <w:rsid w:val="00B27B95"/>
    <w:rsid w:val="00B319A9"/>
    <w:rsid w:val="00B31FB3"/>
    <w:rsid w:val="00B32580"/>
    <w:rsid w:val="00B326C9"/>
    <w:rsid w:val="00B363F4"/>
    <w:rsid w:val="00B4072D"/>
    <w:rsid w:val="00B40AF9"/>
    <w:rsid w:val="00B4285F"/>
    <w:rsid w:val="00B457BD"/>
    <w:rsid w:val="00B45B48"/>
    <w:rsid w:val="00B45EDF"/>
    <w:rsid w:val="00B47067"/>
    <w:rsid w:val="00B51BA9"/>
    <w:rsid w:val="00B533F3"/>
    <w:rsid w:val="00B5477D"/>
    <w:rsid w:val="00B559F1"/>
    <w:rsid w:val="00B563B0"/>
    <w:rsid w:val="00B63325"/>
    <w:rsid w:val="00B64803"/>
    <w:rsid w:val="00B669C2"/>
    <w:rsid w:val="00B67BEF"/>
    <w:rsid w:val="00B733F4"/>
    <w:rsid w:val="00B753F6"/>
    <w:rsid w:val="00B77E13"/>
    <w:rsid w:val="00B80AE1"/>
    <w:rsid w:val="00B812FA"/>
    <w:rsid w:val="00B819B5"/>
    <w:rsid w:val="00B81F2C"/>
    <w:rsid w:val="00B826CA"/>
    <w:rsid w:val="00B834B1"/>
    <w:rsid w:val="00B8571E"/>
    <w:rsid w:val="00B86CAB"/>
    <w:rsid w:val="00B8744F"/>
    <w:rsid w:val="00B90C3C"/>
    <w:rsid w:val="00B9276C"/>
    <w:rsid w:val="00B95895"/>
    <w:rsid w:val="00B9613A"/>
    <w:rsid w:val="00B96E3F"/>
    <w:rsid w:val="00BA0605"/>
    <w:rsid w:val="00BA244F"/>
    <w:rsid w:val="00BA5767"/>
    <w:rsid w:val="00BB1434"/>
    <w:rsid w:val="00BB1637"/>
    <w:rsid w:val="00BB1EB1"/>
    <w:rsid w:val="00BB22C4"/>
    <w:rsid w:val="00BB2E63"/>
    <w:rsid w:val="00BB6AB7"/>
    <w:rsid w:val="00BC01C3"/>
    <w:rsid w:val="00BC2B8D"/>
    <w:rsid w:val="00BC320F"/>
    <w:rsid w:val="00BC6CDC"/>
    <w:rsid w:val="00BD0607"/>
    <w:rsid w:val="00BD1280"/>
    <w:rsid w:val="00BD207E"/>
    <w:rsid w:val="00BD3D37"/>
    <w:rsid w:val="00BD6FB9"/>
    <w:rsid w:val="00BE0081"/>
    <w:rsid w:val="00BE2343"/>
    <w:rsid w:val="00BE2FB7"/>
    <w:rsid w:val="00BE375F"/>
    <w:rsid w:val="00BE37DF"/>
    <w:rsid w:val="00BE6474"/>
    <w:rsid w:val="00BF0272"/>
    <w:rsid w:val="00BF108A"/>
    <w:rsid w:val="00BF1DD2"/>
    <w:rsid w:val="00BF4058"/>
    <w:rsid w:val="00BF41BB"/>
    <w:rsid w:val="00BF4506"/>
    <w:rsid w:val="00BF7544"/>
    <w:rsid w:val="00C13FB4"/>
    <w:rsid w:val="00C14340"/>
    <w:rsid w:val="00C21B48"/>
    <w:rsid w:val="00C234A9"/>
    <w:rsid w:val="00C23AED"/>
    <w:rsid w:val="00C24F17"/>
    <w:rsid w:val="00C30301"/>
    <w:rsid w:val="00C35BE2"/>
    <w:rsid w:val="00C3764B"/>
    <w:rsid w:val="00C4111D"/>
    <w:rsid w:val="00C448F0"/>
    <w:rsid w:val="00C45BEC"/>
    <w:rsid w:val="00C45E1B"/>
    <w:rsid w:val="00C4785D"/>
    <w:rsid w:val="00C514AE"/>
    <w:rsid w:val="00C5159C"/>
    <w:rsid w:val="00C52AD6"/>
    <w:rsid w:val="00C54A10"/>
    <w:rsid w:val="00C6115C"/>
    <w:rsid w:val="00C62A9F"/>
    <w:rsid w:val="00C64120"/>
    <w:rsid w:val="00C64A4D"/>
    <w:rsid w:val="00C67D41"/>
    <w:rsid w:val="00C70575"/>
    <w:rsid w:val="00C73296"/>
    <w:rsid w:val="00C73FFB"/>
    <w:rsid w:val="00C7447E"/>
    <w:rsid w:val="00C748A6"/>
    <w:rsid w:val="00C814A4"/>
    <w:rsid w:val="00C82213"/>
    <w:rsid w:val="00C85696"/>
    <w:rsid w:val="00C85B9A"/>
    <w:rsid w:val="00C869D3"/>
    <w:rsid w:val="00C87BCD"/>
    <w:rsid w:val="00C9017A"/>
    <w:rsid w:val="00C9196F"/>
    <w:rsid w:val="00C9251D"/>
    <w:rsid w:val="00C93960"/>
    <w:rsid w:val="00CA1E4E"/>
    <w:rsid w:val="00CA22E3"/>
    <w:rsid w:val="00CA3C2A"/>
    <w:rsid w:val="00CA5B75"/>
    <w:rsid w:val="00CB1B28"/>
    <w:rsid w:val="00CB6285"/>
    <w:rsid w:val="00CC0BE0"/>
    <w:rsid w:val="00CC449B"/>
    <w:rsid w:val="00CC4D2F"/>
    <w:rsid w:val="00CC6D52"/>
    <w:rsid w:val="00CC6DC5"/>
    <w:rsid w:val="00CD0AFF"/>
    <w:rsid w:val="00CD33BA"/>
    <w:rsid w:val="00CD389B"/>
    <w:rsid w:val="00CD50A9"/>
    <w:rsid w:val="00CD54EC"/>
    <w:rsid w:val="00CE326A"/>
    <w:rsid w:val="00CE5A28"/>
    <w:rsid w:val="00CE5CA5"/>
    <w:rsid w:val="00CE5F14"/>
    <w:rsid w:val="00CF0645"/>
    <w:rsid w:val="00CF0F48"/>
    <w:rsid w:val="00CF2DA1"/>
    <w:rsid w:val="00CF2EF3"/>
    <w:rsid w:val="00CF4529"/>
    <w:rsid w:val="00CF45E5"/>
    <w:rsid w:val="00CF490D"/>
    <w:rsid w:val="00CF50E3"/>
    <w:rsid w:val="00CF513D"/>
    <w:rsid w:val="00CF7DD1"/>
    <w:rsid w:val="00D0037F"/>
    <w:rsid w:val="00D01FCE"/>
    <w:rsid w:val="00D02802"/>
    <w:rsid w:val="00D04805"/>
    <w:rsid w:val="00D1048A"/>
    <w:rsid w:val="00D13C31"/>
    <w:rsid w:val="00D16770"/>
    <w:rsid w:val="00D179C8"/>
    <w:rsid w:val="00D20140"/>
    <w:rsid w:val="00D20EEB"/>
    <w:rsid w:val="00D21076"/>
    <w:rsid w:val="00D221A5"/>
    <w:rsid w:val="00D2598F"/>
    <w:rsid w:val="00D26753"/>
    <w:rsid w:val="00D27C58"/>
    <w:rsid w:val="00D306CE"/>
    <w:rsid w:val="00D30A27"/>
    <w:rsid w:val="00D30D3F"/>
    <w:rsid w:val="00D318B4"/>
    <w:rsid w:val="00D3253C"/>
    <w:rsid w:val="00D32E76"/>
    <w:rsid w:val="00D33770"/>
    <w:rsid w:val="00D41BA0"/>
    <w:rsid w:val="00D440DB"/>
    <w:rsid w:val="00D46652"/>
    <w:rsid w:val="00D46AFE"/>
    <w:rsid w:val="00D472DE"/>
    <w:rsid w:val="00D47469"/>
    <w:rsid w:val="00D47FCB"/>
    <w:rsid w:val="00D51805"/>
    <w:rsid w:val="00D526FF"/>
    <w:rsid w:val="00D54FC9"/>
    <w:rsid w:val="00D61084"/>
    <w:rsid w:val="00D6535D"/>
    <w:rsid w:val="00D65EC2"/>
    <w:rsid w:val="00D67BF3"/>
    <w:rsid w:val="00D7065B"/>
    <w:rsid w:val="00D716E7"/>
    <w:rsid w:val="00D7296F"/>
    <w:rsid w:val="00D75596"/>
    <w:rsid w:val="00D755C1"/>
    <w:rsid w:val="00D80914"/>
    <w:rsid w:val="00D8267F"/>
    <w:rsid w:val="00D85166"/>
    <w:rsid w:val="00D8519C"/>
    <w:rsid w:val="00D85DC5"/>
    <w:rsid w:val="00D86608"/>
    <w:rsid w:val="00D86D42"/>
    <w:rsid w:val="00D9032C"/>
    <w:rsid w:val="00D90D5B"/>
    <w:rsid w:val="00D92F89"/>
    <w:rsid w:val="00D95011"/>
    <w:rsid w:val="00D96ABF"/>
    <w:rsid w:val="00D96D9A"/>
    <w:rsid w:val="00DA1D74"/>
    <w:rsid w:val="00DA4968"/>
    <w:rsid w:val="00DB0C9B"/>
    <w:rsid w:val="00DB42D4"/>
    <w:rsid w:val="00DB43CF"/>
    <w:rsid w:val="00DB52CC"/>
    <w:rsid w:val="00DC1F04"/>
    <w:rsid w:val="00DC5C89"/>
    <w:rsid w:val="00DC6048"/>
    <w:rsid w:val="00DC7180"/>
    <w:rsid w:val="00DC7FD0"/>
    <w:rsid w:val="00DD0524"/>
    <w:rsid w:val="00DD13DD"/>
    <w:rsid w:val="00DD18E7"/>
    <w:rsid w:val="00DD233D"/>
    <w:rsid w:val="00DD28C8"/>
    <w:rsid w:val="00DD332B"/>
    <w:rsid w:val="00DD5555"/>
    <w:rsid w:val="00DD7553"/>
    <w:rsid w:val="00DD78AC"/>
    <w:rsid w:val="00DE20CD"/>
    <w:rsid w:val="00DE266D"/>
    <w:rsid w:val="00DE3558"/>
    <w:rsid w:val="00DE381A"/>
    <w:rsid w:val="00DE43E4"/>
    <w:rsid w:val="00DE4C57"/>
    <w:rsid w:val="00DE564A"/>
    <w:rsid w:val="00DE6D2C"/>
    <w:rsid w:val="00DF041B"/>
    <w:rsid w:val="00DF1658"/>
    <w:rsid w:val="00DF27F2"/>
    <w:rsid w:val="00DF3FBE"/>
    <w:rsid w:val="00DF5946"/>
    <w:rsid w:val="00DF6E64"/>
    <w:rsid w:val="00E051B6"/>
    <w:rsid w:val="00E052EE"/>
    <w:rsid w:val="00E05B54"/>
    <w:rsid w:val="00E1265B"/>
    <w:rsid w:val="00E136A7"/>
    <w:rsid w:val="00E15402"/>
    <w:rsid w:val="00E17E94"/>
    <w:rsid w:val="00E20179"/>
    <w:rsid w:val="00E22FF7"/>
    <w:rsid w:val="00E35923"/>
    <w:rsid w:val="00E3649E"/>
    <w:rsid w:val="00E369A4"/>
    <w:rsid w:val="00E36AC5"/>
    <w:rsid w:val="00E433FE"/>
    <w:rsid w:val="00E4442B"/>
    <w:rsid w:val="00E44DF8"/>
    <w:rsid w:val="00E601A2"/>
    <w:rsid w:val="00E61AF7"/>
    <w:rsid w:val="00E629B8"/>
    <w:rsid w:val="00E67496"/>
    <w:rsid w:val="00E67880"/>
    <w:rsid w:val="00E70777"/>
    <w:rsid w:val="00E70D5C"/>
    <w:rsid w:val="00E713CB"/>
    <w:rsid w:val="00E743BA"/>
    <w:rsid w:val="00E750D8"/>
    <w:rsid w:val="00E762BB"/>
    <w:rsid w:val="00E769BD"/>
    <w:rsid w:val="00E80A7B"/>
    <w:rsid w:val="00E8310B"/>
    <w:rsid w:val="00E83389"/>
    <w:rsid w:val="00E870B9"/>
    <w:rsid w:val="00E8773C"/>
    <w:rsid w:val="00E90E83"/>
    <w:rsid w:val="00E91990"/>
    <w:rsid w:val="00E91D05"/>
    <w:rsid w:val="00E93914"/>
    <w:rsid w:val="00E95E4F"/>
    <w:rsid w:val="00E97302"/>
    <w:rsid w:val="00EA0D45"/>
    <w:rsid w:val="00EA2D3E"/>
    <w:rsid w:val="00EA36D0"/>
    <w:rsid w:val="00EA6DA3"/>
    <w:rsid w:val="00EA7A26"/>
    <w:rsid w:val="00EB07D5"/>
    <w:rsid w:val="00EB1C0E"/>
    <w:rsid w:val="00EB216A"/>
    <w:rsid w:val="00EB24D0"/>
    <w:rsid w:val="00EB530B"/>
    <w:rsid w:val="00EB70BA"/>
    <w:rsid w:val="00EB7302"/>
    <w:rsid w:val="00EC1C8E"/>
    <w:rsid w:val="00EC36D8"/>
    <w:rsid w:val="00EC54F5"/>
    <w:rsid w:val="00EC617B"/>
    <w:rsid w:val="00EC65C3"/>
    <w:rsid w:val="00ED0571"/>
    <w:rsid w:val="00ED0B67"/>
    <w:rsid w:val="00EE0324"/>
    <w:rsid w:val="00EF0D91"/>
    <w:rsid w:val="00EF281D"/>
    <w:rsid w:val="00EF4818"/>
    <w:rsid w:val="00EF5C94"/>
    <w:rsid w:val="00F02DD9"/>
    <w:rsid w:val="00F04DBF"/>
    <w:rsid w:val="00F07CB8"/>
    <w:rsid w:val="00F112D2"/>
    <w:rsid w:val="00F12584"/>
    <w:rsid w:val="00F13570"/>
    <w:rsid w:val="00F14493"/>
    <w:rsid w:val="00F169CE"/>
    <w:rsid w:val="00F17598"/>
    <w:rsid w:val="00F178F7"/>
    <w:rsid w:val="00F228BA"/>
    <w:rsid w:val="00F22BEC"/>
    <w:rsid w:val="00F242DB"/>
    <w:rsid w:val="00F25D52"/>
    <w:rsid w:val="00F26580"/>
    <w:rsid w:val="00F26A33"/>
    <w:rsid w:val="00F26A68"/>
    <w:rsid w:val="00F35840"/>
    <w:rsid w:val="00F40A9C"/>
    <w:rsid w:val="00F43BDD"/>
    <w:rsid w:val="00F43C99"/>
    <w:rsid w:val="00F44FA6"/>
    <w:rsid w:val="00F451E3"/>
    <w:rsid w:val="00F466C3"/>
    <w:rsid w:val="00F46708"/>
    <w:rsid w:val="00F508A7"/>
    <w:rsid w:val="00F508DB"/>
    <w:rsid w:val="00F50F7A"/>
    <w:rsid w:val="00F51267"/>
    <w:rsid w:val="00F52AE3"/>
    <w:rsid w:val="00F5370A"/>
    <w:rsid w:val="00F53860"/>
    <w:rsid w:val="00F542F4"/>
    <w:rsid w:val="00F546D0"/>
    <w:rsid w:val="00F54946"/>
    <w:rsid w:val="00F549D7"/>
    <w:rsid w:val="00F55D8A"/>
    <w:rsid w:val="00F5650D"/>
    <w:rsid w:val="00F6070F"/>
    <w:rsid w:val="00F609E2"/>
    <w:rsid w:val="00F60B73"/>
    <w:rsid w:val="00F626F9"/>
    <w:rsid w:val="00F63B19"/>
    <w:rsid w:val="00F64758"/>
    <w:rsid w:val="00F715FF"/>
    <w:rsid w:val="00F72018"/>
    <w:rsid w:val="00F802E7"/>
    <w:rsid w:val="00F84C6D"/>
    <w:rsid w:val="00F861A8"/>
    <w:rsid w:val="00F9087A"/>
    <w:rsid w:val="00F92102"/>
    <w:rsid w:val="00F92881"/>
    <w:rsid w:val="00F94652"/>
    <w:rsid w:val="00F94B40"/>
    <w:rsid w:val="00F94BC4"/>
    <w:rsid w:val="00FA11EE"/>
    <w:rsid w:val="00FA6898"/>
    <w:rsid w:val="00FB04C4"/>
    <w:rsid w:val="00FB698C"/>
    <w:rsid w:val="00FB7A2A"/>
    <w:rsid w:val="00FC2A11"/>
    <w:rsid w:val="00FC653E"/>
    <w:rsid w:val="00FC66E6"/>
    <w:rsid w:val="00FC6B8A"/>
    <w:rsid w:val="00FD1EDE"/>
    <w:rsid w:val="00FD2EFF"/>
    <w:rsid w:val="00FD3D36"/>
    <w:rsid w:val="00FD7842"/>
    <w:rsid w:val="00FE04C5"/>
    <w:rsid w:val="00FE1EF4"/>
    <w:rsid w:val="00FE4587"/>
    <w:rsid w:val="00FE785B"/>
    <w:rsid w:val="00FF0135"/>
    <w:rsid w:val="00FF0A20"/>
    <w:rsid w:val="00FF11A5"/>
    <w:rsid w:val="00FF571F"/>
    <w:rsid w:val="00FF6694"/>
    <w:rsid w:val="00FF69F4"/>
    <w:rsid w:val="011870C3"/>
    <w:rsid w:val="01255120"/>
    <w:rsid w:val="01272039"/>
    <w:rsid w:val="01714809"/>
    <w:rsid w:val="01A22C15"/>
    <w:rsid w:val="01FF3BC3"/>
    <w:rsid w:val="02186A33"/>
    <w:rsid w:val="022C24DE"/>
    <w:rsid w:val="02605587"/>
    <w:rsid w:val="027B01B1"/>
    <w:rsid w:val="02843289"/>
    <w:rsid w:val="02B6794E"/>
    <w:rsid w:val="02BA3F8E"/>
    <w:rsid w:val="02D50DC8"/>
    <w:rsid w:val="035A370F"/>
    <w:rsid w:val="0371289F"/>
    <w:rsid w:val="03A72764"/>
    <w:rsid w:val="03C335FC"/>
    <w:rsid w:val="040A73BF"/>
    <w:rsid w:val="0422605A"/>
    <w:rsid w:val="043A7135"/>
    <w:rsid w:val="04763EE5"/>
    <w:rsid w:val="04784101"/>
    <w:rsid w:val="047F3F60"/>
    <w:rsid w:val="04DF1A8A"/>
    <w:rsid w:val="055C132D"/>
    <w:rsid w:val="056326BB"/>
    <w:rsid w:val="05A13F57"/>
    <w:rsid w:val="05D2629B"/>
    <w:rsid w:val="05FB78F1"/>
    <w:rsid w:val="061A5470"/>
    <w:rsid w:val="062E3933"/>
    <w:rsid w:val="06497B03"/>
    <w:rsid w:val="0687687D"/>
    <w:rsid w:val="068B1EC9"/>
    <w:rsid w:val="06976448"/>
    <w:rsid w:val="06AC0092"/>
    <w:rsid w:val="06CC4290"/>
    <w:rsid w:val="06ED6FA7"/>
    <w:rsid w:val="06FE6B3F"/>
    <w:rsid w:val="070457D8"/>
    <w:rsid w:val="072639A0"/>
    <w:rsid w:val="073A744C"/>
    <w:rsid w:val="07CC09EB"/>
    <w:rsid w:val="082500FC"/>
    <w:rsid w:val="086504F8"/>
    <w:rsid w:val="088F6118"/>
    <w:rsid w:val="089A2898"/>
    <w:rsid w:val="08B651F8"/>
    <w:rsid w:val="08EB0276"/>
    <w:rsid w:val="090917CB"/>
    <w:rsid w:val="09524F20"/>
    <w:rsid w:val="095624EB"/>
    <w:rsid w:val="09A74581"/>
    <w:rsid w:val="09C3197A"/>
    <w:rsid w:val="09EA33AB"/>
    <w:rsid w:val="0A046B43"/>
    <w:rsid w:val="0A59408D"/>
    <w:rsid w:val="0A6A44EC"/>
    <w:rsid w:val="0A6F03ED"/>
    <w:rsid w:val="0A876E4C"/>
    <w:rsid w:val="0A93759F"/>
    <w:rsid w:val="0ABA2B73"/>
    <w:rsid w:val="0AC05EBA"/>
    <w:rsid w:val="0ACF4D7E"/>
    <w:rsid w:val="0AEE6ECB"/>
    <w:rsid w:val="0B487917"/>
    <w:rsid w:val="0B4F53B8"/>
    <w:rsid w:val="0B6149B5"/>
    <w:rsid w:val="0B640F3B"/>
    <w:rsid w:val="0B696551"/>
    <w:rsid w:val="0B7C0033"/>
    <w:rsid w:val="0B7D3DAB"/>
    <w:rsid w:val="0B835865"/>
    <w:rsid w:val="0B923CFA"/>
    <w:rsid w:val="0B971310"/>
    <w:rsid w:val="0BA9618B"/>
    <w:rsid w:val="0BF64289"/>
    <w:rsid w:val="0C0A4976"/>
    <w:rsid w:val="0C2152DD"/>
    <w:rsid w:val="0C4F3999"/>
    <w:rsid w:val="0C761043"/>
    <w:rsid w:val="0CA02447"/>
    <w:rsid w:val="0CDB347F"/>
    <w:rsid w:val="0CFF0F1B"/>
    <w:rsid w:val="0D0E73B0"/>
    <w:rsid w:val="0D1D3810"/>
    <w:rsid w:val="0D2E35AF"/>
    <w:rsid w:val="0D352A6D"/>
    <w:rsid w:val="0D4000F2"/>
    <w:rsid w:val="0D6945E7"/>
    <w:rsid w:val="0D8568C3"/>
    <w:rsid w:val="0DD70047"/>
    <w:rsid w:val="0E4A266A"/>
    <w:rsid w:val="0E511C4A"/>
    <w:rsid w:val="0E845E21"/>
    <w:rsid w:val="0E8B67DF"/>
    <w:rsid w:val="0E8E3319"/>
    <w:rsid w:val="0E9733D5"/>
    <w:rsid w:val="0ED62150"/>
    <w:rsid w:val="0EE2505A"/>
    <w:rsid w:val="0EEF3211"/>
    <w:rsid w:val="0F0740B7"/>
    <w:rsid w:val="0F0D41FF"/>
    <w:rsid w:val="0F0F11BE"/>
    <w:rsid w:val="0F24171F"/>
    <w:rsid w:val="0F391A89"/>
    <w:rsid w:val="0F547044"/>
    <w:rsid w:val="0F6459AD"/>
    <w:rsid w:val="0F73174D"/>
    <w:rsid w:val="0F754D54"/>
    <w:rsid w:val="0F8C0A60"/>
    <w:rsid w:val="0FDA5EF9"/>
    <w:rsid w:val="0FE829F7"/>
    <w:rsid w:val="100B5E29"/>
    <w:rsid w:val="100F5919"/>
    <w:rsid w:val="101E3DAE"/>
    <w:rsid w:val="101F2E80"/>
    <w:rsid w:val="105F4EA8"/>
    <w:rsid w:val="10BA4B7A"/>
    <w:rsid w:val="10D502CD"/>
    <w:rsid w:val="10DD77C5"/>
    <w:rsid w:val="10E01064"/>
    <w:rsid w:val="10EA1EE2"/>
    <w:rsid w:val="11274EE5"/>
    <w:rsid w:val="114C5A78"/>
    <w:rsid w:val="115433FE"/>
    <w:rsid w:val="115B4B8E"/>
    <w:rsid w:val="1170063A"/>
    <w:rsid w:val="11740332"/>
    <w:rsid w:val="11C24C0D"/>
    <w:rsid w:val="11C73FD2"/>
    <w:rsid w:val="11CB53D4"/>
    <w:rsid w:val="11FC3056"/>
    <w:rsid w:val="122A4C8C"/>
    <w:rsid w:val="12394ECF"/>
    <w:rsid w:val="127F39AB"/>
    <w:rsid w:val="1283574B"/>
    <w:rsid w:val="129E1F80"/>
    <w:rsid w:val="12D15108"/>
    <w:rsid w:val="12E84200"/>
    <w:rsid w:val="12F74B39"/>
    <w:rsid w:val="13113756"/>
    <w:rsid w:val="13541E3A"/>
    <w:rsid w:val="135E2714"/>
    <w:rsid w:val="13C20EF5"/>
    <w:rsid w:val="13D12EE6"/>
    <w:rsid w:val="14011A1D"/>
    <w:rsid w:val="14321BD6"/>
    <w:rsid w:val="145A737F"/>
    <w:rsid w:val="1487021E"/>
    <w:rsid w:val="14D07641"/>
    <w:rsid w:val="14FA07F7"/>
    <w:rsid w:val="14FC6DA4"/>
    <w:rsid w:val="14FE298E"/>
    <w:rsid w:val="156277D2"/>
    <w:rsid w:val="15634011"/>
    <w:rsid w:val="158C17BA"/>
    <w:rsid w:val="159F14ED"/>
    <w:rsid w:val="15A207A1"/>
    <w:rsid w:val="15E45C7A"/>
    <w:rsid w:val="16113CF7"/>
    <w:rsid w:val="161D68B6"/>
    <w:rsid w:val="164A63ED"/>
    <w:rsid w:val="16AE7AA1"/>
    <w:rsid w:val="16C136E5"/>
    <w:rsid w:val="16DE6045"/>
    <w:rsid w:val="178D35C8"/>
    <w:rsid w:val="17936E30"/>
    <w:rsid w:val="17DC0FDD"/>
    <w:rsid w:val="18C4126B"/>
    <w:rsid w:val="18CD6371"/>
    <w:rsid w:val="18D41D00"/>
    <w:rsid w:val="19595E57"/>
    <w:rsid w:val="196D36B1"/>
    <w:rsid w:val="1991760D"/>
    <w:rsid w:val="19A30E80"/>
    <w:rsid w:val="19B07C28"/>
    <w:rsid w:val="19BB441C"/>
    <w:rsid w:val="19D41982"/>
    <w:rsid w:val="19E35721"/>
    <w:rsid w:val="1A416CB1"/>
    <w:rsid w:val="1A613215"/>
    <w:rsid w:val="1A750A6F"/>
    <w:rsid w:val="1A862C7C"/>
    <w:rsid w:val="1A8E38DF"/>
    <w:rsid w:val="1AAE5D2F"/>
    <w:rsid w:val="1AB175CD"/>
    <w:rsid w:val="1AF24AF9"/>
    <w:rsid w:val="1AF75928"/>
    <w:rsid w:val="1AF852E5"/>
    <w:rsid w:val="1B2A7AAB"/>
    <w:rsid w:val="1B4712B4"/>
    <w:rsid w:val="1B481B67"/>
    <w:rsid w:val="1B6F1962"/>
    <w:rsid w:val="1B701236"/>
    <w:rsid w:val="1BA610EE"/>
    <w:rsid w:val="1BD14C2B"/>
    <w:rsid w:val="1BE834C2"/>
    <w:rsid w:val="1BEC6B0F"/>
    <w:rsid w:val="1CA05B4B"/>
    <w:rsid w:val="1CE10E36"/>
    <w:rsid w:val="1D012A8E"/>
    <w:rsid w:val="1D047E88"/>
    <w:rsid w:val="1D085BCA"/>
    <w:rsid w:val="1D1739A1"/>
    <w:rsid w:val="1D17405F"/>
    <w:rsid w:val="1D2C30D2"/>
    <w:rsid w:val="1D33420F"/>
    <w:rsid w:val="1D4604A0"/>
    <w:rsid w:val="1D833254"/>
    <w:rsid w:val="1D9531D6"/>
    <w:rsid w:val="1DBE272D"/>
    <w:rsid w:val="1DC006E8"/>
    <w:rsid w:val="1DD91315"/>
    <w:rsid w:val="1DDA4326"/>
    <w:rsid w:val="1DEF28E6"/>
    <w:rsid w:val="1DFC5003"/>
    <w:rsid w:val="1E1467F1"/>
    <w:rsid w:val="1E3824DF"/>
    <w:rsid w:val="1E4A3FC0"/>
    <w:rsid w:val="1E522E75"/>
    <w:rsid w:val="1E6432D4"/>
    <w:rsid w:val="1EA5569B"/>
    <w:rsid w:val="1EB83620"/>
    <w:rsid w:val="1EBF050A"/>
    <w:rsid w:val="1EF74148"/>
    <w:rsid w:val="1EFA50BD"/>
    <w:rsid w:val="1F63358C"/>
    <w:rsid w:val="1F813A12"/>
    <w:rsid w:val="1F974FE3"/>
    <w:rsid w:val="1FD224BF"/>
    <w:rsid w:val="1FFC12EA"/>
    <w:rsid w:val="200A7EAB"/>
    <w:rsid w:val="20174376"/>
    <w:rsid w:val="203E1903"/>
    <w:rsid w:val="208F215E"/>
    <w:rsid w:val="20983709"/>
    <w:rsid w:val="20BB2F53"/>
    <w:rsid w:val="20F12E19"/>
    <w:rsid w:val="2100305C"/>
    <w:rsid w:val="21313216"/>
    <w:rsid w:val="214D4E02"/>
    <w:rsid w:val="21505D92"/>
    <w:rsid w:val="215D225D"/>
    <w:rsid w:val="217C75F4"/>
    <w:rsid w:val="219C7E2C"/>
    <w:rsid w:val="21A760DD"/>
    <w:rsid w:val="221D6484"/>
    <w:rsid w:val="22715102"/>
    <w:rsid w:val="22D4098D"/>
    <w:rsid w:val="22FF35CB"/>
    <w:rsid w:val="233E1464"/>
    <w:rsid w:val="237C10C0"/>
    <w:rsid w:val="23865A9B"/>
    <w:rsid w:val="23C465C3"/>
    <w:rsid w:val="245142FB"/>
    <w:rsid w:val="247F468B"/>
    <w:rsid w:val="248B0E8F"/>
    <w:rsid w:val="249E0BC2"/>
    <w:rsid w:val="24E0567E"/>
    <w:rsid w:val="254B6F9C"/>
    <w:rsid w:val="259843CA"/>
    <w:rsid w:val="259A27A5"/>
    <w:rsid w:val="25AD37B3"/>
    <w:rsid w:val="25E61914"/>
    <w:rsid w:val="26094761"/>
    <w:rsid w:val="260B672B"/>
    <w:rsid w:val="261A3D91"/>
    <w:rsid w:val="261C26E6"/>
    <w:rsid w:val="26301CEE"/>
    <w:rsid w:val="26571970"/>
    <w:rsid w:val="266813A1"/>
    <w:rsid w:val="26712A32"/>
    <w:rsid w:val="268A69F1"/>
    <w:rsid w:val="26A80F07"/>
    <w:rsid w:val="26A821CC"/>
    <w:rsid w:val="26B23532"/>
    <w:rsid w:val="26D1527F"/>
    <w:rsid w:val="26D60AE7"/>
    <w:rsid w:val="26E1123A"/>
    <w:rsid w:val="27090EBD"/>
    <w:rsid w:val="272730F1"/>
    <w:rsid w:val="273A72C8"/>
    <w:rsid w:val="278A3680"/>
    <w:rsid w:val="27B66AB6"/>
    <w:rsid w:val="27D35027"/>
    <w:rsid w:val="27F03E2A"/>
    <w:rsid w:val="287F6F5C"/>
    <w:rsid w:val="288822B5"/>
    <w:rsid w:val="289F315B"/>
    <w:rsid w:val="28A86F9B"/>
    <w:rsid w:val="291122AA"/>
    <w:rsid w:val="29143B49"/>
    <w:rsid w:val="291E6775"/>
    <w:rsid w:val="29534671"/>
    <w:rsid w:val="29540563"/>
    <w:rsid w:val="295938E3"/>
    <w:rsid w:val="295B75EF"/>
    <w:rsid w:val="29712C99"/>
    <w:rsid w:val="2978100C"/>
    <w:rsid w:val="29946A38"/>
    <w:rsid w:val="29AF3270"/>
    <w:rsid w:val="29AF73CD"/>
    <w:rsid w:val="29CF181E"/>
    <w:rsid w:val="29E208F7"/>
    <w:rsid w:val="29FB0865"/>
    <w:rsid w:val="2A007C29"/>
    <w:rsid w:val="2A067935"/>
    <w:rsid w:val="2A351FC9"/>
    <w:rsid w:val="2A8617E9"/>
    <w:rsid w:val="2A994305"/>
    <w:rsid w:val="2AAA6513"/>
    <w:rsid w:val="2ACA70BC"/>
    <w:rsid w:val="2B285689"/>
    <w:rsid w:val="2B3D7387"/>
    <w:rsid w:val="2B5E52C8"/>
    <w:rsid w:val="2B774C6A"/>
    <w:rsid w:val="2B7B0CB5"/>
    <w:rsid w:val="2B801021"/>
    <w:rsid w:val="2B8522BD"/>
    <w:rsid w:val="2B8F395A"/>
    <w:rsid w:val="2B9351F9"/>
    <w:rsid w:val="2B940F71"/>
    <w:rsid w:val="2BFA5278"/>
    <w:rsid w:val="2C027C88"/>
    <w:rsid w:val="2C1B4D2E"/>
    <w:rsid w:val="2C3A1B18"/>
    <w:rsid w:val="2C486535"/>
    <w:rsid w:val="2C572D9B"/>
    <w:rsid w:val="2C732934"/>
    <w:rsid w:val="2C752B50"/>
    <w:rsid w:val="2C932859"/>
    <w:rsid w:val="2C9805ED"/>
    <w:rsid w:val="2CC17B44"/>
    <w:rsid w:val="2CE675AA"/>
    <w:rsid w:val="2CF41CC7"/>
    <w:rsid w:val="2D0A3299"/>
    <w:rsid w:val="2D145EC5"/>
    <w:rsid w:val="2D6A3D37"/>
    <w:rsid w:val="2D974F5D"/>
    <w:rsid w:val="2D9B5F76"/>
    <w:rsid w:val="2DB1789E"/>
    <w:rsid w:val="2E3E65DD"/>
    <w:rsid w:val="2E3F45EA"/>
    <w:rsid w:val="2E701821"/>
    <w:rsid w:val="2E725599"/>
    <w:rsid w:val="2E7B7AB9"/>
    <w:rsid w:val="2E9D3376"/>
    <w:rsid w:val="2EA414CB"/>
    <w:rsid w:val="2EA63495"/>
    <w:rsid w:val="2EAA029D"/>
    <w:rsid w:val="2EB9568B"/>
    <w:rsid w:val="2F0D3A9E"/>
    <w:rsid w:val="2F566C69"/>
    <w:rsid w:val="2F6A44C2"/>
    <w:rsid w:val="2F7C632F"/>
    <w:rsid w:val="2F9868DB"/>
    <w:rsid w:val="2FA63021"/>
    <w:rsid w:val="2FAF3D45"/>
    <w:rsid w:val="2FB7522E"/>
    <w:rsid w:val="2FBE480E"/>
    <w:rsid w:val="2FDB0F1C"/>
    <w:rsid w:val="2FEF26AC"/>
    <w:rsid w:val="2FFB2B49"/>
    <w:rsid w:val="301D7787"/>
    <w:rsid w:val="301E0E9D"/>
    <w:rsid w:val="302F1268"/>
    <w:rsid w:val="303C4231"/>
    <w:rsid w:val="30823A8E"/>
    <w:rsid w:val="30BE3641"/>
    <w:rsid w:val="31480833"/>
    <w:rsid w:val="3152520E"/>
    <w:rsid w:val="315F682A"/>
    <w:rsid w:val="318C4BC4"/>
    <w:rsid w:val="31A01A6B"/>
    <w:rsid w:val="31A8774A"/>
    <w:rsid w:val="31B35C97"/>
    <w:rsid w:val="31C3435E"/>
    <w:rsid w:val="31D2634F"/>
    <w:rsid w:val="31E452BB"/>
    <w:rsid w:val="31EB11BF"/>
    <w:rsid w:val="320014BF"/>
    <w:rsid w:val="32116E77"/>
    <w:rsid w:val="3284589B"/>
    <w:rsid w:val="328978DF"/>
    <w:rsid w:val="329B0E37"/>
    <w:rsid w:val="329B2BE5"/>
    <w:rsid w:val="32BF0681"/>
    <w:rsid w:val="32C91500"/>
    <w:rsid w:val="32F123B1"/>
    <w:rsid w:val="32FD30F2"/>
    <w:rsid w:val="332350B4"/>
    <w:rsid w:val="336631F3"/>
    <w:rsid w:val="336E3329"/>
    <w:rsid w:val="33770F5C"/>
    <w:rsid w:val="337C2A16"/>
    <w:rsid w:val="339B32F9"/>
    <w:rsid w:val="33DE0FDB"/>
    <w:rsid w:val="33FC76B3"/>
    <w:rsid w:val="340B78F6"/>
    <w:rsid w:val="341713FC"/>
    <w:rsid w:val="344828F8"/>
    <w:rsid w:val="348F734B"/>
    <w:rsid w:val="34943D90"/>
    <w:rsid w:val="34BD32E6"/>
    <w:rsid w:val="34CC3529"/>
    <w:rsid w:val="34F0546A"/>
    <w:rsid w:val="35044A71"/>
    <w:rsid w:val="35103416"/>
    <w:rsid w:val="351F18AB"/>
    <w:rsid w:val="35245113"/>
    <w:rsid w:val="355F439E"/>
    <w:rsid w:val="35646427"/>
    <w:rsid w:val="357F1A33"/>
    <w:rsid w:val="35894ABA"/>
    <w:rsid w:val="35904557"/>
    <w:rsid w:val="359F479A"/>
    <w:rsid w:val="35A45DCC"/>
    <w:rsid w:val="365361A8"/>
    <w:rsid w:val="366D030F"/>
    <w:rsid w:val="36770E16"/>
    <w:rsid w:val="369D6F2B"/>
    <w:rsid w:val="36D50F3F"/>
    <w:rsid w:val="36F54FB9"/>
    <w:rsid w:val="37070849"/>
    <w:rsid w:val="37302647"/>
    <w:rsid w:val="37307E53"/>
    <w:rsid w:val="37411FAD"/>
    <w:rsid w:val="37712385"/>
    <w:rsid w:val="37753A04"/>
    <w:rsid w:val="37A10C9D"/>
    <w:rsid w:val="37AF33BA"/>
    <w:rsid w:val="37C256AF"/>
    <w:rsid w:val="37EB1F18"/>
    <w:rsid w:val="3809239F"/>
    <w:rsid w:val="38105C68"/>
    <w:rsid w:val="3835423E"/>
    <w:rsid w:val="388859B9"/>
    <w:rsid w:val="388D1185"/>
    <w:rsid w:val="38D66AFF"/>
    <w:rsid w:val="390810C8"/>
    <w:rsid w:val="392576AC"/>
    <w:rsid w:val="39447068"/>
    <w:rsid w:val="39C11183"/>
    <w:rsid w:val="39E46F19"/>
    <w:rsid w:val="39FF4D5B"/>
    <w:rsid w:val="3A085004"/>
    <w:rsid w:val="3A574D58"/>
    <w:rsid w:val="3A6502A6"/>
    <w:rsid w:val="3A986AFB"/>
    <w:rsid w:val="3AA82343"/>
    <w:rsid w:val="3AB26D1E"/>
    <w:rsid w:val="3ADE5D64"/>
    <w:rsid w:val="3AEF7F72"/>
    <w:rsid w:val="3AF37A62"/>
    <w:rsid w:val="3B2A0FAA"/>
    <w:rsid w:val="3B514788"/>
    <w:rsid w:val="3B5D4EDB"/>
    <w:rsid w:val="3B820DE6"/>
    <w:rsid w:val="3B8C3A12"/>
    <w:rsid w:val="3B9A181B"/>
    <w:rsid w:val="3BDD7DCA"/>
    <w:rsid w:val="3BFA3DA5"/>
    <w:rsid w:val="3C3245BA"/>
    <w:rsid w:val="3C700C3E"/>
    <w:rsid w:val="3CDB07AE"/>
    <w:rsid w:val="3CF4361D"/>
    <w:rsid w:val="3D0575D8"/>
    <w:rsid w:val="3D0F59E6"/>
    <w:rsid w:val="3D2F0AF9"/>
    <w:rsid w:val="3D841CF7"/>
    <w:rsid w:val="3D9F5C7F"/>
    <w:rsid w:val="3DA45043"/>
    <w:rsid w:val="3DAE5EC2"/>
    <w:rsid w:val="3DDC47DD"/>
    <w:rsid w:val="3DF35164"/>
    <w:rsid w:val="3E1321C9"/>
    <w:rsid w:val="3E594080"/>
    <w:rsid w:val="3E78202C"/>
    <w:rsid w:val="3E980B0E"/>
    <w:rsid w:val="3EAD1CD6"/>
    <w:rsid w:val="3ED410E4"/>
    <w:rsid w:val="3ED90D1D"/>
    <w:rsid w:val="3F2521B4"/>
    <w:rsid w:val="3F2B6E96"/>
    <w:rsid w:val="3F2C3542"/>
    <w:rsid w:val="3F4B64DB"/>
    <w:rsid w:val="3F6C7DE3"/>
    <w:rsid w:val="3F6F51DD"/>
    <w:rsid w:val="3FE82CCE"/>
    <w:rsid w:val="40237C35"/>
    <w:rsid w:val="404E1296"/>
    <w:rsid w:val="40501A30"/>
    <w:rsid w:val="4050327D"/>
    <w:rsid w:val="40FB141E"/>
    <w:rsid w:val="40FD66AE"/>
    <w:rsid w:val="41463971"/>
    <w:rsid w:val="414D59F2"/>
    <w:rsid w:val="41566655"/>
    <w:rsid w:val="416B7C26"/>
    <w:rsid w:val="41A07CDB"/>
    <w:rsid w:val="41A2189A"/>
    <w:rsid w:val="41BB6E00"/>
    <w:rsid w:val="41BC374E"/>
    <w:rsid w:val="41BD70F8"/>
    <w:rsid w:val="41E35DF5"/>
    <w:rsid w:val="41E55C2A"/>
    <w:rsid w:val="41FB544E"/>
    <w:rsid w:val="42132798"/>
    <w:rsid w:val="42184456"/>
    <w:rsid w:val="4246491B"/>
    <w:rsid w:val="42507548"/>
    <w:rsid w:val="426E3E72"/>
    <w:rsid w:val="42864D18"/>
    <w:rsid w:val="42B850ED"/>
    <w:rsid w:val="42C45840"/>
    <w:rsid w:val="43056F34"/>
    <w:rsid w:val="438569A9"/>
    <w:rsid w:val="43B21B3C"/>
    <w:rsid w:val="43C26B9E"/>
    <w:rsid w:val="43CD6976"/>
    <w:rsid w:val="43E814B4"/>
    <w:rsid w:val="43F16B09"/>
    <w:rsid w:val="440E76BA"/>
    <w:rsid w:val="443133A9"/>
    <w:rsid w:val="44656127"/>
    <w:rsid w:val="446948F1"/>
    <w:rsid w:val="447C2876"/>
    <w:rsid w:val="44A122DD"/>
    <w:rsid w:val="44A26055"/>
    <w:rsid w:val="44AB315B"/>
    <w:rsid w:val="44BD15A4"/>
    <w:rsid w:val="44C44324"/>
    <w:rsid w:val="44E30791"/>
    <w:rsid w:val="4528655A"/>
    <w:rsid w:val="45392515"/>
    <w:rsid w:val="454F7F8B"/>
    <w:rsid w:val="457A48DC"/>
    <w:rsid w:val="458850E0"/>
    <w:rsid w:val="45C06792"/>
    <w:rsid w:val="45D13B14"/>
    <w:rsid w:val="45D87F80"/>
    <w:rsid w:val="45E0412E"/>
    <w:rsid w:val="45FB4075"/>
    <w:rsid w:val="46026DAB"/>
    <w:rsid w:val="46144D30"/>
    <w:rsid w:val="462D302C"/>
    <w:rsid w:val="46505D94"/>
    <w:rsid w:val="467B090B"/>
    <w:rsid w:val="46843C64"/>
    <w:rsid w:val="469559DB"/>
    <w:rsid w:val="469C7200"/>
    <w:rsid w:val="46DA7E0E"/>
    <w:rsid w:val="47056F93"/>
    <w:rsid w:val="475A6773"/>
    <w:rsid w:val="47D227AD"/>
    <w:rsid w:val="47F60B91"/>
    <w:rsid w:val="4803505C"/>
    <w:rsid w:val="48164D90"/>
    <w:rsid w:val="48221986"/>
    <w:rsid w:val="484E1A14"/>
    <w:rsid w:val="486420C6"/>
    <w:rsid w:val="48790E7B"/>
    <w:rsid w:val="48855A71"/>
    <w:rsid w:val="488A12DA"/>
    <w:rsid w:val="489342D0"/>
    <w:rsid w:val="48A438D8"/>
    <w:rsid w:val="48AC74A2"/>
    <w:rsid w:val="48CC36A0"/>
    <w:rsid w:val="48EF016E"/>
    <w:rsid w:val="492E435B"/>
    <w:rsid w:val="49494CF1"/>
    <w:rsid w:val="49BB19CE"/>
    <w:rsid w:val="49EE5268"/>
    <w:rsid w:val="4A050C18"/>
    <w:rsid w:val="4A0751ED"/>
    <w:rsid w:val="4A114B07"/>
    <w:rsid w:val="4A447B5B"/>
    <w:rsid w:val="4A4A2ACF"/>
    <w:rsid w:val="4A4C23B0"/>
    <w:rsid w:val="4A9E754B"/>
    <w:rsid w:val="4AA76173"/>
    <w:rsid w:val="4AB32D6A"/>
    <w:rsid w:val="4ABA2E41"/>
    <w:rsid w:val="4ADE169B"/>
    <w:rsid w:val="4AE958EC"/>
    <w:rsid w:val="4AF64A04"/>
    <w:rsid w:val="4B0531ED"/>
    <w:rsid w:val="4B320057"/>
    <w:rsid w:val="4B38326F"/>
    <w:rsid w:val="4B481704"/>
    <w:rsid w:val="4B5A17FD"/>
    <w:rsid w:val="4B661B8A"/>
    <w:rsid w:val="4BB52B12"/>
    <w:rsid w:val="4BBE294C"/>
    <w:rsid w:val="4BBE7404"/>
    <w:rsid w:val="4BDC48DF"/>
    <w:rsid w:val="4BF76C86"/>
    <w:rsid w:val="4C163914"/>
    <w:rsid w:val="4C715946"/>
    <w:rsid w:val="4C980AD1"/>
    <w:rsid w:val="4CA7245A"/>
    <w:rsid w:val="4CD36027"/>
    <w:rsid w:val="4CE27936"/>
    <w:rsid w:val="4CF50029"/>
    <w:rsid w:val="4D3161C8"/>
    <w:rsid w:val="4D852E94"/>
    <w:rsid w:val="4DB42822"/>
    <w:rsid w:val="4DB72B71"/>
    <w:rsid w:val="4DBA61BD"/>
    <w:rsid w:val="4E375A60"/>
    <w:rsid w:val="4E3E4A95"/>
    <w:rsid w:val="4E4741A3"/>
    <w:rsid w:val="4E780FC3"/>
    <w:rsid w:val="4EAD7AD0"/>
    <w:rsid w:val="4EB946C7"/>
    <w:rsid w:val="4ED60DD5"/>
    <w:rsid w:val="4EFB083B"/>
    <w:rsid w:val="4EFD57A9"/>
    <w:rsid w:val="4F820F5D"/>
    <w:rsid w:val="4FAB2261"/>
    <w:rsid w:val="4FC6709B"/>
    <w:rsid w:val="4FCD667C"/>
    <w:rsid w:val="5006393C"/>
    <w:rsid w:val="50154ED1"/>
    <w:rsid w:val="50792360"/>
    <w:rsid w:val="5080549C"/>
    <w:rsid w:val="508B3E41"/>
    <w:rsid w:val="50D6467C"/>
    <w:rsid w:val="513B7615"/>
    <w:rsid w:val="515B3056"/>
    <w:rsid w:val="515C2381"/>
    <w:rsid w:val="516C543B"/>
    <w:rsid w:val="51A918B6"/>
    <w:rsid w:val="51B178D7"/>
    <w:rsid w:val="51B61FAC"/>
    <w:rsid w:val="51C07B1A"/>
    <w:rsid w:val="51C94C21"/>
    <w:rsid w:val="51D535C6"/>
    <w:rsid w:val="51DD691E"/>
    <w:rsid w:val="52081BED"/>
    <w:rsid w:val="5245699D"/>
    <w:rsid w:val="527276B4"/>
    <w:rsid w:val="528F19C6"/>
    <w:rsid w:val="52903990"/>
    <w:rsid w:val="529671F9"/>
    <w:rsid w:val="52AF2069"/>
    <w:rsid w:val="52D63A99"/>
    <w:rsid w:val="52D97EBD"/>
    <w:rsid w:val="52E01769"/>
    <w:rsid w:val="53024A18"/>
    <w:rsid w:val="53061A82"/>
    <w:rsid w:val="537B5903"/>
    <w:rsid w:val="53C9715A"/>
    <w:rsid w:val="53CE4770"/>
    <w:rsid w:val="53D31B19"/>
    <w:rsid w:val="53D97703"/>
    <w:rsid w:val="54077FBB"/>
    <w:rsid w:val="543620E7"/>
    <w:rsid w:val="54694499"/>
    <w:rsid w:val="54817A35"/>
    <w:rsid w:val="54A454D1"/>
    <w:rsid w:val="550B7035"/>
    <w:rsid w:val="551E7032"/>
    <w:rsid w:val="555E5B90"/>
    <w:rsid w:val="55662F14"/>
    <w:rsid w:val="55BE25C3"/>
    <w:rsid w:val="55C52AF9"/>
    <w:rsid w:val="561D1624"/>
    <w:rsid w:val="56552F27"/>
    <w:rsid w:val="566D0271"/>
    <w:rsid w:val="56772E9D"/>
    <w:rsid w:val="56905D0D"/>
    <w:rsid w:val="56A417B8"/>
    <w:rsid w:val="56B104E7"/>
    <w:rsid w:val="56EE169C"/>
    <w:rsid w:val="571F6A41"/>
    <w:rsid w:val="5730129E"/>
    <w:rsid w:val="5765719A"/>
    <w:rsid w:val="57763155"/>
    <w:rsid w:val="57C02622"/>
    <w:rsid w:val="58020E8D"/>
    <w:rsid w:val="581A6ECA"/>
    <w:rsid w:val="58313520"/>
    <w:rsid w:val="586454CE"/>
    <w:rsid w:val="587E22A2"/>
    <w:rsid w:val="58A837E2"/>
    <w:rsid w:val="58F80B9F"/>
    <w:rsid w:val="590A1B95"/>
    <w:rsid w:val="591F6D3E"/>
    <w:rsid w:val="59215342"/>
    <w:rsid w:val="59232E69"/>
    <w:rsid w:val="592C580B"/>
    <w:rsid w:val="59417793"/>
    <w:rsid w:val="59440349"/>
    <w:rsid w:val="595B2784"/>
    <w:rsid w:val="59617E35"/>
    <w:rsid w:val="59635888"/>
    <w:rsid w:val="597B2CA5"/>
    <w:rsid w:val="59B212B6"/>
    <w:rsid w:val="59B5223B"/>
    <w:rsid w:val="59C363FA"/>
    <w:rsid w:val="59C70E20"/>
    <w:rsid w:val="59CA3582"/>
    <w:rsid w:val="59E3084A"/>
    <w:rsid w:val="59F1552F"/>
    <w:rsid w:val="5A0031AA"/>
    <w:rsid w:val="5A1161F7"/>
    <w:rsid w:val="5A13112F"/>
    <w:rsid w:val="5A5D30E0"/>
    <w:rsid w:val="5AB26B9A"/>
    <w:rsid w:val="5B2A2BD4"/>
    <w:rsid w:val="5B7C71A8"/>
    <w:rsid w:val="5B8B2F47"/>
    <w:rsid w:val="5BA069F2"/>
    <w:rsid w:val="5BA30291"/>
    <w:rsid w:val="5BC64FB3"/>
    <w:rsid w:val="5BC70EDD"/>
    <w:rsid w:val="5BC77666"/>
    <w:rsid w:val="5BF45193"/>
    <w:rsid w:val="5C190B70"/>
    <w:rsid w:val="5C6F2ADC"/>
    <w:rsid w:val="5C763BF7"/>
    <w:rsid w:val="5CA24EBA"/>
    <w:rsid w:val="5CAD579C"/>
    <w:rsid w:val="5CB07109"/>
    <w:rsid w:val="5CDF179C"/>
    <w:rsid w:val="5CF73483"/>
    <w:rsid w:val="5D4F4914"/>
    <w:rsid w:val="5D5201C0"/>
    <w:rsid w:val="5D706898"/>
    <w:rsid w:val="5DBF512A"/>
    <w:rsid w:val="5E2D2196"/>
    <w:rsid w:val="5E323B4E"/>
    <w:rsid w:val="5E386EB0"/>
    <w:rsid w:val="5E3D49CC"/>
    <w:rsid w:val="5E587A58"/>
    <w:rsid w:val="5E804B8E"/>
    <w:rsid w:val="5E916619"/>
    <w:rsid w:val="5EDD7C2F"/>
    <w:rsid w:val="5EFE18BE"/>
    <w:rsid w:val="5F04373C"/>
    <w:rsid w:val="5F2E6A0B"/>
    <w:rsid w:val="5F9E593F"/>
    <w:rsid w:val="5FC058B5"/>
    <w:rsid w:val="602821CF"/>
    <w:rsid w:val="60444B26"/>
    <w:rsid w:val="60964868"/>
    <w:rsid w:val="609D5BF6"/>
    <w:rsid w:val="60A87DF2"/>
    <w:rsid w:val="60A972A5"/>
    <w:rsid w:val="60B66CB8"/>
    <w:rsid w:val="60E77FE0"/>
    <w:rsid w:val="60F17CF0"/>
    <w:rsid w:val="61076620"/>
    <w:rsid w:val="615838CB"/>
    <w:rsid w:val="61736957"/>
    <w:rsid w:val="61B71C2B"/>
    <w:rsid w:val="61CE3B8D"/>
    <w:rsid w:val="62774225"/>
    <w:rsid w:val="62EA4922"/>
    <w:rsid w:val="632A1297"/>
    <w:rsid w:val="632C14B3"/>
    <w:rsid w:val="63365E8E"/>
    <w:rsid w:val="635A7DCF"/>
    <w:rsid w:val="635B58F5"/>
    <w:rsid w:val="635B7642"/>
    <w:rsid w:val="63627091"/>
    <w:rsid w:val="63690012"/>
    <w:rsid w:val="63696264"/>
    <w:rsid w:val="638B61DA"/>
    <w:rsid w:val="63C67212"/>
    <w:rsid w:val="63D731CD"/>
    <w:rsid w:val="63DC4C88"/>
    <w:rsid w:val="63E87188"/>
    <w:rsid w:val="63EB4ECB"/>
    <w:rsid w:val="64030466"/>
    <w:rsid w:val="64151F48"/>
    <w:rsid w:val="641F4B74"/>
    <w:rsid w:val="644D7933"/>
    <w:rsid w:val="646B664C"/>
    <w:rsid w:val="647850EC"/>
    <w:rsid w:val="64A47AAA"/>
    <w:rsid w:val="64AA6B34"/>
    <w:rsid w:val="64BC7B49"/>
    <w:rsid w:val="64E04304"/>
    <w:rsid w:val="64EC77C7"/>
    <w:rsid w:val="65077AE2"/>
    <w:rsid w:val="65240694"/>
    <w:rsid w:val="6532781A"/>
    <w:rsid w:val="653463FD"/>
    <w:rsid w:val="65556AA0"/>
    <w:rsid w:val="65835534"/>
    <w:rsid w:val="65962C14"/>
    <w:rsid w:val="659A2704"/>
    <w:rsid w:val="65A74E21"/>
    <w:rsid w:val="65AA157B"/>
    <w:rsid w:val="65AE4402"/>
    <w:rsid w:val="65E05BD0"/>
    <w:rsid w:val="65E816C2"/>
    <w:rsid w:val="65EE0CA2"/>
    <w:rsid w:val="66546D57"/>
    <w:rsid w:val="66787F09"/>
    <w:rsid w:val="66C35257"/>
    <w:rsid w:val="66D042C7"/>
    <w:rsid w:val="66F916AD"/>
    <w:rsid w:val="670A1B0C"/>
    <w:rsid w:val="670A5545"/>
    <w:rsid w:val="67545239"/>
    <w:rsid w:val="67566AFF"/>
    <w:rsid w:val="67577EB7"/>
    <w:rsid w:val="678A67A9"/>
    <w:rsid w:val="67A16354"/>
    <w:rsid w:val="67B13D35"/>
    <w:rsid w:val="67B565A4"/>
    <w:rsid w:val="67C008A7"/>
    <w:rsid w:val="67EF0D81"/>
    <w:rsid w:val="680B5EB3"/>
    <w:rsid w:val="681D761D"/>
    <w:rsid w:val="6841155D"/>
    <w:rsid w:val="685E210F"/>
    <w:rsid w:val="68686AEA"/>
    <w:rsid w:val="686E1C26"/>
    <w:rsid w:val="68751207"/>
    <w:rsid w:val="6876507C"/>
    <w:rsid w:val="68B7181F"/>
    <w:rsid w:val="68EE341D"/>
    <w:rsid w:val="68F77D59"/>
    <w:rsid w:val="690C3919"/>
    <w:rsid w:val="698433E2"/>
    <w:rsid w:val="69CF1E5C"/>
    <w:rsid w:val="69E74C2E"/>
    <w:rsid w:val="6A026ACA"/>
    <w:rsid w:val="6A0E36C1"/>
    <w:rsid w:val="6A162576"/>
    <w:rsid w:val="6A3A44B6"/>
    <w:rsid w:val="6A40281B"/>
    <w:rsid w:val="6A6F1338"/>
    <w:rsid w:val="6A731776"/>
    <w:rsid w:val="6A773014"/>
    <w:rsid w:val="6A86594D"/>
    <w:rsid w:val="6A883473"/>
    <w:rsid w:val="6A8E65B0"/>
    <w:rsid w:val="6ABE50E7"/>
    <w:rsid w:val="6ADE3093"/>
    <w:rsid w:val="6B225394"/>
    <w:rsid w:val="6B2F7D93"/>
    <w:rsid w:val="6B363FCA"/>
    <w:rsid w:val="6B6712DB"/>
    <w:rsid w:val="6B826114"/>
    <w:rsid w:val="6BB57C79"/>
    <w:rsid w:val="6BF16DF6"/>
    <w:rsid w:val="6BF608B1"/>
    <w:rsid w:val="6BFA67EF"/>
    <w:rsid w:val="6C0C59DE"/>
    <w:rsid w:val="6C4D2CDF"/>
    <w:rsid w:val="6C6B4DFB"/>
    <w:rsid w:val="6C731F01"/>
    <w:rsid w:val="6CA974DD"/>
    <w:rsid w:val="6CBE13CE"/>
    <w:rsid w:val="6D195F0B"/>
    <w:rsid w:val="6D1A412B"/>
    <w:rsid w:val="6D6A28D3"/>
    <w:rsid w:val="6D6A6E60"/>
    <w:rsid w:val="6D88378A"/>
    <w:rsid w:val="6DA5433C"/>
    <w:rsid w:val="6DA75BEF"/>
    <w:rsid w:val="6DC82682"/>
    <w:rsid w:val="6DD10C8D"/>
    <w:rsid w:val="6DE76703"/>
    <w:rsid w:val="6E092D4B"/>
    <w:rsid w:val="6E3000AA"/>
    <w:rsid w:val="6E3451F4"/>
    <w:rsid w:val="6E4C47B8"/>
    <w:rsid w:val="6E6715F2"/>
    <w:rsid w:val="6E69536A"/>
    <w:rsid w:val="6E8C308E"/>
    <w:rsid w:val="6E957F0D"/>
    <w:rsid w:val="6EA42846"/>
    <w:rsid w:val="6EDF17E0"/>
    <w:rsid w:val="6EE3640A"/>
    <w:rsid w:val="6F5778B8"/>
    <w:rsid w:val="6F5E0C47"/>
    <w:rsid w:val="6F7C2E7B"/>
    <w:rsid w:val="6F854425"/>
    <w:rsid w:val="6F871F4B"/>
    <w:rsid w:val="6F9E7295"/>
    <w:rsid w:val="6FCA1E38"/>
    <w:rsid w:val="70001CFD"/>
    <w:rsid w:val="700D4CF7"/>
    <w:rsid w:val="701646C9"/>
    <w:rsid w:val="704E0A03"/>
    <w:rsid w:val="706C2EEF"/>
    <w:rsid w:val="70974410"/>
    <w:rsid w:val="70F80C27"/>
    <w:rsid w:val="713F23B2"/>
    <w:rsid w:val="71473A67"/>
    <w:rsid w:val="71535E5D"/>
    <w:rsid w:val="716727C8"/>
    <w:rsid w:val="71956476"/>
    <w:rsid w:val="71970C7F"/>
    <w:rsid w:val="71A74D85"/>
    <w:rsid w:val="71F15DA2"/>
    <w:rsid w:val="72432B76"/>
    <w:rsid w:val="7249173A"/>
    <w:rsid w:val="724C2FD8"/>
    <w:rsid w:val="729606F7"/>
    <w:rsid w:val="72AD6860"/>
    <w:rsid w:val="72DD00D4"/>
    <w:rsid w:val="72EC0317"/>
    <w:rsid w:val="73133AF6"/>
    <w:rsid w:val="731E1686"/>
    <w:rsid w:val="73353A6C"/>
    <w:rsid w:val="738670B1"/>
    <w:rsid w:val="73916FD0"/>
    <w:rsid w:val="73DD4830"/>
    <w:rsid w:val="74235FBB"/>
    <w:rsid w:val="74367F1C"/>
    <w:rsid w:val="743D52CE"/>
    <w:rsid w:val="744F0B5E"/>
    <w:rsid w:val="749A44CF"/>
    <w:rsid w:val="74F10EAC"/>
    <w:rsid w:val="7501454E"/>
    <w:rsid w:val="752124FA"/>
    <w:rsid w:val="75502DDF"/>
    <w:rsid w:val="75630D65"/>
    <w:rsid w:val="75A151C6"/>
    <w:rsid w:val="75A650F5"/>
    <w:rsid w:val="7610686D"/>
    <w:rsid w:val="761A57F1"/>
    <w:rsid w:val="76312C11"/>
    <w:rsid w:val="765406AD"/>
    <w:rsid w:val="766507CE"/>
    <w:rsid w:val="76727DD3"/>
    <w:rsid w:val="76946CFC"/>
    <w:rsid w:val="76B4739E"/>
    <w:rsid w:val="76F51E90"/>
    <w:rsid w:val="76FF4ABD"/>
    <w:rsid w:val="7705218E"/>
    <w:rsid w:val="772A140E"/>
    <w:rsid w:val="772E090A"/>
    <w:rsid w:val="77400C32"/>
    <w:rsid w:val="776D5ECB"/>
    <w:rsid w:val="77AB07A1"/>
    <w:rsid w:val="77B05DB7"/>
    <w:rsid w:val="77F03572"/>
    <w:rsid w:val="78060075"/>
    <w:rsid w:val="780D3DBD"/>
    <w:rsid w:val="78492BAF"/>
    <w:rsid w:val="7893356B"/>
    <w:rsid w:val="78947487"/>
    <w:rsid w:val="78E47D43"/>
    <w:rsid w:val="78F87A16"/>
    <w:rsid w:val="79022643"/>
    <w:rsid w:val="793A1DDD"/>
    <w:rsid w:val="793A6280"/>
    <w:rsid w:val="793B5B55"/>
    <w:rsid w:val="795766F4"/>
    <w:rsid w:val="798902DE"/>
    <w:rsid w:val="79C268F7"/>
    <w:rsid w:val="79D8521D"/>
    <w:rsid w:val="79F842EC"/>
    <w:rsid w:val="79FF4DD4"/>
    <w:rsid w:val="7A1E0906"/>
    <w:rsid w:val="7A55265D"/>
    <w:rsid w:val="7A7E3F4B"/>
    <w:rsid w:val="7A9B68AB"/>
    <w:rsid w:val="7AED5EE1"/>
    <w:rsid w:val="7AF91823"/>
    <w:rsid w:val="7B1E128A"/>
    <w:rsid w:val="7B84236A"/>
    <w:rsid w:val="7B8C2698"/>
    <w:rsid w:val="7BC736D0"/>
    <w:rsid w:val="7BEE3D32"/>
    <w:rsid w:val="7BF96C37"/>
    <w:rsid w:val="7C25519A"/>
    <w:rsid w:val="7C2F2614"/>
    <w:rsid w:val="7C3E1BE4"/>
    <w:rsid w:val="7C507B69"/>
    <w:rsid w:val="7C7552A4"/>
    <w:rsid w:val="7CB65A35"/>
    <w:rsid w:val="7CBB7BDD"/>
    <w:rsid w:val="7CEF1D89"/>
    <w:rsid w:val="7D140B97"/>
    <w:rsid w:val="7D254A84"/>
    <w:rsid w:val="7D40500C"/>
    <w:rsid w:val="7D441C2B"/>
    <w:rsid w:val="7D6008B3"/>
    <w:rsid w:val="7E01111B"/>
    <w:rsid w:val="7E374B3D"/>
    <w:rsid w:val="7E556B31"/>
    <w:rsid w:val="7E722019"/>
    <w:rsid w:val="7E77378E"/>
    <w:rsid w:val="7E8607EA"/>
    <w:rsid w:val="7E957AB5"/>
    <w:rsid w:val="7ED4682F"/>
    <w:rsid w:val="7EED5B43"/>
    <w:rsid w:val="7EF207A1"/>
    <w:rsid w:val="7EF649F8"/>
    <w:rsid w:val="7F08297D"/>
    <w:rsid w:val="7F2A28F3"/>
    <w:rsid w:val="7F2D4191"/>
    <w:rsid w:val="7F4F5EB6"/>
    <w:rsid w:val="7F517E80"/>
    <w:rsid w:val="7F581391"/>
    <w:rsid w:val="7F6556D9"/>
    <w:rsid w:val="7F842003"/>
    <w:rsid w:val="7F945FBF"/>
    <w:rsid w:val="7F954211"/>
    <w:rsid w:val="7F967F89"/>
    <w:rsid w:val="7FC93EBA"/>
    <w:rsid w:val="7FDB18E9"/>
    <w:rsid w:val="7FF71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zh-TW" w:eastAsia="zh-TW" w:bidi="zh-TW"/>
    </w:rPr>
  </w:style>
  <w:style w:type="paragraph" w:styleId="2">
    <w:name w:val="heading 1"/>
    <w:basedOn w:val="1"/>
    <w:next w:val="1"/>
    <w:link w:val="51"/>
    <w:qFormat/>
    <w:uiPriority w:val="9"/>
    <w:pPr>
      <w:numPr>
        <w:ilvl w:val="0"/>
        <w:numId w:val="1"/>
      </w:numPr>
      <w:spacing w:before="63"/>
      <w:outlineLvl w:val="0"/>
    </w:pPr>
    <w:rPr>
      <w:rFonts w:ascii="黑体" w:hAnsi="黑体" w:eastAsia="黑体" w:cs="黑体"/>
      <w:b/>
      <w:sz w:val="36"/>
      <w:szCs w:val="36"/>
    </w:rPr>
  </w:style>
  <w:style w:type="paragraph" w:styleId="3">
    <w:name w:val="heading 2"/>
    <w:basedOn w:val="1"/>
    <w:next w:val="1"/>
    <w:link w:val="38"/>
    <w:unhideWhenUsed/>
    <w:qFormat/>
    <w:uiPriority w:val="9"/>
    <w:pPr>
      <w:keepNext/>
      <w:keepLines/>
      <w:spacing w:before="26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39"/>
    <w:unhideWhenUsed/>
    <w:qFormat/>
    <w:uiPriority w:val="9"/>
    <w:pPr>
      <w:keepNext/>
      <w:keepLines/>
      <w:numPr>
        <w:ilvl w:val="2"/>
        <w:numId w:val="1"/>
      </w:numPr>
      <w:spacing w:before="120" w:line="360" w:lineRule="auto"/>
      <w:outlineLvl w:val="2"/>
    </w:pPr>
    <w:rPr>
      <w:rFonts w:eastAsia="黑体"/>
      <w:b/>
      <w:bCs/>
      <w:sz w:val="28"/>
      <w:szCs w:val="32"/>
    </w:rPr>
  </w:style>
  <w:style w:type="paragraph" w:styleId="5">
    <w:name w:val="heading 4"/>
    <w:basedOn w:val="1"/>
    <w:next w:val="1"/>
    <w:link w:val="40"/>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1"/>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2"/>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3"/>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4"/>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5"/>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320"/>
    </w:pPr>
    <w:rPr>
      <w:rFonts w:asciiTheme="minorHAnsi" w:hAnsiTheme="minorHAnsi" w:cstheme="minorHAnsi"/>
      <w:sz w:val="18"/>
      <w:szCs w:val="18"/>
    </w:rPr>
  </w:style>
  <w:style w:type="paragraph" w:styleId="12">
    <w:name w:val="annotation text"/>
    <w:basedOn w:val="1"/>
    <w:link w:val="58"/>
    <w:semiHidden/>
    <w:unhideWhenUsed/>
    <w:qFormat/>
    <w:uiPriority w:val="99"/>
  </w:style>
  <w:style w:type="paragraph" w:styleId="13">
    <w:name w:val="Body Text"/>
    <w:basedOn w:val="1"/>
    <w:next w:val="1"/>
    <w:link w:val="49"/>
    <w:qFormat/>
    <w:uiPriority w:val="1"/>
    <w:pPr>
      <w:spacing w:before="50" w:beforeLines="50" w:line="312" w:lineRule="auto"/>
      <w:ind w:left="50" w:leftChars="50" w:right="50" w:rightChars="50" w:firstLine="200" w:firstLineChars="200"/>
      <w:jc w:val="both"/>
    </w:pPr>
    <w:rPr>
      <w:sz w:val="32"/>
      <w:szCs w:val="32"/>
    </w:rPr>
  </w:style>
  <w:style w:type="paragraph" w:styleId="14">
    <w:name w:val="toc 5"/>
    <w:basedOn w:val="1"/>
    <w:next w:val="1"/>
    <w:unhideWhenUsed/>
    <w:qFormat/>
    <w:uiPriority w:val="39"/>
    <w:pPr>
      <w:ind w:left="880"/>
    </w:pPr>
    <w:rPr>
      <w:rFonts w:asciiTheme="minorHAnsi" w:hAnsiTheme="minorHAnsi" w:cstheme="minorHAnsi"/>
      <w:sz w:val="18"/>
      <w:szCs w:val="18"/>
    </w:rPr>
  </w:style>
  <w:style w:type="paragraph" w:styleId="15">
    <w:name w:val="toc 3"/>
    <w:basedOn w:val="1"/>
    <w:next w:val="1"/>
    <w:unhideWhenUsed/>
    <w:qFormat/>
    <w:uiPriority w:val="39"/>
    <w:pPr>
      <w:ind w:left="440"/>
    </w:pPr>
    <w:rPr>
      <w:rFonts w:asciiTheme="minorHAnsi" w:hAnsiTheme="minorHAnsi" w:cstheme="minorHAnsi"/>
      <w:i/>
      <w:iCs/>
      <w:sz w:val="20"/>
      <w:szCs w:val="20"/>
    </w:rPr>
  </w:style>
  <w:style w:type="paragraph" w:styleId="16">
    <w:name w:val="toc 8"/>
    <w:basedOn w:val="1"/>
    <w:next w:val="1"/>
    <w:unhideWhenUsed/>
    <w:qFormat/>
    <w:uiPriority w:val="39"/>
    <w:pPr>
      <w:ind w:left="1540"/>
    </w:pPr>
    <w:rPr>
      <w:rFonts w:asciiTheme="minorHAnsi" w:hAnsiTheme="minorHAnsi" w:cstheme="minorHAnsi"/>
      <w:sz w:val="18"/>
      <w:szCs w:val="18"/>
    </w:rPr>
  </w:style>
  <w:style w:type="paragraph" w:styleId="17">
    <w:name w:val="footer"/>
    <w:basedOn w:val="1"/>
    <w:link w:val="37"/>
    <w:unhideWhenUsed/>
    <w:qFormat/>
    <w:uiPriority w:val="99"/>
    <w:pPr>
      <w:tabs>
        <w:tab w:val="center" w:pos="4153"/>
        <w:tab w:val="right" w:pos="8306"/>
      </w:tabs>
      <w:snapToGrid w:val="0"/>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pPr>
    <w:rPr>
      <w:rFonts w:asciiTheme="minorHAnsi" w:hAnsiTheme="minorHAnsi" w:cstheme="minorHAnsi"/>
      <w:b/>
      <w:bCs/>
      <w:caps/>
      <w:sz w:val="20"/>
      <w:szCs w:val="20"/>
    </w:rPr>
  </w:style>
  <w:style w:type="paragraph" w:styleId="20">
    <w:name w:val="toc 4"/>
    <w:basedOn w:val="1"/>
    <w:next w:val="1"/>
    <w:unhideWhenUsed/>
    <w:qFormat/>
    <w:uiPriority w:val="39"/>
    <w:pPr>
      <w:ind w:left="660"/>
    </w:pPr>
    <w:rPr>
      <w:rFonts w:asciiTheme="minorHAnsi" w:hAnsiTheme="minorHAnsi" w:cstheme="minorHAnsi"/>
      <w:sz w:val="18"/>
      <w:szCs w:val="18"/>
    </w:rPr>
  </w:style>
  <w:style w:type="paragraph" w:styleId="21">
    <w:name w:val="toc 6"/>
    <w:basedOn w:val="1"/>
    <w:next w:val="1"/>
    <w:unhideWhenUsed/>
    <w:qFormat/>
    <w:uiPriority w:val="39"/>
    <w:pPr>
      <w:ind w:left="1100"/>
    </w:pPr>
    <w:rPr>
      <w:rFonts w:asciiTheme="minorHAnsi" w:hAnsiTheme="minorHAnsi" w:cstheme="minorHAnsi"/>
      <w:sz w:val="18"/>
      <w:szCs w:val="18"/>
    </w:rPr>
  </w:style>
  <w:style w:type="paragraph" w:styleId="22">
    <w:name w:val="toc 2"/>
    <w:basedOn w:val="1"/>
    <w:next w:val="1"/>
    <w:qFormat/>
    <w:uiPriority w:val="39"/>
    <w:pPr>
      <w:ind w:left="220"/>
    </w:pPr>
    <w:rPr>
      <w:rFonts w:asciiTheme="minorHAnsi" w:hAnsiTheme="minorHAnsi" w:cstheme="minorHAnsi"/>
      <w:smallCaps/>
      <w:sz w:val="20"/>
      <w:szCs w:val="20"/>
    </w:rPr>
  </w:style>
  <w:style w:type="paragraph" w:styleId="23">
    <w:name w:val="toc 9"/>
    <w:basedOn w:val="1"/>
    <w:next w:val="1"/>
    <w:unhideWhenUsed/>
    <w:qFormat/>
    <w:uiPriority w:val="39"/>
    <w:pPr>
      <w:ind w:left="1760"/>
    </w:pPr>
    <w:rPr>
      <w:rFonts w:asciiTheme="minorHAnsi" w:hAnsiTheme="minorHAnsi" w:cstheme="minorHAnsi"/>
      <w:sz w:val="18"/>
      <w:szCs w:val="18"/>
    </w:rPr>
  </w:style>
  <w:style w:type="paragraph" w:styleId="24">
    <w:name w:val="Normal (Web)"/>
    <w:basedOn w:val="1"/>
    <w:semiHidden/>
    <w:unhideWhenUsed/>
    <w:qFormat/>
    <w:uiPriority w:val="99"/>
    <w:pPr>
      <w:spacing w:beforeAutospacing="1" w:afterAutospacing="1"/>
    </w:pPr>
    <w:rPr>
      <w:rFonts w:cs="Times New Roman"/>
      <w:sz w:val="24"/>
      <w:lang w:val="en-US" w:eastAsia="zh-CN" w:bidi="ar-SA"/>
    </w:rPr>
  </w:style>
  <w:style w:type="paragraph" w:styleId="25">
    <w:name w:val="annotation subject"/>
    <w:basedOn w:val="12"/>
    <w:next w:val="12"/>
    <w:link w:val="59"/>
    <w:semiHidden/>
    <w:unhideWhenUsed/>
    <w:qFormat/>
    <w:uiPriority w:val="99"/>
    <w:rPr>
      <w:b/>
      <w:bCs/>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semiHidden/>
    <w:unhideWhenUsed/>
    <w:qFormat/>
    <w:uiPriority w:val="99"/>
    <w:rPr>
      <w:color w:val="800080" w:themeColor="followedHyperlink"/>
      <w:u w:val="single"/>
      <w14:textFill>
        <w14:solidFill>
          <w14:schemeClr w14:val="folHlink"/>
        </w14:solidFill>
      </w14:textFill>
    </w:rPr>
  </w:style>
  <w:style w:type="character" w:styleId="30">
    <w:name w:val="Emphasis"/>
    <w:basedOn w:val="28"/>
    <w:qFormat/>
    <w:uiPriority w:val="20"/>
    <w:rPr>
      <w:i/>
    </w:rPr>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basedOn w:val="28"/>
    <w:semiHidden/>
    <w:unhideWhenUsed/>
    <w:qFormat/>
    <w:uiPriority w:val="99"/>
    <w:rPr>
      <w:sz w:val="21"/>
      <w:szCs w:val="21"/>
    </w:rPr>
  </w:style>
  <w:style w:type="table" w:customStyle="1" w:styleId="33">
    <w:name w:val="Table Normal"/>
    <w:semiHidden/>
    <w:unhideWhenUsed/>
    <w:qFormat/>
    <w:uiPriority w:val="2"/>
    <w:tblPr>
      <w:tblCellMar>
        <w:top w:w="0" w:type="dxa"/>
        <w:left w:w="0" w:type="dxa"/>
        <w:bottom w:w="0" w:type="dxa"/>
        <w:right w:w="0" w:type="dxa"/>
      </w:tblCellMar>
    </w:tblPr>
  </w:style>
  <w:style w:type="paragraph" w:styleId="34">
    <w:name w:val="List Paragraph"/>
    <w:basedOn w:val="1"/>
    <w:qFormat/>
    <w:uiPriority w:val="34"/>
  </w:style>
  <w:style w:type="paragraph" w:customStyle="1" w:styleId="35">
    <w:name w:val="Table Paragraph"/>
    <w:basedOn w:val="1"/>
    <w:qFormat/>
    <w:uiPriority w:val="1"/>
  </w:style>
  <w:style w:type="character" w:customStyle="1" w:styleId="36">
    <w:name w:val="页眉 字符"/>
    <w:basedOn w:val="28"/>
    <w:link w:val="18"/>
    <w:qFormat/>
    <w:uiPriority w:val="99"/>
    <w:rPr>
      <w:rFonts w:ascii="仿宋" w:hAnsi="仿宋" w:eastAsia="仿宋" w:cs="仿宋"/>
      <w:sz w:val="18"/>
      <w:szCs w:val="18"/>
      <w:lang w:val="zh-TW" w:eastAsia="zh-TW" w:bidi="zh-TW"/>
    </w:rPr>
  </w:style>
  <w:style w:type="character" w:customStyle="1" w:styleId="37">
    <w:name w:val="页脚 字符"/>
    <w:basedOn w:val="28"/>
    <w:link w:val="17"/>
    <w:qFormat/>
    <w:uiPriority w:val="99"/>
    <w:rPr>
      <w:rFonts w:ascii="仿宋" w:hAnsi="仿宋" w:eastAsia="仿宋" w:cs="仿宋"/>
      <w:sz w:val="18"/>
      <w:szCs w:val="18"/>
      <w:lang w:val="zh-TW" w:eastAsia="zh-TW" w:bidi="zh-TW"/>
    </w:rPr>
  </w:style>
  <w:style w:type="character" w:customStyle="1" w:styleId="38">
    <w:name w:val="标题 2 字符"/>
    <w:basedOn w:val="28"/>
    <w:link w:val="3"/>
    <w:qFormat/>
    <w:uiPriority w:val="9"/>
    <w:rPr>
      <w:rFonts w:asciiTheme="majorHAnsi" w:hAnsiTheme="majorHAnsi" w:eastAsiaTheme="majorEastAsia" w:cstheme="majorBidi"/>
      <w:b/>
      <w:bCs/>
      <w:sz w:val="32"/>
      <w:szCs w:val="32"/>
      <w:lang w:val="zh-TW" w:eastAsia="zh-TW" w:bidi="zh-TW"/>
    </w:rPr>
  </w:style>
  <w:style w:type="character" w:customStyle="1" w:styleId="39">
    <w:name w:val="标题 3 字符"/>
    <w:basedOn w:val="28"/>
    <w:link w:val="4"/>
    <w:qFormat/>
    <w:uiPriority w:val="9"/>
    <w:rPr>
      <w:rFonts w:ascii="仿宋" w:hAnsi="仿宋" w:eastAsia="黑体" w:cs="仿宋"/>
      <w:b/>
      <w:bCs/>
      <w:sz w:val="28"/>
      <w:szCs w:val="32"/>
      <w:lang w:val="zh-TW" w:eastAsia="zh-TW" w:bidi="zh-TW"/>
    </w:rPr>
  </w:style>
  <w:style w:type="character" w:customStyle="1" w:styleId="40">
    <w:name w:val="标题 4 字符"/>
    <w:basedOn w:val="28"/>
    <w:link w:val="5"/>
    <w:qFormat/>
    <w:uiPriority w:val="9"/>
    <w:rPr>
      <w:rFonts w:asciiTheme="majorHAnsi" w:hAnsiTheme="majorHAnsi" w:eastAsiaTheme="majorEastAsia" w:cstheme="majorBidi"/>
      <w:b/>
      <w:bCs/>
      <w:sz w:val="28"/>
      <w:szCs w:val="28"/>
      <w:lang w:val="zh-TW" w:eastAsia="zh-TW" w:bidi="zh-TW"/>
    </w:rPr>
  </w:style>
  <w:style w:type="character" w:customStyle="1" w:styleId="41">
    <w:name w:val="标题 5 字符"/>
    <w:basedOn w:val="28"/>
    <w:link w:val="6"/>
    <w:qFormat/>
    <w:uiPriority w:val="9"/>
    <w:rPr>
      <w:rFonts w:ascii="仿宋" w:hAnsi="仿宋" w:eastAsia="仿宋" w:cs="仿宋"/>
      <w:b/>
      <w:bCs/>
      <w:sz w:val="28"/>
      <w:szCs w:val="28"/>
      <w:lang w:val="zh-TW" w:eastAsia="zh-TW" w:bidi="zh-TW"/>
    </w:rPr>
  </w:style>
  <w:style w:type="character" w:customStyle="1" w:styleId="42">
    <w:name w:val="标题 6 字符"/>
    <w:basedOn w:val="28"/>
    <w:link w:val="7"/>
    <w:semiHidden/>
    <w:qFormat/>
    <w:uiPriority w:val="9"/>
    <w:rPr>
      <w:rFonts w:asciiTheme="majorHAnsi" w:hAnsiTheme="majorHAnsi" w:eastAsiaTheme="majorEastAsia" w:cstheme="majorBidi"/>
      <w:b/>
      <w:bCs/>
      <w:sz w:val="24"/>
      <w:szCs w:val="24"/>
      <w:lang w:val="zh-TW" w:eastAsia="zh-TW" w:bidi="zh-TW"/>
    </w:rPr>
  </w:style>
  <w:style w:type="character" w:customStyle="1" w:styleId="43">
    <w:name w:val="标题 7 字符"/>
    <w:basedOn w:val="28"/>
    <w:link w:val="8"/>
    <w:semiHidden/>
    <w:qFormat/>
    <w:uiPriority w:val="9"/>
    <w:rPr>
      <w:rFonts w:ascii="仿宋" w:hAnsi="仿宋" w:eastAsia="仿宋" w:cs="仿宋"/>
      <w:b/>
      <w:bCs/>
      <w:sz w:val="24"/>
      <w:szCs w:val="24"/>
      <w:lang w:val="zh-TW" w:eastAsia="zh-TW" w:bidi="zh-TW"/>
    </w:rPr>
  </w:style>
  <w:style w:type="character" w:customStyle="1" w:styleId="44">
    <w:name w:val="标题 8 字符"/>
    <w:basedOn w:val="28"/>
    <w:link w:val="9"/>
    <w:semiHidden/>
    <w:qFormat/>
    <w:uiPriority w:val="9"/>
    <w:rPr>
      <w:rFonts w:asciiTheme="majorHAnsi" w:hAnsiTheme="majorHAnsi" w:eastAsiaTheme="majorEastAsia" w:cstheme="majorBidi"/>
      <w:sz w:val="24"/>
      <w:szCs w:val="24"/>
      <w:lang w:val="zh-TW" w:eastAsia="zh-TW" w:bidi="zh-TW"/>
    </w:rPr>
  </w:style>
  <w:style w:type="character" w:customStyle="1" w:styleId="45">
    <w:name w:val="标题 9 字符"/>
    <w:basedOn w:val="28"/>
    <w:link w:val="10"/>
    <w:semiHidden/>
    <w:qFormat/>
    <w:uiPriority w:val="9"/>
    <w:rPr>
      <w:rFonts w:asciiTheme="majorHAnsi" w:hAnsiTheme="majorHAnsi" w:eastAsiaTheme="majorEastAsia" w:cstheme="majorBidi"/>
      <w:sz w:val="21"/>
      <w:szCs w:val="21"/>
      <w:lang w:val="zh-TW" w:eastAsia="zh-TW" w:bidi="zh-TW"/>
    </w:rPr>
  </w:style>
  <w:style w:type="paragraph" w:customStyle="1" w:styleId="46">
    <w:name w:val="样式1"/>
    <w:basedOn w:val="4"/>
    <w:link w:val="48"/>
    <w:qFormat/>
    <w:uiPriority w:val="0"/>
    <w:pPr>
      <w:numPr>
        <w:ilvl w:val="0"/>
        <w:numId w:val="2"/>
      </w:numPr>
      <w:spacing w:line="312" w:lineRule="auto"/>
    </w:pPr>
  </w:style>
  <w:style w:type="paragraph" w:customStyle="1" w:styleId="47">
    <w:name w:val="样式2"/>
    <w:basedOn w:val="4"/>
    <w:link w:val="50"/>
    <w:qFormat/>
    <w:uiPriority w:val="0"/>
    <w:pPr>
      <w:numPr>
        <w:ilvl w:val="0"/>
        <w:numId w:val="3"/>
      </w:numPr>
    </w:pPr>
  </w:style>
  <w:style w:type="character" w:customStyle="1" w:styleId="48">
    <w:name w:val="样式1 字符"/>
    <w:basedOn w:val="39"/>
    <w:link w:val="46"/>
    <w:qFormat/>
    <w:uiPriority w:val="0"/>
    <w:rPr>
      <w:rFonts w:ascii="仿宋" w:hAnsi="仿宋" w:eastAsia="黑体" w:cs="仿宋"/>
      <w:sz w:val="28"/>
      <w:szCs w:val="32"/>
      <w:lang w:val="zh-TW" w:eastAsia="zh-TW" w:bidi="zh-TW"/>
    </w:rPr>
  </w:style>
  <w:style w:type="character" w:customStyle="1" w:styleId="49">
    <w:name w:val="正文文本 字符"/>
    <w:basedOn w:val="28"/>
    <w:link w:val="13"/>
    <w:qFormat/>
    <w:uiPriority w:val="1"/>
    <w:rPr>
      <w:rFonts w:ascii="仿宋" w:hAnsi="仿宋" w:eastAsia="仿宋" w:cs="仿宋"/>
      <w:sz w:val="32"/>
      <w:szCs w:val="32"/>
      <w:lang w:val="zh-TW" w:eastAsia="zh-TW" w:bidi="zh-TW"/>
    </w:rPr>
  </w:style>
  <w:style w:type="character" w:customStyle="1" w:styleId="50">
    <w:name w:val="样式2 字符"/>
    <w:basedOn w:val="39"/>
    <w:link w:val="47"/>
    <w:qFormat/>
    <w:uiPriority w:val="0"/>
    <w:rPr>
      <w:rFonts w:ascii="仿宋" w:hAnsi="仿宋" w:eastAsia="黑体" w:cs="仿宋"/>
      <w:sz w:val="28"/>
      <w:szCs w:val="32"/>
      <w:lang w:val="zh-TW" w:eastAsia="zh-TW" w:bidi="zh-TW"/>
    </w:rPr>
  </w:style>
  <w:style w:type="character" w:customStyle="1" w:styleId="51">
    <w:name w:val="标题 1 字符"/>
    <w:basedOn w:val="28"/>
    <w:link w:val="2"/>
    <w:qFormat/>
    <w:uiPriority w:val="9"/>
    <w:rPr>
      <w:rFonts w:ascii="黑体" w:hAnsi="黑体" w:eastAsia="黑体" w:cs="黑体"/>
      <w:b/>
      <w:sz w:val="36"/>
      <w:szCs w:val="36"/>
      <w:lang w:val="zh-TW" w:eastAsia="zh-TW" w:bidi="zh-TW"/>
    </w:rPr>
  </w:style>
  <w:style w:type="paragraph" w:customStyle="1" w:styleId="52">
    <w:name w:val="专栏标题"/>
    <w:basedOn w:val="1"/>
    <w:link w:val="54"/>
    <w:qFormat/>
    <w:uiPriority w:val="0"/>
    <w:pPr>
      <w:autoSpaceDE/>
      <w:autoSpaceDN/>
      <w:spacing w:before="48" w:after="20" w:afterLines="20"/>
      <w:jc w:val="center"/>
    </w:pPr>
    <w:rPr>
      <w:rFonts w:ascii="Times New Roman" w:hAnsi="Times New Roman" w:eastAsia="黑体" w:cs="Times New Roman"/>
      <w:bCs/>
      <w:sz w:val="30"/>
      <w:szCs w:val="28"/>
      <w:lang w:val="en-US" w:eastAsia="zh-CN" w:bidi="ar-SA"/>
    </w:rPr>
  </w:style>
  <w:style w:type="paragraph" w:customStyle="1" w:styleId="53">
    <w:name w:val="专栏正文"/>
    <w:basedOn w:val="1"/>
    <w:link w:val="55"/>
    <w:qFormat/>
    <w:uiPriority w:val="0"/>
    <w:pPr>
      <w:autoSpaceDE/>
      <w:autoSpaceDN/>
      <w:adjustRightInd w:val="0"/>
      <w:snapToGrid w:val="0"/>
      <w:spacing w:before="48" w:line="500" w:lineRule="exact"/>
      <w:ind w:firstLine="200" w:firstLineChars="200"/>
      <w:jc w:val="both"/>
    </w:pPr>
    <w:rPr>
      <w:rFonts w:ascii="Times New Roman" w:hAnsi="Times New Roman" w:eastAsia="仿宋_GB2312" w:cs="Times New Roman"/>
      <w:sz w:val="24"/>
      <w:szCs w:val="28"/>
      <w:lang w:val="en-US" w:eastAsia="zh-CN" w:bidi="ar-SA"/>
    </w:rPr>
  </w:style>
  <w:style w:type="character" w:customStyle="1" w:styleId="54">
    <w:name w:val="专栏标题 字符"/>
    <w:basedOn w:val="28"/>
    <w:link w:val="52"/>
    <w:qFormat/>
    <w:uiPriority w:val="0"/>
    <w:rPr>
      <w:rFonts w:ascii="Times New Roman" w:hAnsi="Times New Roman" w:eastAsia="黑体" w:cs="Times New Roman"/>
      <w:bCs/>
      <w:sz w:val="30"/>
      <w:szCs w:val="28"/>
      <w:lang w:eastAsia="zh-CN"/>
    </w:rPr>
  </w:style>
  <w:style w:type="character" w:customStyle="1" w:styleId="55">
    <w:name w:val="专栏正文 字符"/>
    <w:basedOn w:val="28"/>
    <w:link w:val="53"/>
    <w:qFormat/>
    <w:uiPriority w:val="0"/>
    <w:rPr>
      <w:rFonts w:ascii="Times New Roman" w:hAnsi="Times New Roman" w:eastAsia="仿宋_GB2312" w:cs="Times New Roman"/>
      <w:sz w:val="24"/>
      <w:szCs w:val="28"/>
      <w:lang w:eastAsia="zh-CN"/>
    </w:rPr>
  </w:style>
  <w:style w:type="character" w:customStyle="1" w:styleId="56">
    <w:name w:val="font21"/>
    <w:basedOn w:val="28"/>
    <w:qFormat/>
    <w:uiPriority w:val="0"/>
    <w:rPr>
      <w:rFonts w:hint="eastAsia" w:ascii="宋体" w:hAnsi="宋体" w:eastAsia="宋体"/>
      <w:color w:val="000000"/>
      <w:sz w:val="21"/>
      <w:szCs w:val="21"/>
      <w:u w:val="none"/>
    </w:rPr>
  </w:style>
  <w:style w:type="character" w:customStyle="1" w:styleId="57">
    <w:name w:val="font11"/>
    <w:basedOn w:val="28"/>
    <w:qFormat/>
    <w:uiPriority w:val="0"/>
    <w:rPr>
      <w:rFonts w:hint="default" w:ascii="Times New Roman" w:hAnsi="Times New Roman" w:cs="Times New Roman"/>
      <w:color w:val="000000"/>
      <w:sz w:val="21"/>
      <w:szCs w:val="21"/>
      <w:u w:val="none"/>
    </w:rPr>
  </w:style>
  <w:style w:type="character" w:customStyle="1" w:styleId="58">
    <w:name w:val="批注文字 字符"/>
    <w:basedOn w:val="28"/>
    <w:link w:val="12"/>
    <w:semiHidden/>
    <w:qFormat/>
    <w:uiPriority w:val="99"/>
    <w:rPr>
      <w:rFonts w:ascii="仿宋" w:hAnsi="仿宋" w:eastAsia="仿宋" w:cs="仿宋"/>
      <w:sz w:val="22"/>
      <w:szCs w:val="22"/>
      <w:lang w:val="zh-TW" w:eastAsia="zh-TW" w:bidi="zh-TW"/>
    </w:rPr>
  </w:style>
  <w:style w:type="character" w:customStyle="1" w:styleId="59">
    <w:name w:val="批注主题 字符"/>
    <w:basedOn w:val="58"/>
    <w:link w:val="25"/>
    <w:semiHidden/>
    <w:qFormat/>
    <w:uiPriority w:val="99"/>
    <w:rPr>
      <w:rFonts w:ascii="仿宋" w:hAnsi="仿宋" w:eastAsia="仿宋" w:cs="仿宋"/>
      <w:b/>
      <w:bCs/>
      <w:sz w:val="22"/>
      <w:szCs w:val="22"/>
      <w:lang w:val="zh-TW" w:eastAsia="zh-TW" w:bidi="zh-TW"/>
    </w:rPr>
  </w:style>
  <w:style w:type="character" w:customStyle="1" w:styleId="60">
    <w:name w:val="专栏正文 Char"/>
    <w:qFormat/>
    <w:uiPriority w:val="0"/>
    <w:rPr>
      <w:rFonts w:ascii="方正仿宋_GB2312" w:hAnsi="方正仿宋_GB2312" w:eastAsia="方正仿宋_GB2312" w:cs="方正仿宋_GB2312"/>
      <w:kern w:val="2"/>
      <w:sz w:val="28"/>
      <w:szCs w:val="32"/>
    </w:rPr>
  </w:style>
  <w:style w:type="paragraph" w:customStyle="1" w:styleId="61">
    <w:name w:val="专栏"/>
    <w:qFormat/>
    <w:uiPriority w:val="0"/>
    <w:pPr>
      <w:autoSpaceDE w:val="0"/>
      <w:autoSpaceDN w:val="0"/>
      <w:ind w:firstLine="560"/>
    </w:pPr>
    <w:rPr>
      <w:rFonts w:ascii="Times New Roman" w:hAnsi="Times New Roman" w:eastAsia="仿宋_GB2312" w:cs="仿宋"/>
      <w:sz w:val="24"/>
      <w:szCs w:val="22"/>
      <w:lang w:val="zh-TW" w:eastAsia="zh-TW" w:bidi="zh-TW"/>
    </w:rPr>
  </w:style>
  <w:style w:type="paragraph" w:customStyle="1" w:styleId="62">
    <w:name w:val="0-专栏"/>
    <w:basedOn w:val="1"/>
    <w:qFormat/>
    <w:uiPriority w:val="0"/>
    <w:pPr>
      <w:ind w:firstLine="562"/>
    </w:pPr>
    <w:rPr>
      <w:b/>
      <w:sz w:val="28"/>
      <w:szCs w:val="28"/>
    </w:rPr>
  </w:style>
  <w:style w:type="paragraph" w:customStyle="1" w:styleId="63">
    <w:name w:val="表格"/>
    <w:qFormat/>
    <w:uiPriority w:val="0"/>
    <w:pPr>
      <w:jc w:val="center"/>
    </w:pPr>
    <w:rPr>
      <w:rFonts w:ascii="Times New Roman" w:hAnsi="Times New Roman" w:eastAsia="仿宋_GB2312" w:cs="仿宋"/>
      <w:sz w:val="21"/>
      <w:szCs w:val="22"/>
      <w:lang w:val="zh-TW" w:eastAsia="zh-TW" w:bidi="zh-TW"/>
    </w:rPr>
  </w:style>
  <w:style w:type="paragraph" w:customStyle="1" w:styleId="64">
    <w:name w:val="Table Text"/>
    <w:basedOn w:val="1"/>
    <w:semiHidden/>
    <w:qFormat/>
    <w:uiPriority w:val="0"/>
    <w:rPr>
      <w:rFonts w:ascii="Arial" w:hAnsi="Arial" w:eastAsia="Arial" w:cs="Arial"/>
      <w:sz w:val="21"/>
      <w:szCs w:val="21"/>
      <w:lang w:val="en-US" w:eastAsia="en-US" w:bidi="ar-SA"/>
    </w:rPr>
  </w:style>
  <w:style w:type="paragraph" w:customStyle="1" w:styleId="65">
    <w:name w:val="修订1"/>
    <w:hidden/>
    <w:unhideWhenUsed/>
    <w:qFormat/>
    <w:uiPriority w:val="99"/>
    <w:rPr>
      <w:rFonts w:ascii="仿宋" w:hAnsi="仿宋" w:eastAsia="仿宋" w:cs="仿宋"/>
      <w:sz w:val="22"/>
      <w:szCs w:val="22"/>
      <w:lang w:val="zh-TW" w:eastAsia="zh-TW" w:bidi="zh-TW"/>
    </w:rPr>
  </w:style>
  <w:style w:type="paragraph" w:customStyle="1" w:styleId="66">
    <w:name w:val="修订2"/>
    <w:hidden/>
    <w:unhideWhenUsed/>
    <w:qFormat/>
    <w:uiPriority w:val="99"/>
    <w:rPr>
      <w:rFonts w:ascii="仿宋" w:hAnsi="仿宋" w:eastAsia="仿宋" w:cs="仿宋"/>
      <w:sz w:val="22"/>
      <w:szCs w:val="22"/>
      <w:lang w:val="zh-TW" w:eastAsia="zh-TW" w:bidi="zh-TW"/>
    </w:rPr>
  </w:style>
  <w:style w:type="character" w:customStyle="1" w:styleId="67">
    <w:name w:val="font31"/>
    <w:basedOn w:val="2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23A3D-9A44-4B72-B516-D739887475C8}">
  <ds:schemaRefs/>
</ds:datastoreItem>
</file>

<file path=docProps/app.xml><?xml version="1.0" encoding="utf-8"?>
<Properties xmlns="http://schemas.openxmlformats.org/officeDocument/2006/extended-properties" xmlns:vt="http://schemas.openxmlformats.org/officeDocument/2006/docPropsVTypes">
  <Template>Normal.dotm</Template>
  <Pages>67</Pages>
  <Words>6955</Words>
  <Characters>7269</Characters>
  <Lines>310</Lines>
  <Paragraphs>87</Paragraphs>
  <TotalTime>0</TotalTime>
  <ScaleCrop>false</ScaleCrop>
  <LinksUpToDate>false</LinksUpToDate>
  <CharactersWithSpaces>7444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2025-10-26T00:34:00Z</dcterms:created>
  <dc:creator>ZYP</dc:creator>
  <cp:lastModifiedBy>换装的卡片</cp:lastModifiedBy>
  <cp:lastPrinted>2025-10-29T07:26:00Z</cp:lastPrinted>
  <dcterms:modified xsi:type="dcterms:W3CDTF">2025-12-05T02:55:08Z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Microsoft® Word 2021</vt:lpwstr>
  </property>
  <property fmtid="{D5CDD505-2E9C-101B-9397-08002B2CF9AE}" pid="4" name="LastSaved">
    <vt:filetime>2023-08-07T00:00:00Z</vt:filetime>
  </property>
  <property fmtid="{D5CDD505-2E9C-101B-9397-08002B2CF9AE}" pid="5" name="KSOProductBuildVer">
    <vt:lpwstr>2052-12.1.0.24034</vt:lpwstr>
  </property>
  <property fmtid="{D5CDD505-2E9C-101B-9397-08002B2CF9AE}" pid="6" name="ICV">
    <vt:lpwstr>CA42677C6D8B4C9FB1B26F825A23B5FA_13</vt:lpwstr>
  </property>
  <property fmtid="{D5CDD505-2E9C-101B-9397-08002B2CF9AE}" pid="7" name="KSOTemplateDocerSaveRecord">
    <vt:lpwstr>eyJoZGlkIjoiZDZhMmYzMzA1MjIzNjQyZTczZGI2MjFkYjM2Mjk5ODUiLCJ1c2VySWQiOiIzMTAxMDA2NTEifQ==</vt:lpwstr>
  </property>
</Properties>
</file>