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3"/>
        <w:spacing w:before="120"/>
        <w:ind w:left="0" w:leftChars="0" w:right="110" w:firstLine="426" w:firstLineChars="213"/>
        <w:rPr>
          <w:rFonts w:hint="eastAsia" w:ascii="Times New Roman" w:eastAsia="仿宋_GB2312"/>
          <w:color w:val="000000" w:themeColor="text1"/>
          <w:sz w:val="20"/>
          <w:highlight w:val="none"/>
          <w14:textFill>
            <w14:solidFill>
              <w14:schemeClr w14:val="tx1"/>
            </w14:solidFill>
          </w14:textFill>
        </w:rPr>
      </w:pPr>
      <w:r>
        <w:rPr>
          <w:rFonts w:ascii="Times New Roman" w:eastAsia="仿宋_GB2312"/>
          <w:color w:val="000000" w:themeColor="text1"/>
          <w:sz w:val="20"/>
          <w:highlight w:val="none"/>
          <w:lang w:val="en-US" w:eastAsia="zh-CN" w:bidi="ar-SA"/>
          <w14:textFill>
            <w14:solidFill>
              <w14:schemeClr w14:val="tx1"/>
            </w14:solidFill>
          </w14:textFill>
        </w:rPr>
        <w:drawing>
          <wp:inline distT="0" distB="0" distL="0" distR="0">
            <wp:extent cx="354965" cy="1563370"/>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png"/>
                    <pic:cNvPicPr>
                      <a:picLocks noChangeAspect="1"/>
                    </pic:cNvPicPr>
                  </pic:nvPicPr>
                  <pic:blipFill>
                    <a:blip r:embed="rId11" cstate="print"/>
                    <a:stretch>
                      <a:fillRect/>
                    </a:stretch>
                  </pic:blipFill>
                  <pic:spPr>
                    <a:xfrm>
                      <a:off x="0" y="0"/>
                      <a:ext cx="355231" cy="1563624"/>
                    </a:xfrm>
                    <a:prstGeom prst="rect">
                      <a:avLst/>
                    </a:prstGeom>
                  </pic:spPr>
                </pic:pic>
              </a:graphicData>
            </a:graphic>
          </wp:inline>
        </w:drawing>
      </w:r>
    </w:p>
    <w:p>
      <w:pPr>
        <w:spacing w:before="12"/>
        <w:ind w:right="297"/>
        <w:jc w:val="center"/>
        <w:rPr>
          <w:rFonts w:hint="eastAsia" w:ascii="方正小标宋_GBK" w:hAnsi="方正小标宋_GBK" w:eastAsia="方正小标宋_GBK" w:cs="方正小标宋_GBK"/>
          <w:b/>
          <w:color w:val="000000" w:themeColor="text1"/>
          <w:sz w:val="50"/>
          <w:highlight w:val="none"/>
          <w14:textFill>
            <w14:solidFill>
              <w14:schemeClr w14:val="tx1"/>
            </w14:solidFill>
          </w14:textFill>
        </w:rPr>
      </w:pPr>
      <w:r>
        <w:rPr>
          <w:rFonts w:hint="eastAsia" w:ascii="方正小标宋_GBK" w:hAnsi="方正小标宋_GBK" w:eastAsia="方正小标宋_GBK" w:cs="方正小标宋_GBK"/>
          <w:b/>
          <w:color w:val="000000" w:themeColor="text1"/>
          <w:sz w:val="50"/>
          <w:highlight w:val="none"/>
          <w:lang w:val="en-US" w:eastAsia="zh-CN"/>
          <w14:textFill>
            <w14:solidFill>
              <w14:schemeClr w14:val="tx1"/>
            </w14:solidFill>
          </w14:textFill>
        </w:rPr>
        <w:t>宿州</w:t>
      </w:r>
      <w:r>
        <w:rPr>
          <w:rFonts w:hint="eastAsia" w:ascii="方正小标宋_GBK" w:hAnsi="方正小标宋_GBK" w:eastAsia="方正小标宋_GBK" w:cs="方正小标宋_GBK"/>
          <w:b/>
          <w:color w:val="000000" w:themeColor="text1"/>
          <w:sz w:val="50"/>
          <w:highlight w:val="none"/>
          <w14:textFill>
            <w14:solidFill>
              <w14:schemeClr w14:val="tx1"/>
            </w14:solidFill>
          </w14:textFill>
        </w:rPr>
        <w:t>市</w:t>
      </w:r>
      <w:r>
        <w:rPr>
          <w:rFonts w:hint="eastAsia" w:ascii="方正小标宋_GBK" w:hAnsi="方正小标宋_GBK" w:eastAsia="方正小标宋_GBK" w:cs="方正小标宋_GBK"/>
          <w:b/>
          <w:color w:val="000000" w:themeColor="text1"/>
          <w:sz w:val="50"/>
          <w:highlight w:val="none"/>
          <w:lang w:val="en-US" w:eastAsia="zh-CN"/>
          <w14:textFill>
            <w14:solidFill>
              <w14:schemeClr w14:val="tx1"/>
            </w14:solidFill>
          </w14:textFill>
        </w:rPr>
        <w:t>萧</w:t>
      </w:r>
      <w:r>
        <w:rPr>
          <w:rFonts w:hint="eastAsia" w:ascii="方正小标宋_GBK" w:hAnsi="方正小标宋_GBK" w:eastAsia="方正小标宋_GBK" w:cs="方正小标宋_GBK"/>
          <w:b/>
          <w:color w:val="000000" w:themeColor="text1"/>
          <w:sz w:val="50"/>
          <w:highlight w:val="none"/>
          <w14:textFill>
            <w14:solidFill>
              <w14:schemeClr w14:val="tx1"/>
            </w14:solidFill>
          </w14:textFill>
        </w:rPr>
        <w:t>县</w:t>
      </w:r>
      <w:r>
        <w:rPr>
          <w:rFonts w:hint="eastAsia" w:ascii="方正小标宋_GBK" w:hAnsi="方正小标宋_GBK" w:eastAsia="方正小标宋_GBK" w:cs="方正小标宋_GBK"/>
          <w:b/>
          <w:color w:val="000000" w:themeColor="text1"/>
          <w:sz w:val="50"/>
          <w:highlight w:val="none"/>
          <w:lang w:val="en-US" w:eastAsia="zh-CN"/>
          <w14:textFill>
            <w14:solidFill>
              <w14:schemeClr w14:val="tx1"/>
            </w14:solidFill>
          </w14:textFill>
        </w:rPr>
        <w:t>龙城镇</w:t>
      </w:r>
      <w:r>
        <w:rPr>
          <w:rFonts w:hint="eastAsia" w:ascii="方正小标宋_GBK" w:hAnsi="方正小标宋_GBK" w:eastAsia="方正小标宋_GBK" w:cs="方正小标宋_GBK"/>
          <w:b/>
          <w:color w:val="000000" w:themeColor="text1"/>
          <w:sz w:val="50"/>
          <w:highlight w:val="none"/>
          <w14:textFill>
            <w14:solidFill>
              <w14:schemeClr w14:val="tx1"/>
            </w14:solidFill>
          </w14:textFill>
        </w:rPr>
        <w:t>国土空间总体规划</w:t>
      </w:r>
    </w:p>
    <w:p>
      <w:pPr>
        <w:spacing w:before="66"/>
        <w:ind w:right="297" w:firstLine="468" w:firstLineChars="213"/>
        <w:jc w:val="center"/>
        <w:rPr>
          <w:rFonts w:hint="eastAsia" w:ascii="方正小标宋_GBK" w:hAnsi="方正小标宋_GBK" w:eastAsia="方正小标宋_GBK" w:cs="方正小标宋_GBK"/>
          <w:b/>
          <w:color w:val="000000" w:themeColor="text1"/>
          <w:sz w:val="50"/>
          <w:highlight w:val="none"/>
          <w14:textFill>
            <w14:solidFill>
              <w14:schemeClr w14:val="tx1"/>
            </w14:solidFill>
          </w14:textFill>
        </w:rPr>
      </w:pPr>
      <w:r>
        <w:rPr>
          <w:rFonts w:hint="eastAsia" w:ascii="方正小标宋_GBK" w:hAnsi="方正小标宋_GBK" w:eastAsia="方正小标宋_GBK" w:cs="方正小标宋_GBK"/>
          <w:color w:val="000000" w:themeColor="text1"/>
          <w:highlight w:val="none"/>
          <w:lang w:val="en-US" w:eastAsia="zh-CN" w:bidi="ar-SA"/>
          <w14:textFill>
            <w14:solidFill>
              <w14:schemeClr w14:val="tx1"/>
            </w14:solidFill>
          </w14:textFill>
        </w:rPr>
        <w:drawing>
          <wp:anchor distT="0" distB="0" distL="0" distR="0" simplePos="0" relativeHeight="251659264" behindDoc="1" locked="0" layoutInCell="1" allowOverlap="1">
            <wp:simplePos x="0" y="0"/>
            <wp:positionH relativeFrom="page">
              <wp:posOffset>5036820</wp:posOffset>
            </wp:positionH>
            <wp:positionV relativeFrom="paragraph">
              <wp:posOffset>225425</wp:posOffset>
            </wp:positionV>
            <wp:extent cx="356870" cy="394970"/>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png"/>
                    <pic:cNvPicPr>
                      <a:picLocks noChangeAspect="1"/>
                    </pic:cNvPicPr>
                  </pic:nvPicPr>
                  <pic:blipFill>
                    <a:blip r:embed="rId12" cstate="print"/>
                    <a:stretch>
                      <a:fillRect/>
                    </a:stretch>
                  </pic:blipFill>
                  <pic:spPr>
                    <a:xfrm>
                      <a:off x="0" y="0"/>
                      <a:ext cx="356615" cy="394716"/>
                    </a:xfrm>
                    <a:prstGeom prst="rect">
                      <a:avLst/>
                    </a:prstGeom>
                  </pic:spPr>
                </pic:pic>
              </a:graphicData>
            </a:graphic>
          </wp:anchor>
        </w:drawing>
      </w:r>
      <w:r>
        <w:rPr>
          <w:rFonts w:hint="eastAsia" w:ascii="方正小标宋_GBK" w:hAnsi="方正小标宋_GBK" w:eastAsia="方正小标宋_GBK" w:cs="方正小标宋_GBK"/>
          <w:b/>
          <w:color w:val="000000" w:themeColor="text1"/>
          <w:sz w:val="50"/>
          <w:highlight w:val="none"/>
          <w14:textFill>
            <w14:solidFill>
              <w14:schemeClr w14:val="tx1"/>
            </w14:solidFill>
          </w14:textFill>
        </w:rPr>
        <w:t>（2021-2035 年）</w:t>
      </w:r>
    </w:p>
    <w:p>
      <w:pPr>
        <w:spacing w:line="734" w:lineRule="exact"/>
        <w:ind w:right="297"/>
        <w:jc w:val="center"/>
        <w:rPr>
          <w:rFonts w:hint="eastAsia" w:ascii="方正小标宋_GBK" w:hAnsi="方正小标宋_GBK" w:eastAsia="方正小标宋_GBK" w:cs="方正小标宋_GBK"/>
          <w:b/>
          <w:color w:val="000000" w:themeColor="text1"/>
          <w:sz w:val="36"/>
          <w:szCs w:val="36"/>
          <w:highlight w:val="none"/>
          <w14:textFill>
            <w14:solidFill>
              <w14:schemeClr w14:val="tx1"/>
            </w14:solidFill>
          </w14:textFill>
        </w:rPr>
      </w:pPr>
      <w:r>
        <w:rPr>
          <w:rFonts w:hint="eastAsia" w:ascii="方正小标宋_GBK" w:hAnsi="方正小标宋_GBK" w:eastAsia="方正小标宋_GBK" w:cs="方正小标宋_GBK"/>
          <w:b/>
          <w:color w:val="000000" w:themeColor="text1"/>
          <w:sz w:val="36"/>
          <w:szCs w:val="36"/>
          <w:highlight w:val="none"/>
          <w14:textFill>
            <w14:solidFill>
              <w14:schemeClr w14:val="tx1"/>
            </w14:solidFill>
          </w14:textFill>
        </w:rPr>
        <w:t>文 本</w:t>
      </w:r>
      <w:r>
        <w:rPr>
          <w:rFonts w:hint="eastAsia" w:ascii="方正小标宋_GBK" w:hAnsi="方正小标宋_GBK" w:eastAsia="方正小标宋_GBK" w:cs="方正小标宋_GBK"/>
          <w:b/>
          <w:color w:val="000000" w:themeColor="text1"/>
          <w:sz w:val="36"/>
          <w:szCs w:val="36"/>
          <w:highlight w:val="none"/>
          <w:lang w:eastAsia="zh-CN"/>
          <w14:textFill>
            <w14:solidFill>
              <w14:schemeClr w14:val="tx1"/>
            </w14:solidFill>
          </w14:textFill>
        </w:rPr>
        <w:t xml:space="preserve"> </w:t>
      </w:r>
      <w:r>
        <w:rPr>
          <w:rFonts w:hint="eastAsia" w:ascii="方正小标宋_GBK" w:hAnsi="方正小标宋_GBK" w:eastAsia="方正小标宋_GBK" w:cs="方正小标宋_GBK"/>
          <w:b/>
          <w:color w:val="000000" w:themeColor="text1"/>
          <w:sz w:val="36"/>
          <w:szCs w:val="36"/>
          <w:highlight w:val="none"/>
          <w14:textFill>
            <w14:solidFill>
              <w14:schemeClr w14:val="tx1"/>
            </w14:solidFill>
          </w14:textFill>
        </w:rPr>
        <w:t>·</w:t>
      </w:r>
      <w:r>
        <w:rPr>
          <w:rFonts w:hint="eastAsia" w:ascii="方正小标宋_GBK" w:hAnsi="方正小标宋_GBK" w:eastAsia="方正小标宋_GBK" w:cs="方正小标宋_GBK"/>
          <w:b/>
          <w:color w:val="000000" w:themeColor="text1"/>
          <w:sz w:val="36"/>
          <w:szCs w:val="36"/>
          <w:highlight w:val="none"/>
          <w:lang w:eastAsia="zh-CN"/>
          <w14:textFill>
            <w14:solidFill>
              <w14:schemeClr w14:val="tx1"/>
            </w14:solidFill>
          </w14:textFill>
        </w:rPr>
        <w:t xml:space="preserve"> </w:t>
      </w:r>
      <w:r>
        <w:rPr>
          <w:rFonts w:hint="eastAsia" w:ascii="方正小标宋_GBK" w:hAnsi="方正小标宋_GBK" w:eastAsia="方正小标宋_GBK" w:cs="方正小标宋_GBK"/>
          <w:b/>
          <w:color w:val="000000" w:themeColor="text1"/>
          <w:sz w:val="36"/>
          <w:szCs w:val="36"/>
          <w:highlight w:val="none"/>
          <w14:textFill>
            <w14:solidFill>
              <w14:schemeClr w14:val="tx1"/>
            </w14:solidFill>
          </w14:textFill>
        </w:rPr>
        <w:t>图</w:t>
      </w:r>
      <w:r>
        <w:rPr>
          <w:rFonts w:hint="eastAsia" w:ascii="方正小标宋_GBK" w:hAnsi="方正小标宋_GBK" w:eastAsia="方正小标宋_GBK" w:cs="方正小标宋_GBK"/>
          <w:b/>
          <w:color w:val="000000" w:themeColor="text1"/>
          <w:sz w:val="36"/>
          <w:szCs w:val="36"/>
          <w:highlight w:val="none"/>
          <w:lang w:eastAsia="zh-CN"/>
          <w14:textFill>
            <w14:solidFill>
              <w14:schemeClr w14:val="tx1"/>
            </w14:solidFill>
          </w14:textFill>
        </w:rPr>
        <w:t xml:space="preserve"> </w:t>
      </w:r>
      <w:r>
        <w:rPr>
          <w:rFonts w:hint="eastAsia" w:ascii="方正小标宋_GBK" w:hAnsi="方正小标宋_GBK" w:eastAsia="方正小标宋_GBK" w:cs="方正小标宋_GBK"/>
          <w:b/>
          <w:color w:val="000000" w:themeColor="text1"/>
          <w:sz w:val="36"/>
          <w:szCs w:val="36"/>
          <w:highlight w:val="none"/>
          <w14:textFill>
            <w14:solidFill>
              <w14:schemeClr w14:val="tx1"/>
            </w14:solidFill>
          </w14:textFill>
        </w:rPr>
        <w:t>册</w:t>
      </w:r>
    </w:p>
    <w:p>
      <w:pPr>
        <w:spacing w:line="734" w:lineRule="exact"/>
        <w:ind w:right="297"/>
        <w:jc w:val="center"/>
        <w:rPr>
          <w:rFonts w:hint="eastAsia" w:ascii="华光小标宋_CNKI" w:hAnsi="华光小标宋_CNKI" w:eastAsia="PMingLiU"/>
          <w:b/>
          <w:color w:val="000000" w:themeColor="text1"/>
          <w:sz w:val="40"/>
          <w:highlight w:val="none"/>
          <w14:textFill>
            <w14:solidFill>
              <w14:schemeClr w14:val="tx1"/>
            </w14:solidFill>
          </w14:textFill>
        </w:rPr>
      </w:pPr>
    </w:p>
    <w:p>
      <w:pPr>
        <w:spacing w:line="734" w:lineRule="exact"/>
        <w:ind w:right="297"/>
        <w:jc w:val="center"/>
        <w:rPr>
          <w:rFonts w:hint="eastAsia" w:eastAsia="仿宋_GB2312"/>
          <w:bCs/>
          <w:color w:val="000000" w:themeColor="text1"/>
          <w:sz w:val="36"/>
          <w:szCs w:val="21"/>
          <w:highlight w:val="none"/>
          <w14:textFill>
            <w14:solidFill>
              <w14:schemeClr w14:val="tx1"/>
            </w14:solidFill>
          </w14:textFill>
        </w:rPr>
      </w:pPr>
      <w:r>
        <w:rPr>
          <w:rFonts w:hint="eastAsia" w:eastAsia="仿宋_GB2312"/>
          <w:bCs/>
          <w:color w:val="000000" w:themeColor="text1"/>
          <w:sz w:val="36"/>
          <w:szCs w:val="21"/>
          <w:highlight w:val="none"/>
          <w14:textFill>
            <w14:solidFill>
              <w14:schemeClr w14:val="tx1"/>
            </w14:solidFill>
          </w14:textFill>
        </w:rPr>
        <w:t>（</w:t>
      </w:r>
      <w:r>
        <w:rPr>
          <w:rFonts w:hint="eastAsia" w:eastAsia="仿宋_GB2312"/>
          <w:bCs/>
          <w:color w:val="000000" w:themeColor="text1"/>
          <w:sz w:val="36"/>
          <w:szCs w:val="21"/>
          <w:highlight w:val="none"/>
          <w:lang w:val="en-US" w:eastAsia="zh-CN"/>
          <w14:textFill>
            <w14:solidFill>
              <w14:schemeClr w14:val="tx1"/>
            </w14:solidFill>
          </w14:textFill>
        </w:rPr>
        <w:t>公示</w:t>
      </w:r>
      <w:r>
        <w:rPr>
          <w:rFonts w:hint="eastAsia" w:eastAsia="仿宋_GB2312"/>
          <w:bCs/>
          <w:color w:val="000000" w:themeColor="text1"/>
          <w:sz w:val="36"/>
          <w:szCs w:val="21"/>
          <w:highlight w:val="none"/>
          <w14:textFill>
            <w14:solidFill>
              <w14:schemeClr w14:val="tx1"/>
            </w14:solidFill>
          </w14:textFill>
        </w:rPr>
        <w:t>稿）</w:t>
      </w:r>
    </w:p>
    <w:p>
      <w:pPr>
        <w:pStyle w:val="13"/>
        <w:spacing w:before="120"/>
        <w:ind w:left="0" w:leftChars="0" w:right="110" w:firstLine="0" w:firstLineChars="0"/>
        <w:rPr>
          <w:rFonts w:hint="eastAsia" w:ascii="微软雅黑" w:eastAsia="PMingLiU"/>
          <w:b/>
          <w:color w:val="000000" w:themeColor="text1"/>
          <w:sz w:val="52"/>
          <w:highlight w:val="none"/>
          <w14:textFill>
            <w14:solidFill>
              <w14:schemeClr w14:val="tx1"/>
            </w14:solidFill>
          </w14:textFill>
        </w:rPr>
      </w:pPr>
    </w:p>
    <w:p>
      <w:pPr>
        <w:pStyle w:val="13"/>
        <w:spacing w:before="120"/>
        <w:ind w:left="0" w:leftChars="0" w:right="110" w:firstLine="0" w:firstLineChars="0"/>
        <w:rPr>
          <w:rFonts w:hint="eastAsia" w:ascii="微软雅黑" w:eastAsia="PMingLiU"/>
          <w:b/>
          <w:color w:val="000000" w:themeColor="text1"/>
          <w:sz w:val="52"/>
          <w:highlight w:val="none"/>
          <w14:textFill>
            <w14:solidFill>
              <w14:schemeClr w14:val="tx1"/>
            </w14:solidFill>
          </w14:textFill>
        </w:rPr>
      </w:pPr>
    </w:p>
    <w:p>
      <w:pPr>
        <w:pStyle w:val="13"/>
        <w:spacing w:before="120"/>
        <w:ind w:left="0" w:leftChars="0" w:right="110" w:firstLine="0" w:firstLineChars="0"/>
        <w:rPr>
          <w:rFonts w:hint="eastAsia" w:ascii="微软雅黑" w:eastAsia="PMingLiU"/>
          <w:b/>
          <w:color w:val="000000" w:themeColor="text1"/>
          <w:sz w:val="36"/>
          <w:szCs w:val="21"/>
          <w:highlight w:val="none"/>
          <w14:textFill>
            <w14:solidFill>
              <w14:schemeClr w14:val="tx1"/>
            </w14:solidFill>
          </w14:textFill>
        </w:rPr>
      </w:pPr>
    </w:p>
    <w:p>
      <w:pPr>
        <w:pStyle w:val="13"/>
        <w:spacing w:before="120"/>
        <w:ind w:left="0" w:leftChars="0" w:right="110" w:firstLine="0" w:firstLineChars="0"/>
        <w:rPr>
          <w:rFonts w:hint="eastAsia" w:ascii="微软雅黑" w:eastAsia="仿宋_GB2312"/>
          <w:b/>
          <w:color w:val="000000" w:themeColor="text1"/>
          <w:sz w:val="52"/>
          <w:highlight w:val="none"/>
          <w14:textFill>
            <w14:solidFill>
              <w14:schemeClr w14:val="tx1"/>
            </w14:solidFill>
          </w14:textFill>
        </w:rPr>
      </w:pPr>
    </w:p>
    <w:p>
      <w:pPr>
        <w:pStyle w:val="13"/>
        <w:spacing w:before="120" w:line="225" w:lineRule="auto"/>
        <w:ind w:left="0" w:leftChars="0" w:right="110" w:firstLine="0" w:firstLineChars="0"/>
        <w:jc w:val="center"/>
        <w:rPr>
          <w:rFonts w:hint="eastAsia" w:ascii="仿宋" w:hAnsi="仿宋" w:eastAsia="仿宋" w:cs="仿宋"/>
          <w:color w:val="000000" w:themeColor="text1"/>
          <w:sz w:val="36"/>
          <w:szCs w:val="36"/>
          <w:highlight w:val="none"/>
          <w:lang w:eastAsia="zh-CN"/>
          <w14:textFill>
            <w14:solidFill>
              <w14:schemeClr w14:val="tx1"/>
            </w14:solidFill>
          </w14:textFill>
        </w:rPr>
      </w:pPr>
    </w:p>
    <w:p>
      <w:pPr>
        <w:autoSpaceDE/>
        <w:autoSpaceDN/>
        <w:jc w:val="center"/>
        <w:rPr>
          <w:rFonts w:hint="eastAsia" w:ascii="仿宋" w:hAnsi="仿宋" w:eastAsia="仿宋" w:cs="仿宋"/>
          <w:kern w:val="2"/>
          <w:sz w:val="36"/>
          <w:szCs w:val="36"/>
          <w:highlight w:val="none"/>
          <w:lang w:val="en-US" w:eastAsia="zh-CN" w:bidi="ar-SA"/>
        </w:rPr>
      </w:pPr>
      <w:r>
        <w:rPr>
          <w:rFonts w:hint="eastAsia" w:ascii="仿宋" w:hAnsi="仿宋" w:eastAsia="仿宋" w:cs="仿宋"/>
          <w:kern w:val="2"/>
          <w:sz w:val="36"/>
          <w:szCs w:val="36"/>
          <w:highlight w:val="none"/>
          <w:lang w:val="en-US" w:eastAsia="zh-CN" w:bidi="ar-SA"/>
        </w:rPr>
        <w:t>龙城镇人民政府</w:t>
      </w:r>
    </w:p>
    <w:p>
      <w:pPr>
        <w:autoSpaceDE/>
        <w:autoSpaceDN/>
        <w:jc w:val="center"/>
        <w:rPr>
          <w:rFonts w:hint="eastAsia" w:ascii="仿宋" w:hAnsi="仿宋" w:eastAsia="仿宋" w:cs="仿宋"/>
          <w:kern w:val="2"/>
          <w:sz w:val="36"/>
          <w:szCs w:val="36"/>
          <w:highlight w:val="none"/>
          <w:lang w:val="en-US" w:eastAsia="zh-CN" w:bidi="ar-SA"/>
        </w:rPr>
      </w:pPr>
      <w:r>
        <w:rPr>
          <w:rFonts w:hint="eastAsia" w:ascii="仿宋" w:hAnsi="仿宋" w:eastAsia="仿宋" w:cs="仿宋"/>
          <w:kern w:val="2"/>
          <w:sz w:val="36"/>
          <w:szCs w:val="36"/>
          <w:highlight w:val="none"/>
          <w:lang w:val="en-US" w:eastAsia="zh-CN" w:bidi="ar-SA"/>
        </w:rPr>
        <w:t>2025年10月</w:t>
      </w:r>
    </w:p>
    <w:p>
      <w:pPr>
        <w:spacing w:line="225" w:lineRule="auto"/>
        <w:ind w:firstLine="468" w:firstLineChars="213"/>
        <w:jc w:val="center"/>
        <w:rPr>
          <w:rFonts w:hint="eastAsia" w:ascii="微软雅黑" w:eastAsia="微软雅黑"/>
          <w:color w:val="000000" w:themeColor="text1"/>
          <w:highlight w:val="none"/>
          <w:lang w:eastAsia="zh-CN"/>
          <w14:textFill>
            <w14:solidFill>
              <w14:schemeClr w14:val="tx1"/>
            </w14:solidFill>
          </w14:textFill>
        </w:rPr>
      </w:pPr>
    </w:p>
    <w:p>
      <w:pPr>
        <w:spacing w:line="225" w:lineRule="auto"/>
        <w:ind w:firstLine="468" w:firstLineChars="213"/>
        <w:jc w:val="center"/>
        <w:rPr>
          <w:rFonts w:hint="eastAsia" w:ascii="微软雅黑" w:eastAsia="微软雅黑"/>
          <w:color w:val="000000" w:themeColor="text1"/>
          <w:highlight w:val="none"/>
          <w:lang w:eastAsia="zh-CN"/>
          <w14:textFill>
            <w14:solidFill>
              <w14:schemeClr w14:val="tx1"/>
            </w14:solidFill>
          </w14:textFill>
        </w:rPr>
      </w:pPr>
    </w:p>
    <w:p>
      <w:pPr>
        <w:spacing w:line="225" w:lineRule="auto"/>
        <w:ind w:firstLine="468" w:firstLineChars="213"/>
        <w:jc w:val="center"/>
        <w:rPr>
          <w:rFonts w:hint="eastAsia" w:ascii="微软雅黑" w:eastAsia="微软雅黑"/>
          <w:color w:val="000000" w:themeColor="text1"/>
          <w:highlight w:val="none"/>
          <w:lang w:eastAsia="zh-CN"/>
          <w14:textFill>
            <w14:solidFill>
              <w14:schemeClr w14:val="tx1"/>
            </w14:solidFill>
          </w14:textFill>
        </w:rPr>
      </w:pPr>
    </w:p>
    <w:p>
      <w:pPr>
        <w:spacing w:line="225" w:lineRule="auto"/>
        <w:ind w:firstLine="468" w:firstLineChars="213"/>
        <w:jc w:val="center"/>
        <w:rPr>
          <w:rFonts w:hint="eastAsia" w:ascii="微软雅黑" w:eastAsia="微软雅黑"/>
          <w:color w:val="000000" w:themeColor="text1"/>
          <w:highlight w:val="none"/>
          <w:lang w:eastAsia="zh-CN"/>
          <w14:textFill>
            <w14:solidFill>
              <w14:schemeClr w14:val="tx1"/>
            </w14:solidFill>
          </w14:textFill>
        </w:rPr>
      </w:pPr>
    </w:p>
    <w:p>
      <w:pPr>
        <w:spacing w:line="225" w:lineRule="auto"/>
        <w:ind w:firstLine="468" w:firstLineChars="213"/>
        <w:jc w:val="center"/>
        <w:rPr>
          <w:rFonts w:hint="eastAsia" w:ascii="微软雅黑" w:eastAsia="微软雅黑"/>
          <w:color w:val="000000" w:themeColor="text1"/>
          <w:highlight w:val="none"/>
          <w:lang w:eastAsia="zh-CN"/>
          <w14:textFill>
            <w14:solidFill>
              <w14:schemeClr w14:val="tx1"/>
            </w14:solidFill>
          </w14:textFill>
        </w:rPr>
      </w:pPr>
    </w:p>
    <w:p>
      <w:pPr>
        <w:pStyle w:val="13"/>
        <w:spacing w:before="120"/>
        <w:ind w:left="0" w:leftChars="0" w:right="110" w:firstLine="0" w:firstLineChars="0"/>
        <w:jc w:val="center"/>
        <w:rPr>
          <w:rFonts w:hint="eastAsia" w:eastAsiaTheme="minorEastAsia"/>
          <w:color w:val="000000" w:themeColor="text1"/>
          <w:highlight w:val="none"/>
          <w:lang w:eastAsia="zh-CN"/>
          <w14:textFill>
            <w14:solidFill>
              <w14:schemeClr w14:val="tx1"/>
            </w14:solidFill>
          </w14:textFill>
        </w:rPr>
      </w:pPr>
    </w:p>
    <w:p>
      <w:pPr>
        <w:pStyle w:val="13"/>
        <w:spacing w:before="120"/>
        <w:ind w:left="0" w:leftChars="0" w:right="110" w:firstLine="0" w:firstLineChars="0"/>
        <w:jc w:val="center"/>
        <w:rPr>
          <w:rFonts w:hint="eastAsia" w:eastAsiaTheme="minorEastAsia"/>
          <w:color w:val="000000" w:themeColor="text1"/>
          <w:highlight w:val="none"/>
          <w:lang w:eastAsia="zh-CN"/>
          <w14:textFill>
            <w14:solidFill>
              <w14:schemeClr w14:val="tx1"/>
            </w14:solidFill>
          </w14:textFill>
        </w:rPr>
      </w:pPr>
    </w:p>
    <w:p>
      <w:pPr>
        <w:pStyle w:val="13"/>
        <w:spacing w:before="120"/>
        <w:ind w:left="0" w:leftChars="0" w:right="110" w:firstLine="0" w:firstLineChars="0"/>
        <w:jc w:val="center"/>
        <w:rPr>
          <w:rFonts w:hint="eastAsia" w:eastAsiaTheme="minorEastAsia"/>
          <w:color w:val="000000" w:themeColor="text1"/>
          <w:highlight w:val="none"/>
          <w:lang w:eastAsia="zh-CN"/>
          <w14:textFill>
            <w14:solidFill>
              <w14:schemeClr w14:val="tx1"/>
            </w14:solidFill>
          </w14:textFill>
        </w:rPr>
      </w:pPr>
    </w:p>
    <w:p>
      <w:pPr>
        <w:pStyle w:val="13"/>
        <w:spacing w:before="120"/>
        <w:ind w:left="0" w:leftChars="0" w:right="110" w:firstLine="0" w:firstLineChars="0"/>
        <w:jc w:val="center"/>
        <w:rPr>
          <w:rFonts w:hint="eastAsia" w:eastAsiaTheme="minorEastAsia"/>
          <w:color w:val="000000" w:themeColor="text1"/>
          <w:highlight w:val="none"/>
          <w:lang w:eastAsia="zh-CN"/>
          <w14:textFill>
            <w14:solidFill>
              <w14:schemeClr w14:val="tx1"/>
            </w14:solidFill>
          </w14:textFill>
        </w:rPr>
      </w:pPr>
    </w:p>
    <w:p>
      <w:pPr>
        <w:pStyle w:val="13"/>
        <w:spacing w:before="120"/>
        <w:ind w:left="0" w:leftChars="0" w:right="110" w:firstLine="0" w:firstLineChars="0"/>
        <w:jc w:val="center"/>
        <w:rPr>
          <w:rFonts w:hint="eastAsia" w:eastAsiaTheme="minorEastAsia"/>
          <w:color w:val="000000" w:themeColor="text1"/>
          <w:highlight w:val="none"/>
          <w:lang w:eastAsia="zh-CN"/>
          <w14:textFill>
            <w14:solidFill>
              <w14:schemeClr w14:val="tx1"/>
            </w14:solidFill>
          </w14:textFill>
        </w:rPr>
      </w:pPr>
    </w:p>
    <w:p>
      <w:pPr>
        <w:pStyle w:val="13"/>
        <w:spacing w:before="120"/>
        <w:ind w:left="0" w:leftChars="0" w:right="110" w:firstLine="0" w:firstLineChars="0"/>
        <w:jc w:val="center"/>
        <w:rPr>
          <w:rFonts w:hint="eastAsia" w:eastAsiaTheme="minorEastAsia"/>
          <w:color w:val="000000" w:themeColor="text1"/>
          <w:highlight w:val="none"/>
          <w:lang w:eastAsia="zh-CN"/>
          <w14:textFill>
            <w14:solidFill>
              <w14:schemeClr w14:val="tx1"/>
            </w14:solidFill>
          </w14:textFill>
        </w:rPr>
      </w:pPr>
    </w:p>
    <w:p>
      <w:pPr>
        <w:pStyle w:val="13"/>
        <w:spacing w:before="120"/>
        <w:ind w:left="0" w:leftChars="0" w:right="110" w:firstLine="0" w:firstLineChars="0"/>
        <w:jc w:val="center"/>
        <w:rPr>
          <w:rFonts w:hint="eastAsia" w:eastAsiaTheme="minorEastAsia"/>
          <w:color w:val="000000" w:themeColor="text1"/>
          <w:highlight w:val="none"/>
          <w:lang w:eastAsia="zh-CN"/>
          <w14:textFill>
            <w14:solidFill>
              <w14:schemeClr w14:val="tx1"/>
            </w14:solidFill>
          </w14:textFill>
        </w:rPr>
      </w:pPr>
    </w:p>
    <w:p>
      <w:pPr>
        <w:pStyle w:val="13"/>
        <w:spacing w:before="120"/>
        <w:ind w:left="0" w:leftChars="0" w:right="110" w:firstLine="0" w:firstLineChars="0"/>
        <w:jc w:val="center"/>
        <w:rPr>
          <w:rFonts w:hint="eastAsia" w:eastAsiaTheme="minorEastAsia"/>
          <w:color w:val="000000" w:themeColor="text1"/>
          <w:highlight w:val="none"/>
          <w:lang w:eastAsia="zh-CN"/>
          <w14:textFill>
            <w14:solidFill>
              <w14:schemeClr w14:val="tx1"/>
            </w14:solidFill>
          </w14:textFill>
        </w:rPr>
      </w:pPr>
    </w:p>
    <w:p>
      <w:pPr>
        <w:rPr>
          <w:rFonts w:hint="eastAsia"/>
          <w:highlight w:val="none"/>
          <w:lang w:eastAsia="zh-CN"/>
        </w:rPr>
      </w:pPr>
    </w:p>
    <w:p>
      <w:pPr>
        <w:pStyle w:val="13"/>
        <w:spacing w:before="120"/>
        <w:ind w:left="0" w:leftChars="0" w:right="110" w:firstLine="0" w:firstLineChars="0"/>
        <w:jc w:val="center"/>
        <w:rPr>
          <w:rFonts w:hint="eastAsia" w:eastAsiaTheme="minorEastAsia"/>
          <w:color w:val="000000" w:themeColor="text1"/>
          <w:highlight w:val="none"/>
          <w:lang w:eastAsia="zh-CN"/>
          <w14:textFill>
            <w14:solidFill>
              <w14:schemeClr w14:val="tx1"/>
            </w14:solidFill>
          </w14:textFill>
        </w:rPr>
      </w:pPr>
    </w:p>
    <w:p>
      <w:pPr>
        <w:spacing w:before="12"/>
        <w:jc w:val="center"/>
        <w:rPr>
          <w:rFonts w:hint="eastAsia" w:ascii="华光小标宋_CNKI" w:hAnsi="华光小标宋_CNKI" w:eastAsia="华光小标宋_CNKI"/>
          <w:b/>
          <w:color w:val="000000" w:themeColor="text1"/>
          <w:sz w:val="50"/>
          <w:highlight w:val="none"/>
          <w:lang w:eastAsia="zh-CN"/>
          <w14:textFill>
            <w14:solidFill>
              <w14:schemeClr w14:val="tx1"/>
            </w14:solidFill>
          </w14:textFill>
        </w:rPr>
      </w:pPr>
      <w:r>
        <w:rPr>
          <w:rFonts w:hint="eastAsia" w:ascii="方正小标宋_GBK" w:hAnsi="方正小标宋_GBK" w:eastAsia="方正小标宋_GBK" w:cs="方正小标宋_GBK"/>
          <w:b/>
          <w:color w:val="000000" w:themeColor="text1"/>
          <w:sz w:val="50"/>
          <w:highlight w:val="none"/>
          <w:lang w:eastAsia="zh-CN"/>
          <w14:textFill>
            <w14:solidFill>
              <w14:schemeClr w14:val="tx1"/>
            </w14:solidFill>
          </w14:textFill>
        </w:rPr>
        <w:t>规划文本</w:t>
      </w:r>
      <w:r>
        <w:rPr>
          <w:rFonts w:ascii="华光小标宋_CNKI" w:hAnsi="华光小标宋_CNKI" w:eastAsia="华光小标宋_CNKI"/>
          <w:b/>
          <w:color w:val="000000" w:themeColor="text1"/>
          <w:sz w:val="50"/>
          <w:highlight w:val="none"/>
          <w:lang w:eastAsia="zh-CN"/>
          <w14:textFill>
            <w14:solidFill>
              <w14:schemeClr w14:val="tx1"/>
            </w14:solidFill>
          </w14:textFill>
        </w:rPr>
        <w:br w:type="page"/>
      </w:r>
    </w:p>
    <w:p>
      <w:pPr>
        <w:spacing w:line="225" w:lineRule="auto"/>
        <w:ind w:firstLine="468" w:firstLineChars="213"/>
        <w:jc w:val="center"/>
        <w:rPr>
          <w:rFonts w:hint="eastAsia" w:ascii="微软雅黑" w:eastAsia="微软雅黑"/>
          <w:color w:val="000000" w:themeColor="text1"/>
          <w:highlight w:val="none"/>
          <w:lang w:eastAsia="zh-CN"/>
          <w14:textFill>
            <w14:solidFill>
              <w14:schemeClr w14:val="tx1"/>
            </w14:solidFill>
          </w14:textFill>
        </w:rPr>
        <w:sectPr>
          <w:type w:val="continuous"/>
          <w:pgSz w:w="11910" w:h="16850"/>
          <w:pgMar w:top="1400" w:right="1380" w:bottom="280" w:left="1560" w:header="720" w:footer="720" w:gutter="0"/>
          <w:cols w:space="720" w:num="1"/>
        </w:sectPr>
      </w:pPr>
    </w:p>
    <w:p>
      <w:pPr>
        <w:pStyle w:val="13"/>
        <w:spacing w:before="120"/>
        <w:ind w:left="0" w:leftChars="0" w:right="110" w:firstLine="0" w:firstLineChars="0"/>
        <w:jc w:val="center"/>
        <w:rPr>
          <w:rFonts w:hint="eastAsia" w:ascii="黑体" w:hAnsi="黑体" w:eastAsia="黑体" w:cs="黑体"/>
          <w:b/>
          <w:bCs/>
          <w:color w:val="000000" w:themeColor="text1"/>
          <w:sz w:val="36"/>
          <w:szCs w:val="160"/>
          <w:highlight w:val="none"/>
          <w14:textFill>
            <w14:solidFill>
              <w14:schemeClr w14:val="tx1"/>
            </w14:solidFill>
          </w14:textFill>
        </w:rPr>
      </w:pPr>
      <w:r>
        <w:rPr>
          <w:rFonts w:hint="eastAsia" w:ascii="黑体" w:hAnsi="黑体" w:eastAsia="黑体" w:cs="黑体"/>
          <w:b/>
          <w:bCs/>
          <w:color w:val="000000" w:themeColor="text1"/>
          <w:sz w:val="36"/>
          <w:szCs w:val="160"/>
          <w:highlight w:val="none"/>
          <w14:textFill>
            <w14:solidFill>
              <w14:schemeClr w14:val="tx1"/>
            </w14:solidFill>
          </w14:textFill>
        </w:rPr>
        <w:t>目</w:t>
      </w:r>
      <w:r>
        <w:rPr>
          <w:rFonts w:hint="eastAsia" w:ascii="黑体" w:hAnsi="黑体" w:eastAsia="黑体" w:cs="黑体"/>
          <w:b/>
          <w:bCs/>
          <w:color w:val="000000" w:themeColor="text1"/>
          <w:sz w:val="36"/>
          <w:szCs w:val="160"/>
          <w:highlight w:val="none"/>
          <w:lang w:val="en-US" w:eastAsia="zh-CN"/>
          <w14:textFill>
            <w14:solidFill>
              <w14:schemeClr w14:val="tx1"/>
            </w14:solidFill>
          </w14:textFill>
        </w:rPr>
        <w:t xml:space="preserve">  </w:t>
      </w:r>
      <w:r>
        <w:rPr>
          <w:rFonts w:hint="eastAsia" w:ascii="黑体" w:hAnsi="黑体" w:eastAsia="黑体" w:cs="黑体"/>
          <w:b/>
          <w:bCs/>
          <w:color w:val="000000" w:themeColor="text1"/>
          <w:sz w:val="36"/>
          <w:szCs w:val="160"/>
          <w:highlight w:val="none"/>
          <w14:textFill>
            <w14:solidFill>
              <w14:schemeClr w14:val="tx1"/>
            </w14:solidFill>
          </w14:textFill>
        </w:rPr>
        <w:t>录</w:t>
      </w:r>
    </w:p>
    <w:p>
      <w:pPr>
        <w:pStyle w:val="19"/>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color w:val="000000" w:themeColor="text1"/>
          <w:sz w:val="30"/>
          <w:szCs w:val="30"/>
          <w:highlight w:val="none"/>
          <w14:textFill>
            <w14:solidFill>
              <w14:schemeClr w14:val="tx1"/>
            </w14:solidFill>
          </w14:textFill>
        </w:rPr>
        <w:instrText xml:space="preserve"> TOC \o "1-2" \h \z \u </w:instrText>
      </w:r>
      <w:r>
        <w:rPr>
          <w:rFonts w:hint="eastAsia" w:ascii="仿宋" w:hAnsi="仿宋" w:eastAsia="仿宋" w:cs="仿宋"/>
          <w:color w:val="000000" w:themeColor="text1"/>
          <w:sz w:val="30"/>
          <w:szCs w:val="30"/>
          <w:highlight w:val="none"/>
          <w14:textFill>
            <w14:solidFill>
              <w14:schemeClr w14:val="tx1"/>
            </w14:solidFill>
          </w14:textFill>
        </w:rPr>
        <w:fldChar w:fldCharType="separate"/>
      </w: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_Toc12481 </w:instrText>
      </w:r>
      <w:r>
        <w:rPr>
          <w:rFonts w:hint="eastAsia" w:ascii="仿宋" w:hAnsi="仿宋" w:eastAsia="仿宋" w:cs="仿宋"/>
          <w:sz w:val="30"/>
          <w:szCs w:val="30"/>
          <w:highlight w:val="none"/>
        </w:rPr>
        <w:fldChar w:fldCharType="separate"/>
      </w:r>
      <w:r>
        <w:rPr>
          <w:rFonts w:hint="eastAsia" w:ascii="仿宋" w:hAnsi="仿宋" w:eastAsia="仿宋" w:cs="仿宋"/>
          <w:spacing w:val="5"/>
          <w:sz w:val="30"/>
          <w:szCs w:val="30"/>
        </w:rPr>
        <w:t xml:space="preserve">第一章 </w:t>
      </w:r>
      <w:r>
        <w:rPr>
          <w:rFonts w:hint="eastAsia" w:ascii="仿宋" w:hAnsi="仿宋" w:eastAsia="仿宋" w:cs="仿宋"/>
          <w:spacing w:val="5"/>
          <w:sz w:val="30"/>
          <w:szCs w:val="30"/>
          <w:highlight w:val="none"/>
        </w:rPr>
        <w:t>发展定位与目标</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_Toc12481 \h </w:instrText>
      </w:r>
      <w:r>
        <w:rPr>
          <w:rFonts w:hint="eastAsia" w:ascii="仿宋" w:hAnsi="仿宋" w:eastAsia="仿宋" w:cs="仿宋"/>
          <w:sz w:val="30"/>
          <w:szCs w:val="30"/>
        </w:rPr>
        <w:fldChar w:fldCharType="separate"/>
      </w:r>
      <w:r>
        <w:rPr>
          <w:rFonts w:hint="eastAsia" w:ascii="仿宋" w:hAnsi="仿宋" w:eastAsia="仿宋" w:cs="仿宋"/>
          <w:sz w:val="30"/>
          <w:szCs w:val="30"/>
        </w:rPr>
        <w:t>3</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_Toc1485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第一节 </w:t>
      </w:r>
      <w:r>
        <w:rPr>
          <w:rFonts w:hint="eastAsia" w:ascii="仿宋" w:hAnsi="仿宋" w:eastAsia="仿宋" w:cs="仿宋"/>
          <w:sz w:val="30"/>
          <w:szCs w:val="30"/>
          <w:highlight w:val="none"/>
          <w:lang w:eastAsia="zh-CN"/>
        </w:rPr>
        <w:t>发展定位</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_Toc1485 \h </w:instrText>
      </w:r>
      <w:r>
        <w:rPr>
          <w:rFonts w:hint="eastAsia" w:ascii="仿宋" w:hAnsi="仿宋" w:eastAsia="仿宋" w:cs="仿宋"/>
          <w:sz w:val="30"/>
          <w:szCs w:val="30"/>
        </w:rPr>
        <w:fldChar w:fldCharType="separate"/>
      </w:r>
      <w:r>
        <w:rPr>
          <w:rFonts w:hint="eastAsia" w:ascii="仿宋" w:hAnsi="仿宋" w:eastAsia="仿宋" w:cs="仿宋"/>
          <w:sz w:val="30"/>
          <w:szCs w:val="30"/>
        </w:rPr>
        <w:t>3</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_Toc3297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第二节 </w:t>
      </w:r>
      <w:r>
        <w:rPr>
          <w:rFonts w:hint="eastAsia" w:ascii="仿宋" w:hAnsi="仿宋" w:eastAsia="仿宋" w:cs="仿宋"/>
          <w:sz w:val="30"/>
          <w:szCs w:val="30"/>
          <w:highlight w:val="none"/>
          <w:lang w:eastAsia="zh-CN"/>
        </w:rPr>
        <w:t>国土空间开发保护目标</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_Toc3297 \h </w:instrText>
      </w:r>
      <w:r>
        <w:rPr>
          <w:rFonts w:hint="eastAsia" w:ascii="仿宋" w:hAnsi="仿宋" w:eastAsia="仿宋" w:cs="仿宋"/>
          <w:sz w:val="30"/>
          <w:szCs w:val="30"/>
        </w:rPr>
        <w:fldChar w:fldCharType="separate"/>
      </w:r>
      <w:r>
        <w:rPr>
          <w:rFonts w:hint="eastAsia" w:ascii="仿宋" w:hAnsi="仿宋" w:eastAsia="仿宋" w:cs="仿宋"/>
          <w:sz w:val="30"/>
          <w:szCs w:val="30"/>
        </w:rPr>
        <w:t>3</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_Toc29036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第三节 </w:t>
      </w:r>
      <w:r>
        <w:rPr>
          <w:rFonts w:hint="eastAsia" w:ascii="仿宋" w:hAnsi="仿宋" w:eastAsia="仿宋" w:cs="仿宋"/>
          <w:sz w:val="30"/>
          <w:szCs w:val="30"/>
          <w:highlight w:val="none"/>
          <w:lang w:eastAsia="zh-CN"/>
        </w:rPr>
        <w:t>国土空间开发保护策略</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_Toc29036 \h </w:instrText>
      </w:r>
      <w:r>
        <w:rPr>
          <w:rFonts w:hint="eastAsia" w:ascii="仿宋" w:hAnsi="仿宋" w:eastAsia="仿宋" w:cs="仿宋"/>
          <w:sz w:val="30"/>
          <w:szCs w:val="30"/>
        </w:rPr>
        <w:fldChar w:fldCharType="separate"/>
      </w:r>
      <w:r>
        <w:rPr>
          <w:rFonts w:hint="eastAsia" w:ascii="仿宋" w:hAnsi="仿宋" w:eastAsia="仿宋" w:cs="仿宋"/>
          <w:sz w:val="30"/>
          <w:szCs w:val="30"/>
        </w:rPr>
        <w:t>4</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19"/>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_Toc28967 </w:instrText>
      </w:r>
      <w:r>
        <w:rPr>
          <w:rFonts w:hint="eastAsia" w:ascii="仿宋" w:hAnsi="仿宋" w:eastAsia="仿宋" w:cs="仿宋"/>
          <w:sz w:val="30"/>
          <w:szCs w:val="30"/>
          <w:highlight w:val="none"/>
        </w:rPr>
        <w:fldChar w:fldCharType="separate"/>
      </w:r>
      <w:r>
        <w:rPr>
          <w:rFonts w:hint="eastAsia" w:ascii="仿宋" w:hAnsi="仿宋" w:eastAsia="仿宋" w:cs="仿宋"/>
          <w:spacing w:val="5"/>
          <w:sz w:val="30"/>
          <w:szCs w:val="30"/>
        </w:rPr>
        <w:t xml:space="preserve">第二章 </w:t>
      </w:r>
      <w:r>
        <w:rPr>
          <w:rFonts w:hint="eastAsia" w:ascii="仿宋" w:hAnsi="仿宋" w:eastAsia="仿宋" w:cs="仿宋"/>
          <w:spacing w:val="5"/>
          <w:sz w:val="30"/>
          <w:szCs w:val="30"/>
          <w:highlight w:val="none"/>
        </w:rPr>
        <w:t>以“三区三线”为基础，构建国土空间开发保护新格局</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_Toc28967 \h </w:instrText>
      </w:r>
      <w:r>
        <w:rPr>
          <w:rFonts w:hint="eastAsia" w:ascii="仿宋" w:hAnsi="仿宋" w:eastAsia="仿宋" w:cs="仿宋"/>
          <w:sz w:val="30"/>
          <w:szCs w:val="30"/>
        </w:rPr>
        <w:fldChar w:fldCharType="separate"/>
      </w:r>
      <w:r>
        <w:rPr>
          <w:rFonts w:hint="eastAsia" w:ascii="仿宋" w:hAnsi="仿宋" w:eastAsia="仿宋" w:cs="仿宋"/>
          <w:sz w:val="30"/>
          <w:szCs w:val="30"/>
        </w:rPr>
        <w:t>7</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_Toc22996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第一节 </w:t>
      </w:r>
      <w:r>
        <w:rPr>
          <w:rFonts w:hint="eastAsia" w:ascii="仿宋" w:hAnsi="仿宋" w:eastAsia="仿宋" w:cs="仿宋"/>
          <w:sz w:val="30"/>
          <w:szCs w:val="30"/>
          <w:highlight w:val="none"/>
          <w:lang w:val="en-US" w:eastAsia="zh-CN"/>
        </w:rPr>
        <w:t>高标准高质量</w:t>
      </w:r>
      <w:r>
        <w:rPr>
          <w:rFonts w:hint="eastAsia" w:ascii="仿宋" w:hAnsi="仿宋" w:eastAsia="仿宋" w:cs="仿宋"/>
          <w:sz w:val="30"/>
          <w:szCs w:val="30"/>
          <w:highlight w:val="none"/>
          <w:lang w:eastAsia="zh-CN"/>
        </w:rPr>
        <w:t>落实“三</w:t>
      </w:r>
      <w:r>
        <w:rPr>
          <w:rFonts w:hint="eastAsia" w:ascii="仿宋" w:hAnsi="仿宋" w:eastAsia="仿宋" w:cs="仿宋"/>
          <w:sz w:val="30"/>
          <w:szCs w:val="30"/>
          <w:highlight w:val="none"/>
          <w:lang w:val="en-US" w:eastAsia="zh-CN"/>
        </w:rPr>
        <w:t>区三</w:t>
      </w:r>
      <w:r>
        <w:rPr>
          <w:rFonts w:hint="eastAsia" w:ascii="仿宋" w:hAnsi="仿宋" w:eastAsia="仿宋" w:cs="仿宋"/>
          <w:sz w:val="30"/>
          <w:szCs w:val="30"/>
          <w:highlight w:val="none"/>
          <w:lang w:eastAsia="zh-CN"/>
        </w:rPr>
        <w:t>线”</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_Toc22996 \h </w:instrText>
      </w:r>
      <w:r>
        <w:rPr>
          <w:rFonts w:hint="eastAsia" w:ascii="仿宋" w:hAnsi="仿宋" w:eastAsia="仿宋" w:cs="仿宋"/>
          <w:sz w:val="30"/>
          <w:szCs w:val="30"/>
        </w:rPr>
        <w:fldChar w:fldCharType="separate"/>
      </w:r>
      <w:r>
        <w:rPr>
          <w:rFonts w:hint="eastAsia" w:ascii="仿宋" w:hAnsi="仿宋" w:eastAsia="仿宋" w:cs="仿宋"/>
          <w:sz w:val="30"/>
          <w:szCs w:val="30"/>
        </w:rPr>
        <w:t>7</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_Toc22625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第二节 </w:t>
      </w:r>
      <w:r>
        <w:rPr>
          <w:rFonts w:hint="eastAsia" w:ascii="仿宋" w:hAnsi="仿宋" w:eastAsia="仿宋" w:cs="仿宋"/>
          <w:sz w:val="30"/>
          <w:szCs w:val="30"/>
          <w:highlight w:val="none"/>
          <w:lang w:eastAsia="zh-CN"/>
        </w:rPr>
        <w:t>塑造镇域发展新格局</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_Toc22625 \h </w:instrText>
      </w:r>
      <w:r>
        <w:rPr>
          <w:rFonts w:hint="eastAsia" w:ascii="仿宋" w:hAnsi="仿宋" w:eastAsia="仿宋" w:cs="仿宋"/>
          <w:sz w:val="30"/>
          <w:szCs w:val="30"/>
        </w:rPr>
        <w:fldChar w:fldCharType="separate"/>
      </w:r>
      <w:r>
        <w:rPr>
          <w:rFonts w:hint="eastAsia" w:ascii="仿宋" w:hAnsi="仿宋" w:eastAsia="仿宋" w:cs="仿宋"/>
          <w:sz w:val="30"/>
          <w:szCs w:val="30"/>
        </w:rPr>
        <w:t>8</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_Toc8812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第三节 </w:t>
      </w:r>
      <w:r>
        <w:rPr>
          <w:rFonts w:hint="eastAsia" w:ascii="仿宋" w:hAnsi="仿宋" w:eastAsia="仿宋" w:cs="仿宋"/>
          <w:sz w:val="30"/>
          <w:szCs w:val="30"/>
          <w:highlight w:val="none"/>
          <w:lang w:eastAsia="zh-CN"/>
        </w:rPr>
        <w:t>优化国土空间功能结构</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_Toc8812 \h </w:instrText>
      </w:r>
      <w:r>
        <w:rPr>
          <w:rFonts w:hint="eastAsia" w:ascii="仿宋" w:hAnsi="仿宋" w:eastAsia="仿宋" w:cs="仿宋"/>
          <w:sz w:val="30"/>
          <w:szCs w:val="30"/>
        </w:rPr>
        <w:fldChar w:fldCharType="separate"/>
      </w:r>
      <w:r>
        <w:rPr>
          <w:rFonts w:hint="eastAsia" w:ascii="仿宋" w:hAnsi="仿宋" w:eastAsia="仿宋" w:cs="仿宋"/>
          <w:sz w:val="30"/>
          <w:szCs w:val="30"/>
        </w:rPr>
        <w:t>8</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19"/>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_Toc25832 </w:instrText>
      </w:r>
      <w:r>
        <w:rPr>
          <w:rFonts w:hint="eastAsia" w:ascii="仿宋" w:hAnsi="仿宋" w:eastAsia="仿宋" w:cs="仿宋"/>
          <w:sz w:val="30"/>
          <w:szCs w:val="30"/>
          <w:highlight w:val="none"/>
        </w:rPr>
        <w:fldChar w:fldCharType="separate"/>
      </w:r>
      <w:r>
        <w:rPr>
          <w:rFonts w:hint="eastAsia" w:ascii="仿宋" w:hAnsi="仿宋" w:eastAsia="仿宋" w:cs="仿宋"/>
          <w:spacing w:val="5"/>
          <w:sz w:val="30"/>
          <w:szCs w:val="30"/>
        </w:rPr>
        <w:t xml:space="preserve">第三章 </w:t>
      </w:r>
      <w:r>
        <w:rPr>
          <w:rFonts w:hint="eastAsia" w:ascii="仿宋" w:hAnsi="仿宋" w:eastAsia="仿宋" w:cs="仿宋"/>
          <w:spacing w:val="5"/>
          <w:sz w:val="30"/>
          <w:szCs w:val="30"/>
          <w:highlight w:val="none"/>
        </w:rPr>
        <w:t>塑造绿色高效农业空间，保障现代化农业发展</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_Toc25832 \h </w:instrText>
      </w:r>
      <w:r>
        <w:rPr>
          <w:rFonts w:hint="eastAsia" w:ascii="仿宋" w:hAnsi="仿宋" w:eastAsia="仿宋" w:cs="仿宋"/>
          <w:sz w:val="30"/>
          <w:szCs w:val="30"/>
        </w:rPr>
        <w:fldChar w:fldCharType="separate"/>
      </w:r>
      <w:r>
        <w:rPr>
          <w:rFonts w:hint="eastAsia" w:ascii="仿宋" w:hAnsi="仿宋" w:eastAsia="仿宋" w:cs="仿宋"/>
          <w:sz w:val="30"/>
          <w:szCs w:val="30"/>
        </w:rPr>
        <w:t>10</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_Toc9865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第一节 </w:t>
      </w:r>
      <w:r>
        <w:rPr>
          <w:rFonts w:hint="eastAsia" w:ascii="仿宋" w:hAnsi="仿宋" w:eastAsia="仿宋" w:cs="仿宋"/>
          <w:sz w:val="30"/>
          <w:szCs w:val="30"/>
          <w:highlight w:val="none"/>
          <w:lang w:eastAsia="zh-CN"/>
        </w:rPr>
        <w:t>加强耕地“三位一体”保护</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_Toc9865 \h </w:instrText>
      </w:r>
      <w:r>
        <w:rPr>
          <w:rFonts w:hint="eastAsia" w:ascii="仿宋" w:hAnsi="仿宋" w:eastAsia="仿宋" w:cs="仿宋"/>
          <w:sz w:val="30"/>
          <w:szCs w:val="30"/>
        </w:rPr>
        <w:fldChar w:fldCharType="separate"/>
      </w:r>
      <w:r>
        <w:rPr>
          <w:rFonts w:hint="eastAsia" w:ascii="仿宋" w:hAnsi="仿宋" w:eastAsia="仿宋" w:cs="仿宋"/>
          <w:sz w:val="30"/>
          <w:szCs w:val="30"/>
        </w:rPr>
        <w:t>10</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_Toc17812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第二节 </w:t>
      </w:r>
      <w:r>
        <w:rPr>
          <w:rFonts w:hint="eastAsia" w:ascii="仿宋" w:hAnsi="仿宋" w:eastAsia="仿宋" w:cs="仿宋"/>
          <w:sz w:val="30"/>
          <w:szCs w:val="30"/>
          <w:highlight w:val="none"/>
          <w:lang w:val="en-US" w:eastAsia="zh-CN"/>
        </w:rPr>
        <w:t>保障特色农产品生产空间</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_Toc17812 \h </w:instrText>
      </w:r>
      <w:r>
        <w:rPr>
          <w:rFonts w:hint="eastAsia" w:ascii="仿宋" w:hAnsi="仿宋" w:eastAsia="仿宋" w:cs="仿宋"/>
          <w:sz w:val="30"/>
          <w:szCs w:val="30"/>
        </w:rPr>
        <w:fldChar w:fldCharType="separate"/>
      </w:r>
      <w:r>
        <w:rPr>
          <w:rFonts w:hint="eastAsia" w:ascii="仿宋" w:hAnsi="仿宋" w:eastAsia="仿宋" w:cs="仿宋"/>
          <w:sz w:val="30"/>
          <w:szCs w:val="30"/>
        </w:rPr>
        <w:t>12</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_Toc32538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第三节 </w:t>
      </w:r>
      <w:r>
        <w:rPr>
          <w:rFonts w:hint="eastAsia" w:ascii="仿宋" w:hAnsi="仿宋" w:eastAsia="仿宋" w:cs="仿宋"/>
          <w:sz w:val="30"/>
          <w:szCs w:val="30"/>
          <w:highlight w:val="none"/>
          <w:lang w:eastAsia="zh-CN"/>
        </w:rPr>
        <w:t>加强国土空间综合整治</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_Toc32538 \h </w:instrText>
      </w:r>
      <w:r>
        <w:rPr>
          <w:rFonts w:hint="eastAsia" w:ascii="仿宋" w:hAnsi="仿宋" w:eastAsia="仿宋" w:cs="仿宋"/>
          <w:sz w:val="30"/>
          <w:szCs w:val="30"/>
        </w:rPr>
        <w:fldChar w:fldCharType="separate"/>
      </w:r>
      <w:r>
        <w:rPr>
          <w:rFonts w:hint="eastAsia" w:ascii="仿宋" w:hAnsi="仿宋" w:eastAsia="仿宋" w:cs="仿宋"/>
          <w:sz w:val="30"/>
          <w:szCs w:val="30"/>
        </w:rPr>
        <w:t>13</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19"/>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_Toc1860 </w:instrText>
      </w:r>
      <w:r>
        <w:rPr>
          <w:rFonts w:hint="eastAsia" w:ascii="仿宋" w:hAnsi="仿宋" w:eastAsia="仿宋" w:cs="仿宋"/>
          <w:sz w:val="30"/>
          <w:szCs w:val="30"/>
          <w:highlight w:val="none"/>
        </w:rPr>
        <w:fldChar w:fldCharType="separate"/>
      </w:r>
      <w:r>
        <w:rPr>
          <w:rFonts w:hint="eastAsia" w:ascii="仿宋" w:hAnsi="仿宋" w:eastAsia="仿宋" w:cs="仿宋"/>
          <w:spacing w:val="5"/>
          <w:sz w:val="30"/>
          <w:szCs w:val="30"/>
          <w:lang w:eastAsia="zh-CN"/>
        </w:rPr>
        <w:t xml:space="preserve">第四章 </w:t>
      </w:r>
      <w:r>
        <w:rPr>
          <w:rFonts w:hint="eastAsia" w:ascii="仿宋" w:hAnsi="仿宋" w:eastAsia="仿宋" w:cs="仿宋"/>
          <w:spacing w:val="5"/>
          <w:sz w:val="30"/>
          <w:szCs w:val="30"/>
          <w:highlight w:val="none"/>
        </w:rPr>
        <w:t>构筑蓝绿</w:t>
      </w:r>
      <w:r>
        <w:rPr>
          <w:rFonts w:hint="eastAsia" w:ascii="仿宋" w:hAnsi="仿宋" w:eastAsia="仿宋" w:cs="仿宋"/>
          <w:spacing w:val="5"/>
          <w:sz w:val="30"/>
          <w:szCs w:val="30"/>
          <w:highlight w:val="none"/>
          <w:lang w:val="en-US" w:eastAsia="zh-CN"/>
        </w:rPr>
        <w:t>交织、</w:t>
      </w:r>
      <w:r>
        <w:rPr>
          <w:rFonts w:hint="eastAsia" w:ascii="仿宋" w:hAnsi="仿宋" w:eastAsia="仿宋" w:cs="仿宋"/>
          <w:spacing w:val="5"/>
          <w:sz w:val="30"/>
          <w:szCs w:val="30"/>
          <w:highlight w:val="none"/>
        </w:rPr>
        <w:t>田</w:t>
      </w:r>
      <w:r>
        <w:rPr>
          <w:rFonts w:hint="eastAsia" w:ascii="仿宋" w:hAnsi="仿宋" w:eastAsia="仿宋" w:cs="仿宋"/>
          <w:spacing w:val="5"/>
          <w:sz w:val="30"/>
          <w:szCs w:val="30"/>
          <w:highlight w:val="none"/>
          <w:lang w:val="en-US" w:eastAsia="zh-CN"/>
        </w:rPr>
        <w:t>城</w:t>
      </w:r>
      <w:r>
        <w:rPr>
          <w:rFonts w:hint="eastAsia" w:ascii="仿宋" w:hAnsi="仿宋" w:eastAsia="仿宋" w:cs="仿宋"/>
          <w:spacing w:val="5"/>
          <w:sz w:val="30"/>
          <w:szCs w:val="30"/>
          <w:highlight w:val="none"/>
        </w:rPr>
        <w:t>相</w:t>
      </w:r>
      <w:r>
        <w:rPr>
          <w:rFonts w:hint="eastAsia" w:ascii="仿宋" w:hAnsi="仿宋" w:eastAsia="仿宋" w:cs="仿宋"/>
          <w:spacing w:val="5"/>
          <w:sz w:val="30"/>
          <w:szCs w:val="30"/>
          <w:highlight w:val="none"/>
          <w:lang w:val="en-US" w:eastAsia="zh-CN"/>
        </w:rPr>
        <w:t>拥</w:t>
      </w:r>
      <w:r>
        <w:rPr>
          <w:rFonts w:hint="eastAsia" w:ascii="仿宋" w:hAnsi="仿宋" w:eastAsia="仿宋" w:cs="仿宋"/>
          <w:spacing w:val="5"/>
          <w:sz w:val="30"/>
          <w:szCs w:val="30"/>
          <w:highlight w:val="none"/>
        </w:rPr>
        <w:t>生态空间，促进人与自然和谐共生</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_Toc1860 \h </w:instrText>
      </w:r>
      <w:r>
        <w:rPr>
          <w:rFonts w:hint="eastAsia" w:ascii="仿宋" w:hAnsi="仿宋" w:eastAsia="仿宋" w:cs="仿宋"/>
          <w:sz w:val="30"/>
          <w:szCs w:val="30"/>
        </w:rPr>
        <w:fldChar w:fldCharType="separate"/>
      </w:r>
      <w:r>
        <w:rPr>
          <w:rFonts w:hint="eastAsia" w:ascii="仿宋" w:hAnsi="仿宋" w:eastAsia="仿宋" w:cs="仿宋"/>
          <w:sz w:val="30"/>
          <w:szCs w:val="30"/>
        </w:rPr>
        <w:t>15</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_Toc9856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第一节 </w:t>
      </w:r>
      <w:r>
        <w:rPr>
          <w:rFonts w:hint="eastAsia" w:ascii="仿宋" w:hAnsi="仿宋" w:eastAsia="仿宋" w:cs="仿宋"/>
          <w:sz w:val="30"/>
          <w:szCs w:val="30"/>
          <w:highlight w:val="none"/>
          <w:lang w:eastAsia="zh-CN"/>
        </w:rPr>
        <w:t>加强河湖生态管控</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_Toc9856 \h </w:instrText>
      </w:r>
      <w:r>
        <w:rPr>
          <w:rFonts w:hint="eastAsia" w:ascii="仿宋" w:hAnsi="仿宋" w:eastAsia="仿宋" w:cs="仿宋"/>
          <w:sz w:val="30"/>
          <w:szCs w:val="30"/>
        </w:rPr>
        <w:fldChar w:fldCharType="separate"/>
      </w:r>
      <w:r>
        <w:rPr>
          <w:rFonts w:hint="eastAsia" w:ascii="仿宋" w:hAnsi="仿宋" w:eastAsia="仿宋" w:cs="仿宋"/>
          <w:sz w:val="30"/>
          <w:szCs w:val="30"/>
        </w:rPr>
        <w:t>15</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_Toc24529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第二节 </w:t>
      </w:r>
      <w:r>
        <w:rPr>
          <w:rFonts w:hint="eastAsia" w:ascii="仿宋" w:hAnsi="仿宋" w:eastAsia="仿宋" w:cs="仿宋"/>
          <w:sz w:val="30"/>
          <w:szCs w:val="30"/>
          <w:highlight w:val="none"/>
          <w:lang w:eastAsia="zh-CN"/>
        </w:rPr>
        <w:t>构建绿色生态屏障</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_Toc24529 \h </w:instrText>
      </w:r>
      <w:r>
        <w:rPr>
          <w:rFonts w:hint="eastAsia" w:ascii="仿宋" w:hAnsi="仿宋" w:eastAsia="仿宋" w:cs="仿宋"/>
          <w:sz w:val="30"/>
          <w:szCs w:val="30"/>
        </w:rPr>
        <w:fldChar w:fldCharType="separate"/>
      </w:r>
      <w:r>
        <w:rPr>
          <w:rFonts w:hint="eastAsia" w:ascii="仿宋" w:hAnsi="仿宋" w:eastAsia="仿宋" w:cs="仿宋"/>
          <w:sz w:val="30"/>
          <w:szCs w:val="30"/>
        </w:rPr>
        <w:t>16</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_Toc29766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第三节 </w:t>
      </w:r>
      <w:r>
        <w:rPr>
          <w:rFonts w:hint="eastAsia" w:ascii="仿宋" w:hAnsi="仿宋" w:eastAsia="仿宋" w:cs="仿宋"/>
          <w:sz w:val="30"/>
          <w:szCs w:val="30"/>
          <w:highlight w:val="none"/>
          <w:lang w:eastAsia="zh-CN"/>
        </w:rPr>
        <w:t>系统实施生态修复</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_Toc29766 \h </w:instrText>
      </w:r>
      <w:r>
        <w:rPr>
          <w:rFonts w:hint="eastAsia" w:ascii="仿宋" w:hAnsi="仿宋" w:eastAsia="仿宋" w:cs="仿宋"/>
          <w:sz w:val="30"/>
          <w:szCs w:val="30"/>
        </w:rPr>
        <w:fldChar w:fldCharType="separate"/>
      </w:r>
      <w:r>
        <w:rPr>
          <w:rFonts w:hint="eastAsia" w:ascii="仿宋" w:hAnsi="仿宋" w:eastAsia="仿宋" w:cs="仿宋"/>
          <w:sz w:val="30"/>
          <w:szCs w:val="30"/>
        </w:rPr>
        <w:t>17</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19"/>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_Toc9564 </w:instrText>
      </w:r>
      <w:r>
        <w:rPr>
          <w:rFonts w:hint="eastAsia" w:ascii="仿宋" w:hAnsi="仿宋" w:eastAsia="仿宋" w:cs="仿宋"/>
          <w:sz w:val="30"/>
          <w:szCs w:val="30"/>
          <w:highlight w:val="none"/>
        </w:rPr>
        <w:fldChar w:fldCharType="separate"/>
      </w:r>
      <w:r>
        <w:rPr>
          <w:rFonts w:hint="eastAsia" w:ascii="仿宋" w:hAnsi="仿宋" w:eastAsia="仿宋" w:cs="仿宋"/>
          <w:spacing w:val="5"/>
          <w:sz w:val="30"/>
          <w:szCs w:val="30"/>
        </w:rPr>
        <w:t xml:space="preserve">第五章 </w:t>
      </w:r>
      <w:r>
        <w:rPr>
          <w:rFonts w:hint="eastAsia" w:ascii="仿宋" w:hAnsi="仿宋" w:eastAsia="仿宋" w:cs="仿宋"/>
          <w:spacing w:val="5"/>
          <w:sz w:val="30"/>
          <w:szCs w:val="30"/>
          <w:highlight w:val="none"/>
        </w:rPr>
        <w:t>促进城乡统筹，建设乡村振兴高地</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_Toc9564 \h </w:instrText>
      </w:r>
      <w:r>
        <w:rPr>
          <w:rFonts w:hint="eastAsia" w:ascii="仿宋" w:hAnsi="仿宋" w:eastAsia="仿宋" w:cs="仿宋"/>
          <w:sz w:val="30"/>
          <w:szCs w:val="30"/>
        </w:rPr>
        <w:fldChar w:fldCharType="separate"/>
      </w:r>
      <w:r>
        <w:rPr>
          <w:rFonts w:hint="eastAsia" w:ascii="仿宋" w:hAnsi="仿宋" w:eastAsia="仿宋" w:cs="仿宋"/>
          <w:sz w:val="30"/>
          <w:szCs w:val="30"/>
        </w:rPr>
        <w:t>19</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_Toc30628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第一节 </w:t>
      </w:r>
      <w:r>
        <w:rPr>
          <w:rFonts w:hint="eastAsia" w:ascii="仿宋" w:hAnsi="仿宋" w:eastAsia="仿宋" w:cs="仿宋"/>
          <w:sz w:val="30"/>
          <w:szCs w:val="30"/>
          <w:highlight w:val="none"/>
          <w:lang w:eastAsia="zh-CN"/>
        </w:rPr>
        <w:t>优化村庄布局</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_Toc30628 \h </w:instrText>
      </w:r>
      <w:r>
        <w:rPr>
          <w:rFonts w:hint="eastAsia" w:ascii="仿宋" w:hAnsi="仿宋" w:eastAsia="仿宋" w:cs="仿宋"/>
          <w:sz w:val="30"/>
          <w:szCs w:val="30"/>
        </w:rPr>
        <w:fldChar w:fldCharType="separate"/>
      </w:r>
      <w:r>
        <w:rPr>
          <w:rFonts w:hint="eastAsia" w:ascii="仿宋" w:hAnsi="仿宋" w:eastAsia="仿宋" w:cs="仿宋"/>
          <w:sz w:val="30"/>
          <w:szCs w:val="30"/>
        </w:rPr>
        <w:t>19</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_Toc32096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第二节 </w:t>
      </w:r>
      <w:r>
        <w:rPr>
          <w:rFonts w:hint="eastAsia" w:ascii="仿宋" w:hAnsi="仿宋" w:eastAsia="仿宋" w:cs="仿宋"/>
          <w:sz w:val="30"/>
          <w:szCs w:val="30"/>
          <w:highlight w:val="none"/>
          <w:lang w:eastAsia="zh-CN"/>
        </w:rPr>
        <w:t>优化城乡公共服务设施配置</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_Toc32096 \h </w:instrText>
      </w:r>
      <w:r>
        <w:rPr>
          <w:rFonts w:hint="eastAsia" w:ascii="仿宋" w:hAnsi="仿宋" w:eastAsia="仿宋" w:cs="仿宋"/>
          <w:sz w:val="30"/>
          <w:szCs w:val="30"/>
        </w:rPr>
        <w:fldChar w:fldCharType="separate"/>
      </w:r>
      <w:r>
        <w:rPr>
          <w:rFonts w:hint="eastAsia" w:ascii="仿宋" w:hAnsi="仿宋" w:eastAsia="仿宋" w:cs="仿宋"/>
          <w:sz w:val="30"/>
          <w:szCs w:val="30"/>
        </w:rPr>
        <w:t>20</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_Toc12003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第三节 </w:t>
      </w:r>
      <w:r>
        <w:rPr>
          <w:rFonts w:hint="eastAsia" w:ascii="仿宋" w:hAnsi="仿宋" w:eastAsia="仿宋" w:cs="仿宋"/>
          <w:sz w:val="30"/>
          <w:szCs w:val="30"/>
          <w:highlight w:val="none"/>
          <w:lang w:eastAsia="zh-CN"/>
        </w:rPr>
        <w:t>构建区域协同的产业发展格局</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_Toc12003 \h </w:instrText>
      </w:r>
      <w:r>
        <w:rPr>
          <w:rFonts w:hint="eastAsia" w:ascii="仿宋" w:hAnsi="仿宋" w:eastAsia="仿宋" w:cs="仿宋"/>
          <w:sz w:val="30"/>
          <w:szCs w:val="30"/>
        </w:rPr>
        <w:fldChar w:fldCharType="separate"/>
      </w:r>
      <w:r>
        <w:rPr>
          <w:rFonts w:hint="eastAsia" w:ascii="仿宋" w:hAnsi="仿宋" w:eastAsia="仿宋" w:cs="仿宋"/>
          <w:sz w:val="30"/>
          <w:szCs w:val="30"/>
        </w:rPr>
        <w:t>22</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19"/>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_Toc26855 </w:instrText>
      </w:r>
      <w:r>
        <w:rPr>
          <w:rFonts w:hint="eastAsia" w:ascii="仿宋" w:hAnsi="仿宋" w:eastAsia="仿宋" w:cs="仿宋"/>
          <w:sz w:val="30"/>
          <w:szCs w:val="30"/>
          <w:highlight w:val="none"/>
        </w:rPr>
        <w:fldChar w:fldCharType="separate"/>
      </w:r>
      <w:r>
        <w:rPr>
          <w:rFonts w:hint="eastAsia" w:ascii="仿宋" w:hAnsi="仿宋" w:eastAsia="仿宋" w:cs="仿宋"/>
          <w:spacing w:val="5"/>
          <w:sz w:val="30"/>
          <w:szCs w:val="30"/>
        </w:rPr>
        <w:t xml:space="preserve">第六章 </w:t>
      </w:r>
      <w:r>
        <w:rPr>
          <w:rFonts w:hint="eastAsia" w:ascii="仿宋" w:hAnsi="仿宋" w:eastAsia="仿宋" w:cs="仿宋"/>
          <w:spacing w:val="5"/>
          <w:sz w:val="30"/>
          <w:szCs w:val="30"/>
          <w:highlight w:val="none"/>
        </w:rPr>
        <w:t>统筹基础设施布局，提升设施保障能力</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_Toc26855 \h </w:instrText>
      </w:r>
      <w:r>
        <w:rPr>
          <w:rFonts w:hint="eastAsia" w:ascii="仿宋" w:hAnsi="仿宋" w:eastAsia="仿宋" w:cs="仿宋"/>
          <w:sz w:val="30"/>
          <w:szCs w:val="30"/>
        </w:rPr>
        <w:fldChar w:fldCharType="separate"/>
      </w:r>
      <w:r>
        <w:rPr>
          <w:rFonts w:hint="eastAsia" w:ascii="仿宋" w:hAnsi="仿宋" w:eastAsia="仿宋" w:cs="仿宋"/>
          <w:sz w:val="30"/>
          <w:szCs w:val="30"/>
        </w:rPr>
        <w:t>24</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_Toc19233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第一节 </w:t>
      </w:r>
      <w:r>
        <w:rPr>
          <w:rFonts w:hint="eastAsia" w:ascii="仿宋" w:hAnsi="仿宋" w:eastAsia="仿宋" w:cs="仿宋"/>
          <w:sz w:val="30"/>
          <w:szCs w:val="30"/>
          <w:highlight w:val="none"/>
          <w:lang w:eastAsia="zh-CN"/>
        </w:rPr>
        <w:t>发展绿色低碳智慧交通</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_Toc19233 \h </w:instrText>
      </w:r>
      <w:r>
        <w:rPr>
          <w:rFonts w:hint="eastAsia" w:ascii="仿宋" w:hAnsi="仿宋" w:eastAsia="仿宋" w:cs="仿宋"/>
          <w:sz w:val="30"/>
          <w:szCs w:val="30"/>
        </w:rPr>
        <w:fldChar w:fldCharType="separate"/>
      </w:r>
      <w:r>
        <w:rPr>
          <w:rFonts w:hint="eastAsia" w:ascii="仿宋" w:hAnsi="仿宋" w:eastAsia="仿宋" w:cs="仿宋"/>
          <w:sz w:val="30"/>
          <w:szCs w:val="30"/>
        </w:rPr>
        <w:t>24</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_Toc16340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第二节 </w:t>
      </w:r>
      <w:r>
        <w:rPr>
          <w:rFonts w:hint="eastAsia" w:ascii="仿宋" w:hAnsi="仿宋" w:eastAsia="仿宋" w:cs="仿宋"/>
          <w:sz w:val="30"/>
          <w:szCs w:val="30"/>
          <w:highlight w:val="none"/>
          <w:lang w:eastAsia="zh-CN"/>
        </w:rPr>
        <w:t>建设绿色韧性市政基础设施</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_Toc16340 \h </w:instrText>
      </w:r>
      <w:r>
        <w:rPr>
          <w:rFonts w:hint="eastAsia" w:ascii="仿宋" w:hAnsi="仿宋" w:eastAsia="仿宋" w:cs="仿宋"/>
          <w:sz w:val="30"/>
          <w:szCs w:val="30"/>
        </w:rPr>
        <w:fldChar w:fldCharType="separate"/>
      </w:r>
      <w:r>
        <w:rPr>
          <w:rFonts w:hint="eastAsia" w:ascii="仿宋" w:hAnsi="仿宋" w:eastAsia="仿宋" w:cs="仿宋"/>
          <w:sz w:val="30"/>
          <w:szCs w:val="30"/>
        </w:rPr>
        <w:t>25</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_Toc27403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第三节 </w:t>
      </w:r>
      <w:r>
        <w:rPr>
          <w:rFonts w:hint="eastAsia" w:ascii="仿宋" w:hAnsi="仿宋" w:eastAsia="仿宋" w:cs="仿宋"/>
          <w:sz w:val="30"/>
          <w:szCs w:val="30"/>
          <w:highlight w:val="none"/>
          <w:lang w:eastAsia="zh-CN"/>
        </w:rPr>
        <w:t>构建综合防灾设施体系</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_Toc27403 \h </w:instrText>
      </w:r>
      <w:r>
        <w:rPr>
          <w:rFonts w:hint="eastAsia" w:ascii="仿宋" w:hAnsi="仿宋" w:eastAsia="仿宋" w:cs="仿宋"/>
          <w:sz w:val="30"/>
          <w:szCs w:val="30"/>
        </w:rPr>
        <w:fldChar w:fldCharType="separate"/>
      </w:r>
      <w:r>
        <w:rPr>
          <w:rFonts w:hint="eastAsia" w:ascii="仿宋" w:hAnsi="仿宋" w:eastAsia="仿宋" w:cs="仿宋"/>
          <w:sz w:val="30"/>
          <w:szCs w:val="30"/>
        </w:rPr>
        <w:t>28</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_Toc31526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第四节 </w:t>
      </w:r>
      <w:r>
        <w:rPr>
          <w:rFonts w:hint="eastAsia" w:ascii="仿宋" w:hAnsi="仿宋" w:eastAsia="仿宋" w:cs="仿宋"/>
          <w:sz w:val="30"/>
          <w:szCs w:val="30"/>
          <w:highlight w:val="none"/>
          <w:lang w:eastAsia="zh-CN"/>
        </w:rPr>
        <w:t>提升应对重大疫情风险能力</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_Toc31526 \h </w:instrText>
      </w:r>
      <w:r>
        <w:rPr>
          <w:rFonts w:hint="eastAsia" w:ascii="仿宋" w:hAnsi="仿宋" w:eastAsia="仿宋" w:cs="仿宋"/>
          <w:sz w:val="30"/>
          <w:szCs w:val="30"/>
        </w:rPr>
        <w:fldChar w:fldCharType="separate"/>
      </w:r>
      <w:r>
        <w:rPr>
          <w:rFonts w:hint="eastAsia" w:ascii="仿宋" w:hAnsi="仿宋" w:eastAsia="仿宋" w:cs="仿宋"/>
          <w:sz w:val="30"/>
          <w:szCs w:val="30"/>
        </w:rPr>
        <w:t>29</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19"/>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_Toc19585 </w:instrText>
      </w:r>
      <w:r>
        <w:rPr>
          <w:rFonts w:hint="eastAsia" w:ascii="仿宋" w:hAnsi="仿宋" w:eastAsia="仿宋" w:cs="仿宋"/>
          <w:sz w:val="30"/>
          <w:szCs w:val="30"/>
          <w:highlight w:val="none"/>
        </w:rPr>
        <w:fldChar w:fldCharType="separate"/>
      </w:r>
      <w:r>
        <w:rPr>
          <w:rFonts w:hint="eastAsia" w:ascii="仿宋" w:hAnsi="仿宋" w:eastAsia="仿宋" w:cs="仿宋"/>
          <w:spacing w:val="5"/>
          <w:sz w:val="30"/>
          <w:szCs w:val="30"/>
          <w:lang w:eastAsia="zh-CN"/>
        </w:rPr>
        <w:t xml:space="preserve">第七章 </w:t>
      </w:r>
      <w:r>
        <w:rPr>
          <w:rFonts w:hint="eastAsia" w:ascii="仿宋" w:hAnsi="仿宋" w:eastAsia="仿宋" w:cs="仿宋"/>
          <w:spacing w:val="5"/>
          <w:sz w:val="30"/>
          <w:szCs w:val="30"/>
          <w:highlight w:val="none"/>
        </w:rPr>
        <w:t>传承历史文化，塑造特色风貌</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_Toc19585 \h </w:instrText>
      </w:r>
      <w:r>
        <w:rPr>
          <w:rFonts w:hint="eastAsia" w:ascii="仿宋" w:hAnsi="仿宋" w:eastAsia="仿宋" w:cs="仿宋"/>
          <w:sz w:val="30"/>
          <w:szCs w:val="30"/>
        </w:rPr>
        <w:fldChar w:fldCharType="separate"/>
      </w:r>
      <w:r>
        <w:rPr>
          <w:rFonts w:hint="eastAsia" w:ascii="仿宋" w:hAnsi="仿宋" w:eastAsia="仿宋" w:cs="仿宋"/>
          <w:sz w:val="30"/>
          <w:szCs w:val="30"/>
        </w:rPr>
        <w:t>31</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_Toc28314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第一节 </w:t>
      </w:r>
      <w:r>
        <w:rPr>
          <w:rFonts w:hint="eastAsia" w:ascii="仿宋" w:hAnsi="仿宋" w:eastAsia="仿宋" w:cs="仿宋"/>
          <w:sz w:val="30"/>
          <w:szCs w:val="30"/>
          <w:highlight w:val="none"/>
          <w:lang w:eastAsia="zh-CN"/>
        </w:rPr>
        <w:t>保护利用历史文化遗产</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_Toc28314 \h </w:instrText>
      </w:r>
      <w:r>
        <w:rPr>
          <w:rFonts w:hint="eastAsia" w:ascii="仿宋" w:hAnsi="仿宋" w:eastAsia="仿宋" w:cs="仿宋"/>
          <w:sz w:val="30"/>
          <w:szCs w:val="30"/>
        </w:rPr>
        <w:fldChar w:fldCharType="separate"/>
      </w:r>
      <w:r>
        <w:rPr>
          <w:rFonts w:hint="eastAsia" w:ascii="仿宋" w:hAnsi="仿宋" w:eastAsia="仿宋" w:cs="仿宋"/>
          <w:sz w:val="30"/>
          <w:szCs w:val="30"/>
        </w:rPr>
        <w:t>31</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_Toc13379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第二节 </w:t>
      </w:r>
      <w:r>
        <w:rPr>
          <w:rFonts w:hint="eastAsia" w:ascii="仿宋" w:hAnsi="仿宋" w:eastAsia="仿宋" w:cs="仿宋"/>
          <w:sz w:val="30"/>
          <w:szCs w:val="30"/>
          <w:highlight w:val="none"/>
          <w:lang w:eastAsia="zh-CN"/>
        </w:rPr>
        <w:t>塑造自然生态魅力城镇</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_Toc13379 \h </w:instrText>
      </w:r>
      <w:r>
        <w:rPr>
          <w:rFonts w:hint="eastAsia" w:ascii="仿宋" w:hAnsi="仿宋" w:eastAsia="仿宋" w:cs="仿宋"/>
          <w:sz w:val="30"/>
          <w:szCs w:val="30"/>
        </w:rPr>
        <w:fldChar w:fldCharType="separate"/>
      </w:r>
      <w:r>
        <w:rPr>
          <w:rFonts w:hint="eastAsia" w:ascii="仿宋" w:hAnsi="仿宋" w:eastAsia="仿宋" w:cs="仿宋"/>
          <w:sz w:val="30"/>
          <w:szCs w:val="30"/>
        </w:rPr>
        <w:t>32</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_Toc21530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第三节 </w:t>
      </w:r>
      <w:r>
        <w:rPr>
          <w:rFonts w:hint="eastAsia" w:ascii="仿宋" w:hAnsi="仿宋" w:eastAsia="仿宋" w:cs="仿宋"/>
          <w:sz w:val="30"/>
          <w:szCs w:val="30"/>
          <w:highlight w:val="none"/>
          <w:lang w:eastAsia="zh-CN"/>
        </w:rPr>
        <w:t>凸显田园风光镇村特色</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_Toc21530 \h </w:instrText>
      </w:r>
      <w:r>
        <w:rPr>
          <w:rFonts w:hint="eastAsia" w:ascii="仿宋" w:hAnsi="仿宋" w:eastAsia="仿宋" w:cs="仿宋"/>
          <w:sz w:val="30"/>
          <w:szCs w:val="30"/>
        </w:rPr>
        <w:fldChar w:fldCharType="separate"/>
      </w:r>
      <w:r>
        <w:rPr>
          <w:rFonts w:hint="eastAsia" w:ascii="仿宋" w:hAnsi="仿宋" w:eastAsia="仿宋" w:cs="仿宋"/>
          <w:sz w:val="30"/>
          <w:szCs w:val="30"/>
        </w:rPr>
        <w:t>32</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19"/>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_Toc1044 </w:instrText>
      </w:r>
      <w:r>
        <w:rPr>
          <w:rFonts w:hint="eastAsia" w:ascii="仿宋" w:hAnsi="仿宋" w:eastAsia="仿宋" w:cs="仿宋"/>
          <w:sz w:val="30"/>
          <w:szCs w:val="30"/>
          <w:highlight w:val="none"/>
        </w:rPr>
        <w:fldChar w:fldCharType="separate"/>
      </w:r>
      <w:r>
        <w:rPr>
          <w:rFonts w:hint="eastAsia" w:ascii="仿宋" w:hAnsi="仿宋" w:eastAsia="仿宋" w:cs="仿宋"/>
          <w:spacing w:val="5"/>
          <w:sz w:val="30"/>
          <w:szCs w:val="30"/>
        </w:rPr>
        <w:t xml:space="preserve">第八章 </w:t>
      </w:r>
      <w:r>
        <w:rPr>
          <w:rFonts w:hint="eastAsia" w:ascii="仿宋" w:hAnsi="仿宋" w:eastAsia="仿宋" w:cs="仿宋"/>
          <w:spacing w:val="5"/>
          <w:sz w:val="30"/>
          <w:szCs w:val="30"/>
          <w:highlight w:val="none"/>
        </w:rPr>
        <w:t>优化</w:t>
      </w:r>
      <w:r>
        <w:rPr>
          <w:rFonts w:hint="eastAsia" w:ascii="仿宋" w:hAnsi="仿宋" w:eastAsia="仿宋" w:cs="仿宋"/>
          <w:spacing w:val="5"/>
          <w:sz w:val="30"/>
          <w:szCs w:val="30"/>
          <w:highlight w:val="none"/>
          <w:lang w:eastAsia="zh-CN"/>
        </w:rPr>
        <w:t>县城</w:t>
      </w:r>
      <w:r>
        <w:rPr>
          <w:rFonts w:hint="eastAsia" w:ascii="仿宋" w:hAnsi="仿宋" w:eastAsia="仿宋" w:cs="仿宋"/>
          <w:spacing w:val="5"/>
          <w:sz w:val="30"/>
          <w:szCs w:val="30"/>
          <w:highlight w:val="none"/>
        </w:rPr>
        <w:t>空间布局，提升乡镇宜居品质</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_Toc1044 \h </w:instrText>
      </w:r>
      <w:r>
        <w:rPr>
          <w:rFonts w:hint="eastAsia" w:ascii="仿宋" w:hAnsi="仿宋" w:eastAsia="仿宋" w:cs="仿宋"/>
          <w:sz w:val="30"/>
          <w:szCs w:val="30"/>
        </w:rPr>
        <w:fldChar w:fldCharType="separate"/>
      </w:r>
      <w:r>
        <w:rPr>
          <w:rFonts w:hint="eastAsia" w:ascii="仿宋" w:hAnsi="仿宋" w:eastAsia="仿宋" w:cs="仿宋"/>
          <w:sz w:val="30"/>
          <w:szCs w:val="30"/>
        </w:rPr>
        <w:t>34</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_Toc24531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第一节 </w:t>
      </w:r>
      <w:r>
        <w:rPr>
          <w:rFonts w:hint="eastAsia" w:ascii="仿宋" w:hAnsi="仿宋" w:eastAsia="仿宋" w:cs="仿宋"/>
          <w:sz w:val="30"/>
          <w:szCs w:val="30"/>
          <w:highlight w:val="none"/>
          <w:lang w:eastAsia="zh-CN"/>
        </w:rPr>
        <w:t>优化县城用地布局</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_Toc24531 \h </w:instrText>
      </w:r>
      <w:r>
        <w:rPr>
          <w:rFonts w:hint="eastAsia" w:ascii="仿宋" w:hAnsi="仿宋" w:eastAsia="仿宋" w:cs="仿宋"/>
          <w:sz w:val="30"/>
          <w:szCs w:val="30"/>
        </w:rPr>
        <w:fldChar w:fldCharType="separate"/>
      </w:r>
      <w:r>
        <w:rPr>
          <w:rFonts w:hint="eastAsia" w:ascii="仿宋" w:hAnsi="仿宋" w:eastAsia="仿宋" w:cs="仿宋"/>
          <w:sz w:val="30"/>
          <w:szCs w:val="30"/>
        </w:rPr>
        <w:t>34</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_Toc31487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第二节 </w:t>
      </w:r>
      <w:r>
        <w:rPr>
          <w:rFonts w:hint="eastAsia" w:ascii="仿宋" w:hAnsi="仿宋" w:eastAsia="仿宋" w:cs="仿宋"/>
          <w:sz w:val="30"/>
          <w:szCs w:val="30"/>
          <w:highlight w:val="none"/>
          <w:lang w:eastAsia="zh-CN"/>
        </w:rPr>
        <w:t>构建绿色安全的交通网络</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_Toc31487 \h </w:instrText>
      </w:r>
      <w:r>
        <w:rPr>
          <w:rFonts w:hint="eastAsia" w:ascii="仿宋" w:hAnsi="仿宋" w:eastAsia="仿宋" w:cs="仿宋"/>
          <w:sz w:val="30"/>
          <w:szCs w:val="30"/>
        </w:rPr>
        <w:fldChar w:fldCharType="separate"/>
      </w:r>
      <w:r>
        <w:rPr>
          <w:rFonts w:hint="eastAsia" w:ascii="仿宋" w:hAnsi="仿宋" w:eastAsia="仿宋" w:cs="仿宋"/>
          <w:sz w:val="30"/>
          <w:szCs w:val="30"/>
        </w:rPr>
        <w:t>35</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_Toc2548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第三节 </w:t>
      </w:r>
      <w:r>
        <w:rPr>
          <w:rFonts w:hint="eastAsia" w:ascii="仿宋" w:hAnsi="仿宋" w:eastAsia="仿宋" w:cs="仿宋"/>
          <w:sz w:val="30"/>
          <w:szCs w:val="30"/>
          <w:highlight w:val="none"/>
          <w:lang w:eastAsia="zh-CN"/>
        </w:rPr>
        <w:t>打造配套完善的公共服务设施</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_Toc2548 \h </w:instrText>
      </w:r>
      <w:r>
        <w:rPr>
          <w:rFonts w:hint="eastAsia" w:ascii="仿宋" w:hAnsi="仿宋" w:eastAsia="仿宋" w:cs="仿宋"/>
          <w:sz w:val="30"/>
          <w:szCs w:val="30"/>
        </w:rPr>
        <w:fldChar w:fldCharType="separate"/>
      </w:r>
      <w:r>
        <w:rPr>
          <w:rFonts w:hint="eastAsia" w:ascii="仿宋" w:hAnsi="仿宋" w:eastAsia="仿宋" w:cs="仿宋"/>
          <w:sz w:val="30"/>
          <w:szCs w:val="30"/>
        </w:rPr>
        <w:t>36</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_Toc14486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第四节 </w:t>
      </w:r>
      <w:r>
        <w:rPr>
          <w:rFonts w:hint="eastAsia" w:ascii="仿宋" w:hAnsi="仿宋" w:eastAsia="仿宋" w:cs="仿宋"/>
          <w:sz w:val="30"/>
          <w:szCs w:val="30"/>
          <w:highlight w:val="none"/>
          <w:lang w:eastAsia="zh-CN"/>
        </w:rPr>
        <w:t>创建智慧绿色的城市服务保障</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_Toc14486 \h </w:instrText>
      </w:r>
      <w:r>
        <w:rPr>
          <w:rFonts w:hint="eastAsia" w:ascii="仿宋" w:hAnsi="仿宋" w:eastAsia="仿宋" w:cs="仿宋"/>
          <w:sz w:val="30"/>
          <w:szCs w:val="30"/>
        </w:rPr>
        <w:fldChar w:fldCharType="separate"/>
      </w:r>
      <w:r>
        <w:rPr>
          <w:rFonts w:hint="eastAsia" w:ascii="仿宋" w:hAnsi="仿宋" w:eastAsia="仿宋" w:cs="仿宋"/>
          <w:sz w:val="30"/>
          <w:szCs w:val="30"/>
        </w:rPr>
        <w:t>39</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_Toc25439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第五节 </w:t>
      </w:r>
      <w:r>
        <w:rPr>
          <w:rFonts w:hint="eastAsia" w:ascii="仿宋" w:hAnsi="仿宋" w:eastAsia="仿宋" w:cs="仿宋"/>
          <w:sz w:val="30"/>
          <w:szCs w:val="30"/>
          <w:highlight w:val="none"/>
          <w:lang w:eastAsia="zh-CN"/>
        </w:rPr>
        <w:t>提升防灾减灾和综合应急水平</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_Toc25439 \h </w:instrText>
      </w:r>
      <w:r>
        <w:rPr>
          <w:rFonts w:hint="eastAsia" w:ascii="仿宋" w:hAnsi="仿宋" w:eastAsia="仿宋" w:cs="仿宋"/>
          <w:sz w:val="30"/>
          <w:szCs w:val="30"/>
        </w:rPr>
        <w:fldChar w:fldCharType="separate"/>
      </w:r>
      <w:r>
        <w:rPr>
          <w:rFonts w:hint="eastAsia" w:ascii="仿宋" w:hAnsi="仿宋" w:eastAsia="仿宋" w:cs="仿宋"/>
          <w:sz w:val="30"/>
          <w:szCs w:val="30"/>
        </w:rPr>
        <w:t>41</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_Toc9065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第六节 </w:t>
      </w:r>
      <w:r>
        <w:rPr>
          <w:rFonts w:hint="eastAsia" w:ascii="仿宋" w:hAnsi="仿宋" w:eastAsia="仿宋" w:cs="仿宋"/>
          <w:sz w:val="30"/>
          <w:szCs w:val="30"/>
          <w:highlight w:val="none"/>
          <w:lang w:eastAsia="zh-CN"/>
        </w:rPr>
        <w:t>加强总体城市设计引导</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_Toc9065 \h </w:instrText>
      </w:r>
      <w:r>
        <w:rPr>
          <w:rFonts w:hint="eastAsia" w:ascii="仿宋" w:hAnsi="仿宋" w:eastAsia="仿宋" w:cs="仿宋"/>
          <w:sz w:val="30"/>
          <w:szCs w:val="30"/>
        </w:rPr>
        <w:fldChar w:fldCharType="separate"/>
      </w:r>
      <w:r>
        <w:rPr>
          <w:rFonts w:hint="eastAsia" w:ascii="仿宋" w:hAnsi="仿宋" w:eastAsia="仿宋" w:cs="仿宋"/>
          <w:sz w:val="30"/>
          <w:szCs w:val="30"/>
        </w:rPr>
        <w:t>42</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_Toc13517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第七节 </w:t>
      </w:r>
      <w:r>
        <w:rPr>
          <w:rFonts w:hint="eastAsia" w:ascii="仿宋" w:hAnsi="仿宋" w:eastAsia="仿宋" w:cs="仿宋"/>
          <w:sz w:val="30"/>
          <w:szCs w:val="30"/>
          <w:highlight w:val="none"/>
          <w:lang w:eastAsia="zh-CN"/>
        </w:rPr>
        <w:t>统筹城市“四线”划定与管控</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_Toc13517 \h </w:instrText>
      </w:r>
      <w:r>
        <w:rPr>
          <w:rFonts w:hint="eastAsia" w:ascii="仿宋" w:hAnsi="仿宋" w:eastAsia="仿宋" w:cs="仿宋"/>
          <w:sz w:val="30"/>
          <w:szCs w:val="30"/>
        </w:rPr>
        <w:fldChar w:fldCharType="separate"/>
      </w:r>
      <w:r>
        <w:rPr>
          <w:rFonts w:hint="eastAsia" w:ascii="仿宋" w:hAnsi="仿宋" w:eastAsia="仿宋" w:cs="仿宋"/>
          <w:sz w:val="30"/>
          <w:szCs w:val="30"/>
        </w:rPr>
        <w:t>43</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_Toc5132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第八节 </w:t>
      </w:r>
      <w:r>
        <w:rPr>
          <w:rFonts w:hint="eastAsia" w:ascii="仿宋" w:hAnsi="仿宋" w:eastAsia="仿宋" w:cs="仿宋"/>
          <w:sz w:val="30"/>
          <w:szCs w:val="30"/>
          <w:highlight w:val="none"/>
          <w:lang w:eastAsia="zh-CN"/>
        </w:rPr>
        <w:t>有序推进城镇更新</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_Toc5132 \h </w:instrText>
      </w:r>
      <w:r>
        <w:rPr>
          <w:rFonts w:hint="eastAsia" w:ascii="仿宋" w:hAnsi="仿宋" w:eastAsia="仿宋" w:cs="仿宋"/>
          <w:sz w:val="30"/>
          <w:szCs w:val="30"/>
        </w:rPr>
        <w:fldChar w:fldCharType="separate"/>
      </w:r>
      <w:r>
        <w:rPr>
          <w:rFonts w:hint="eastAsia" w:ascii="仿宋" w:hAnsi="仿宋" w:eastAsia="仿宋" w:cs="仿宋"/>
          <w:sz w:val="30"/>
          <w:szCs w:val="30"/>
        </w:rPr>
        <w:t>44</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19"/>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_Toc25658 </w:instrText>
      </w:r>
      <w:r>
        <w:rPr>
          <w:rFonts w:hint="eastAsia" w:ascii="仿宋" w:hAnsi="仿宋" w:eastAsia="仿宋" w:cs="仿宋"/>
          <w:sz w:val="30"/>
          <w:szCs w:val="30"/>
          <w:highlight w:val="none"/>
        </w:rPr>
        <w:fldChar w:fldCharType="separate"/>
      </w:r>
      <w:r>
        <w:rPr>
          <w:rFonts w:hint="eastAsia" w:ascii="仿宋" w:hAnsi="仿宋" w:eastAsia="仿宋" w:cs="仿宋"/>
          <w:spacing w:val="5"/>
          <w:sz w:val="30"/>
          <w:szCs w:val="30"/>
        </w:rPr>
        <w:t xml:space="preserve">第九章 </w:t>
      </w:r>
      <w:r>
        <w:rPr>
          <w:rFonts w:hint="eastAsia" w:ascii="仿宋" w:hAnsi="仿宋" w:eastAsia="仿宋" w:cs="仿宋"/>
          <w:spacing w:val="5"/>
          <w:sz w:val="30"/>
          <w:szCs w:val="30"/>
          <w:highlight w:val="none"/>
        </w:rPr>
        <w:t>规划传导实施与保障</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_Toc25658 \h </w:instrText>
      </w:r>
      <w:r>
        <w:rPr>
          <w:rFonts w:hint="eastAsia" w:ascii="仿宋" w:hAnsi="仿宋" w:eastAsia="仿宋" w:cs="仿宋"/>
          <w:sz w:val="30"/>
          <w:szCs w:val="30"/>
        </w:rPr>
        <w:fldChar w:fldCharType="separate"/>
      </w:r>
      <w:r>
        <w:rPr>
          <w:rFonts w:hint="eastAsia" w:ascii="仿宋" w:hAnsi="仿宋" w:eastAsia="仿宋" w:cs="仿宋"/>
          <w:sz w:val="30"/>
          <w:szCs w:val="30"/>
        </w:rPr>
        <w:t>45</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_Toc29022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第一节 </w:t>
      </w:r>
      <w:r>
        <w:rPr>
          <w:rFonts w:hint="eastAsia" w:ascii="仿宋" w:hAnsi="仿宋" w:eastAsia="仿宋" w:cs="仿宋"/>
          <w:sz w:val="30"/>
          <w:szCs w:val="30"/>
          <w:highlight w:val="none"/>
          <w:lang w:eastAsia="zh-CN"/>
        </w:rPr>
        <w:t>制定单元规划</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_Toc29022 \h </w:instrText>
      </w:r>
      <w:r>
        <w:rPr>
          <w:rFonts w:hint="eastAsia" w:ascii="仿宋" w:hAnsi="仿宋" w:eastAsia="仿宋" w:cs="仿宋"/>
          <w:sz w:val="30"/>
          <w:szCs w:val="30"/>
        </w:rPr>
        <w:fldChar w:fldCharType="separate"/>
      </w:r>
      <w:r>
        <w:rPr>
          <w:rFonts w:hint="eastAsia" w:ascii="仿宋" w:hAnsi="仿宋" w:eastAsia="仿宋" w:cs="仿宋"/>
          <w:sz w:val="30"/>
          <w:szCs w:val="30"/>
        </w:rPr>
        <w:t>45</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_Toc14999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第二节 </w:t>
      </w:r>
      <w:r>
        <w:rPr>
          <w:rFonts w:hint="eastAsia" w:ascii="仿宋" w:hAnsi="仿宋" w:eastAsia="仿宋" w:cs="仿宋"/>
          <w:sz w:val="30"/>
          <w:szCs w:val="30"/>
          <w:highlight w:val="none"/>
          <w:lang w:eastAsia="zh-CN"/>
        </w:rPr>
        <w:t>近期行动计划</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_Toc14999 \h </w:instrText>
      </w:r>
      <w:r>
        <w:rPr>
          <w:rFonts w:hint="eastAsia" w:ascii="仿宋" w:hAnsi="仿宋" w:eastAsia="仿宋" w:cs="仿宋"/>
          <w:sz w:val="30"/>
          <w:szCs w:val="30"/>
        </w:rPr>
        <w:fldChar w:fldCharType="separate"/>
      </w:r>
      <w:r>
        <w:rPr>
          <w:rFonts w:hint="eastAsia" w:ascii="仿宋" w:hAnsi="仿宋" w:eastAsia="仿宋" w:cs="仿宋"/>
          <w:sz w:val="30"/>
          <w:szCs w:val="30"/>
        </w:rPr>
        <w:t>46</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_Toc4079 </w:instrText>
      </w:r>
      <w:r>
        <w:rPr>
          <w:rFonts w:hint="eastAsia" w:ascii="仿宋" w:hAnsi="仿宋" w:eastAsia="仿宋" w:cs="仿宋"/>
          <w:sz w:val="30"/>
          <w:szCs w:val="30"/>
          <w:highlight w:val="none"/>
        </w:rPr>
        <w:fldChar w:fldCharType="separate"/>
      </w:r>
      <w:r>
        <w:rPr>
          <w:rFonts w:hint="eastAsia" w:ascii="仿宋" w:hAnsi="仿宋" w:eastAsia="仿宋" w:cs="仿宋"/>
          <w:sz w:val="30"/>
          <w:szCs w:val="30"/>
          <w:lang w:eastAsia="zh-CN"/>
        </w:rPr>
        <w:t xml:space="preserve">第三节 </w:t>
      </w:r>
      <w:r>
        <w:rPr>
          <w:rFonts w:hint="eastAsia" w:ascii="仿宋" w:hAnsi="仿宋" w:eastAsia="仿宋" w:cs="仿宋"/>
          <w:sz w:val="30"/>
          <w:szCs w:val="30"/>
          <w:highlight w:val="none"/>
          <w:lang w:eastAsia="zh-CN"/>
        </w:rPr>
        <w:t>规划实施保障</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_Toc4079 \h </w:instrText>
      </w:r>
      <w:r>
        <w:rPr>
          <w:rFonts w:hint="eastAsia" w:ascii="仿宋" w:hAnsi="仿宋" w:eastAsia="仿宋" w:cs="仿宋"/>
          <w:sz w:val="30"/>
          <w:szCs w:val="30"/>
        </w:rPr>
        <w:fldChar w:fldCharType="separate"/>
      </w:r>
      <w:r>
        <w:rPr>
          <w:rFonts w:hint="eastAsia" w:ascii="仿宋" w:hAnsi="仿宋" w:eastAsia="仿宋" w:cs="仿宋"/>
          <w:sz w:val="30"/>
          <w:szCs w:val="30"/>
        </w:rPr>
        <w:t>47</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19"/>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_Toc13324 </w:instrText>
      </w:r>
      <w:r>
        <w:rPr>
          <w:rFonts w:hint="eastAsia" w:ascii="仿宋" w:hAnsi="仿宋" w:eastAsia="仿宋" w:cs="仿宋"/>
          <w:sz w:val="30"/>
          <w:szCs w:val="30"/>
          <w:highlight w:val="none"/>
        </w:rPr>
        <w:fldChar w:fldCharType="separate"/>
      </w:r>
      <w:r>
        <w:rPr>
          <w:rFonts w:hint="eastAsia" w:ascii="仿宋" w:hAnsi="仿宋" w:eastAsia="仿宋" w:cs="仿宋"/>
          <w:spacing w:val="5"/>
          <w:sz w:val="30"/>
          <w:szCs w:val="30"/>
          <w:lang w:eastAsia="zh-CN"/>
        </w:rPr>
        <w:t xml:space="preserve">第十章 </w:t>
      </w:r>
      <w:r>
        <w:rPr>
          <w:rFonts w:hint="eastAsia" w:ascii="仿宋" w:hAnsi="仿宋" w:eastAsia="仿宋" w:cs="仿宋"/>
          <w:spacing w:val="5"/>
          <w:sz w:val="30"/>
          <w:szCs w:val="30"/>
          <w:highlight w:val="none"/>
          <w:lang w:eastAsia="zh-CN"/>
        </w:rPr>
        <w:t>乡村地区“通则式”规划技术管理规定</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_Toc13324 \h </w:instrText>
      </w:r>
      <w:r>
        <w:rPr>
          <w:rFonts w:hint="eastAsia" w:ascii="仿宋" w:hAnsi="仿宋" w:eastAsia="仿宋" w:cs="仿宋"/>
          <w:sz w:val="30"/>
          <w:szCs w:val="30"/>
        </w:rPr>
        <w:fldChar w:fldCharType="separate"/>
      </w:r>
      <w:r>
        <w:rPr>
          <w:rFonts w:hint="eastAsia" w:ascii="仿宋" w:hAnsi="仿宋" w:eastAsia="仿宋" w:cs="仿宋"/>
          <w:sz w:val="30"/>
          <w:szCs w:val="30"/>
        </w:rPr>
        <w:t>49</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_Toc30137 </w:instrText>
      </w:r>
      <w:r>
        <w:rPr>
          <w:rFonts w:hint="eastAsia" w:ascii="仿宋" w:hAnsi="仿宋" w:eastAsia="仿宋" w:cs="仿宋"/>
          <w:sz w:val="30"/>
          <w:szCs w:val="30"/>
          <w:highlight w:val="none"/>
        </w:rPr>
        <w:fldChar w:fldCharType="separate"/>
      </w:r>
      <w:r>
        <w:rPr>
          <w:rFonts w:hint="eastAsia" w:ascii="仿宋" w:hAnsi="仿宋" w:eastAsia="仿宋" w:cs="仿宋"/>
          <w:bCs/>
          <w:sz w:val="30"/>
          <w:szCs w:val="30"/>
          <w:highlight w:val="none"/>
          <w:lang w:val="en-US" w:eastAsia="zh-CN" w:bidi="zh-TW"/>
        </w:rPr>
        <w:t xml:space="preserve">第一节 </w:t>
      </w:r>
      <w:r>
        <w:rPr>
          <w:rFonts w:hint="eastAsia" w:ascii="仿宋" w:hAnsi="仿宋" w:eastAsia="仿宋" w:cs="仿宋"/>
          <w:bCs/>
          <w:sz w:val="30"/>
          <w:szCs w:val="30"/>
          <w:highlight w:val="none"/>
          <w:lang w:val="zh-TW" w:eastAsia="zh-CN" w:bidi="zh-TW"/>
        </w:rPr>
        <w:t>总则</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_Toc30137 \h </w:instrText>
      </w:r>
      <w:r>
        <w:rPr>
          <w:rFonts w:hint="eastAsia" w:ascii="仿宋" w:hAnsi="仿宋" w:eastAsia="仿宋" w:cs="仿宋"/>
          <w:sz w:val="30"/>
          <w:szCs w:val="30"/>
        </w:rPr>
        <w:fldChar w:fldCharType="separate"/>
      </w:r>
      <w:r>
        <w:rPr>
          <w:rFonts w:hint="eastAsia" w:ascii="仿宋" w:hAnsi="仿宋" w:eastAsia="仿宋" w:cs="仿宋"/>
          <w:sz w:val="30"/>
          <w:szCs w:val="30"/>
        </w:rPr>
        <w:t>49</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_Toc5972 </w:instrText>
      </w:r>
      <w:r>
        <w:rPr>
          <w:rFonts w:hint="eastAsia" w:ascii="仿宋" w:hAnsi="仿宋" w:eastAsia="仿宋" w:cs="仿宋"/>
          <w:sz w:val="30"/>
          <w:szCs w:val="30"/>
          <w:highlight w:val="none"/>
        </w:rPr>
        <w:fldChar w:fldCharType="separate"/>
      </w:r>
      <w:r>
        <w:rPr>
          <w:rFonts w:hint="eastAsia" w:ascii="仿宋" w:hAnsi="仿宋" w:eastAsia="仿宋" w:cs="仿宋"/>
          <w:bCs/>
          <w:sz w:val="30"/>
          <w:szCs w:val="30"/>
          <w:highlight w:val="none"/>
          <w:lang w:val="en-US" w:eastAsia="zh-CN" w:bidi="zh-TW"/>
        </w:rPr>
        <w:t>第二节镇村体系</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_Toc5972 \h </w:instrText>
      </w:r>
      <w:r>
        <w:rPr>
          <w:rFonts w:hint="eastAsia" w:ascii="仿宋" w:hAnsi="仿宋" w:eastAsia="仿宋" w:cs="仿宋"/>
          <w:sz w:val="30"/>
          <w:szCs w:val="30"/>
        </w:rPr>
        <w:fldChar w:fldCharType="separate"/>
      </w:r>
      <w:r>
        <w:rPr>
          <w:rFonts w:hint="eastAsia" w:ascii="仿宋" w:hAnsi="仿宋" w:eastAsia="仿宋" w:cs="仿宋"/>
          <w:sz w:val="30"/>
          <w:szCs w:val="30"/>
        </w:rPr>
        <w:t>50</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_Toc27788 </w:instrText>
      </w:r>
      <w:r>
        <w:rPr>
          <w:rFonts w:hint="eastAsia" w:ascii="仿宋" w:hAnsi="仿宋" w:eastAsia="仿宋" w:cs="仿宋"/>
          <w:sz w:val="30"/>
          <w:szCs w:val="30"/>
          <w:highlight w:val="none"/>
        </w:rPr>
        <w:fldChar w:fldCharType="separate"/>
      </w:r>
      <w:r>
        <w:rPr>
          <w:rFonts w:hint="eastAsia" w:ascii="仿宋" w:hAnsi="仿宋" w:eastAsia="仿宋" w:cs="仿宋"/>
          <w:bCs/>
          <w:sz w:val="30"/>
          <w:szCs w:val="30"/>
          <w:highlight w:val="none"/>
          <w:lang w:val="en-US" w:eastAsia="zh-CN" w:bidi="zh-TW"/>
        </w:rPr>
        <w:t>第三节 底线管控</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_Toc27788 \h </w:instrText>
      </w:r>
      <w:r>
        <w:rPr>
          <w:rFonts w:hint="eastAsia" w:ascii="仿宋" w:hAnsi="仿宋" w:eastAsia="仿宋" w:cs="仿宋"/>
          <w:sz w:val="30"/>
          <w:szCs w:val="30"/>
        </w:rPr>
        <w:fldChar w:fldCharType="separate"/>
      </w:r>
      <w:r>
        <w:rPr>
          <w:rFonts w:hint="eastAsia" w:ascii="仿宋" w:hAnsi="仿宋" w:eastAsia="仿宋" w:cs="仿宋"/>
          <w:sz w:val="30"/>
          <w:szCs w:val="30"/>
        </w:rPr>
        <w:t>51</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_Toc13563 </w:instrText>
      </w:r>
      <w:r>
        <w:rPr>
          <w:rFonts w:hint="eastAsia" w:ascii="仿宋" w:hAnsi="仿宋" w:eastAsia="仿宋" w:cs="仿宋"/>
          <w:sz w:val="30"/>
          <w:szCs w:val="30"/>
          <w:highlight w:val="none"/>
        </w:rPr>
        <w:fldChar w:fldCharType="separate"/>
      </w:r>
      <w:r>
        <w:rPr>
          <w:rFonts w:hint="eastAsia" w:ascii="仿宋" w:hAnsi="仿宋" w:eastAsia="仿宋" w:cs="仿宋"/>
          <w:bCs/>
          <w:sz w:val="30"/>
          <w:szCs w:val="30"/>
          <w:highlight w:val="none"/>
          <w:lang w:val="en-US" w:eastAsia="zh-CN" w:bidi="zh-TW"/>
        </w:rPr>
        <w:t>第四节  指标管控</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_Toc13563 \h </w:instrText>
      </w:r>
      <w:r>
        <w:rPr>
          <w:rFonts w:hint="eastAsia" w:ascii="仿宋" w:hAnsi="仿宋" w:eastAsia="仿宋" w:cs="仿宋"/>
          <w:sz w:val="30"/>
          <w:szCs w:val="30"/>
        </w:rPr>
        <w:fldChar w:fldCharType="separate"/>
      </w:r>
      <w:r>
        <w:rPr>
          <w:rFonts w:hint="eastAsia" w:ascii="仿宋" w:hAnsi="仿宋" w:eastAsia="仿宋" w:cs="仿宋"/>
          <w:sz w:val="30"/>
          <w:szCs w:val="30"/>
        </w:rPr>
        <w:t>55</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_Toc24789 </w:instrText>
      </w:r>
      <w:r>
        <w:rPr>
          <w:rFonts w:hint="eastAsia" w:ascii="仿宋" w:hAnsi="仿宋" w:eastAsia="仿宋" w:cs="仿宋"/>
          <w:sz w:val="30"/>
          <w:szCs w:val="30"/>
          <w:highlight w:val="none"/>
        </w:rPr>
        <w:fldChar w:fldCharType="separate"/>
      </w:r>
      <w:r>
        <w:rPr>
          <w:rFonts w:hint="eastAsia" w:ascii="仿宋" w:hAnsi="仿宋" w:eastAsia="仿宋" w:cs="仿宋"/>
          <w:bCs/>
          <w:sz w:val="30"/>
          <w:szCs w:val="30"/>
          <w:highlight w:val="none"/>
          <w:lang w:val="en-US" w:eastAsia="zh-CN" w:bidi="zh-TW"/>
        </w:rPr>
        <w:t>第五节  用地布局</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_Toc24789 \h </w:instrText>
      </w:r>
      <w:r>
        <w:rPr>
          <w:rFonts w:hint="eastAsia" w:ascii="仿宋" w:hAnsi="仿宋" w:eastAsia="仿宋" w:cs="仿宋"/>
          <w:sz w:val="30"/>
          <w:szCs w:val="30"/>
        </w:rPr>
        <w:fldChar w:fldCharType="separate"/>
      </w:r>
      <w:r>
        <w:rPr>
          <w:rFonts w:hint="eastAsia" w:ascii="仿宋" w:hAnsi="仿宋" w:eastAsia="仿宋" w:cs="仿宋"/>
          <w:sz w:val="30"/>
          <w:szCs w:val="30"/>
        </w:rPr>
        <w:t>56</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_Toc30086 </w:instrText>
      </w:r>
      <w:r>
        <w:rPr>
          <w:rFonts w:hint="eastAsia" w:ascii="仿宋" w:hAnsi="仿宋" w:eastAsia="仿宋" w:cs="仿宋"/>
          <w:sz w:val="30"/>
          <w:szCs w:val="30"/>
          <w:highlight w:val="none"/>
        </w:rPr>
        <w:fldChar w:fldCharType="separate"/>
      </w:r>
      <w:r>
        <w:rPr>
          <w:rFonts w:hint="eastAsia" w:ascii="仿宋" w:hAnsi="仿宋" w:eastAsia="仿宋" w:cs="仿宋"/>
          <w:bCs/>
          <w:sz w:val="30"/>
          <w:szCs w:val="30"/>
          <w:highlight w:val="none"/>
          <w:lang w:val="en-US" w:eastAsia="zh-CN" w:bidi="zh-TW"/>
        </w:rPr>
        <w:t>第六节  建设控制</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_Toc30086 \h </w:instrText>
      </w:r>
      <w:r>
        <w:rPr>
          <w:rFonts w:hint="eastAsia" w:ascii="仿宋" w:hAnsi="仿宋" w:eastAsia="仿宋" w:cs="仿宋"/>
          <w:sz w:val="30"/>
          <w:szCs w:val="30"/>
        </w:rPr>
        <w:fldChar w:fldCharType="separate"/>
      </w:r>
      <w:r>
        <w:rPr>
          <w:rFonts w:hint="eastAsia" w:ascii="仿宋" w:hAnsi="仿宋" w:eastAsia="仿宋" w:cs="仿宋"/>
          <w:sz w:val="30"/>
          <w:szCs w:val="30"/>
        </w:rPr>
        <w:t>62</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_Toc14251 </w:instrText>
      </w:r>
      <w:r>
        <w:rPr>
          <w:rFonts w:hint="eastAsia" w:ascii="仿宋" w:hAnsi="仿宋" w:eastAsia="仿宋" w:cs="仿宋"/>
          <w:sz w:val="30"/>
          <w:szCs w:val="30"/>
          <w:highlight w:val="none"/>
        </w:rPr>
        <w:fldChar w:fldCharType="separate"/>
      </w:r>
      <w:r>
        <w:rPr>
          <w:rFonts w:hint="eastAsia" w:ascii="仿宋" w:hAnsi="仿宋" w:eastAsia="仿宋" w:cs="仿宋"/>
          <w:bCs/>
          <w:sz w:val="30"/>
          <w:szCs w:val="30"/>
          <w:highlight w:val="none"/>
          <w:lang w:val="en-US" w:eastAsia="zh-CN" w:bidi="zh-TW"/>
        </w:rPr>
        <w:t>第七节  交通组织</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_Toc14251 \h </w:instrText>
      </w:r>
      <w:r>
        <w:rPr>
          <w:rFonts w:hint="eastAsia" w:ascii="仿宋" w:hAnsi="仿宋" w:eastAsia="仿宋" w:cs="仿宋"/>
          <w:sz w:val="30"/>
          <w:szCs w:val="30"/>
        </w:rPr>
        <w:fldChar w:fldCharType="separate"/>
      </w:r>
      <w:r>
        <w:rPr>
          <w:rFonts w:hint="eastAsia" w:ascii="仿宋" w:hAnsi="仿宋" w:eastAsia="仿宋" w:cs="仿宋"/>
          <w:sz w:val="30"/>
          <w:szCs w:val="30"/>
        </w:rPr>
        <w:t>65</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_Toc21956 </w:instrText>
      </w:r>
      <w:r>
        <w:rPr>
          <w:rFonts w:hint="eastAsia" w:ascii="仿宋" w:hAnsi="仿宋" w:eastAsia="仿宋" w:cs="仿宋"/>
          <w:sz w:val="30"/>
          <w:szCs w:val="30"/>
          <w:highlight w:val="none"/>
        </w:rPr>
        <w:fldChar w:fldCharType="separate"/>
      </w:r>
      <w:r>
        <w:rPr>
          <w:rFonts w:hint="eastAsia" w:ascii="仿宋" w:hAnsi="仿宋" w:eastAsia="仿宋" w:cs="仿宋"/>
          <w:bCs/>
          <w:sz w:val="30"/>
          <w:szCs w:val="30"/>
          <w:highlight w:val="none"/>
          <w:lang w:val="en-US" w:eastAsia="zh-CN" w:bidi="zh-TW"/>
        </w:rPr>
        <w:t>第八节  人居环境整治与风貌提升</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_Toc21956 \h </w:instrText>
      </w:r>
      <w:r>
        <w:rPr>
          <w:rFonts w:hint="eastAsia" w:ascii="仿宋" w:hAnsi="仿宋" w:eastAsia="仿宋" w:cs="仿宋"/>
          <w:sz w:val="30"/>
          <w:szCs w:val="30"/>
        </w:rPr>
        <w:fldChar w:fldCharType="separate"/>
      </w:r>
      <w:r>
        <w:rPr>
          <w:rFonts w:hint="eastAsia" w:ascii="仿宋" w:hAnsi="仿宋" w:eastAsia="仿宋" w:cs="仿宋"/>
          <w:sz w:val="30"/>
          <w:szCs w:val="30"/>
        </w:rPr>
        <w:t>66</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_Toc24141 </w:instrText>
      </w:r>
      <w:r>
        <w:rPr>
          <w:rFonts w:hint="eastAsia" w:ascii="仿宋" w:hAnsi="仿宋" w:eastAsia="仿宋" w:cs="仿宋"/>
          <w:sz w:val="30"/>
          <w:szCs w:val="30"/>
          <w:highlight w:val="none"/>
        </w:rPr>
        <w:fldChar w:fldCharType="separate"/>
      </w:r>
      <w:r>
        <w:rPr>
          <w:rFonts w:hint="eastAsia" w:ascii="仿宋" w:hAnsi="仿宋" w:eastAsia="仿宋" w:cs="仿宋"/>
          <w:bCs/>
          <w:sz w:val="30"/>
          <w:szCs w:val="30"/>
          <w:highlight w:val="none"/>
          <w:lang w:val="en-US" w:eastAsia="zh-CN" w:bidi="zh-TW"/>
        </w:rPr>
        <w:t>第九节 通用图则</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_Toc24141 \h </w:instrText>
      </w:r>
      <w:r>
        <w:rPr>
          <w:rFonts w:hint="eastAsia" w:ascii="仿宋" w:hAnsi="仿宋" w:eastAsia="仿宋" w:cs="仿宋"/>
          <w:sz w:val="30"/>
          <w:szCs w:val="30"/>
        </w:rPr>
        <w:fldChar w:fldCharType="separate"/>
      </w:r>
      <w:r>
        <w:rPr>
          <w:rFonts w:hint="eastAsia" w:ascii="仿宋" w:hAnsi="仿宋" w:eastAsia="仿宋" w:cs="仿宋"/>
          <w:sz w:val="30"/>
          <w:szCs w:val="30"/>
        </w:rPr>
        <w:t>67</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_Toc10982 </w:instrText>
      </w:r>
      <w:r>
        <w:rPr>
          <w:rFonts w:hint="eastAsia" w:ascii="仿宋" w:hAnsi="仿宋" w:eastAsia="仿宋" w:cs="仿宋"/>
          <w:sz w:val="30"/>
          <w:szCs w:val="30"/>
          <w:highlight w:val="none"/>
        </w:rPr>
        <w:fldChar w:fldCharType="separate"/>
      </w:r>
      <w:r>
        <w:rPr>
          <w:rFonts w:hint="eastAsia" w:ascii="仿宋" w:hAnsi="仿宋" w:eastAsia="仿宋" w:cs="仿宋"/>
          <w:bCs/>
          <w:sz w:val="30"/>
          <w:szCs w:val="30"/>
          <w:highlight w:val="none"/>
          <w:lang w:val="en-US" w:eastAsia="zh-CN" w:bidi="zh-TW"/>
        </w:rPr>
        <w:t>第十节  实施管理规定</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_Toc10982 \h </w:instrText>
      </w:r>
      <w:r>
        <w:rPr>
          <w:rFonts w:hint="eastAsia" w:ascii="仿宋" w:hAnsi="仿宋" w:eastAsia="仿宋" w:cs="仿宋"/>
          <w:sz w:val="30"/>
          <w:szCs w:val="30"/>
        </w:rPr>
        <w:fldChar w:fldCharType="separate"/>
      </w:r>
      <w:r>
        <w:rPr>
          <w:rFonts w:hint="eastAsia" w:ascii="仿宋" w:hAnsi="仿宋" w:eastAsia="仿宋" w:cs="仿宋"/>
          <w:sz w:val="30"/>
          <w:szCs w:val="30"/>
        </w:rPr>
        <w:t>69</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2"/>
        <w:tabs>
          <w:tab w:val="right" w:leader="dot" w:pos="8970"/>
        </w:tabs>
        <w:rPr>
          <w:rFonts w:hint="eastAsia" w:ascii="仿宋" w:hAnsi="仿宋" w:eastAsia="仿宋" w:cs="仿宋"/>
          <w:sz w:val="30"/>
          <w:szCs w:val="30"/>
        </w:rPr>
      </w:pPr>
      <w:r>
        <w:rPr>
          <w:rFonts w:hint="eastAsia" w:ascii="仿宋" w:hAnsi="仿宋" w:eastAsia="仿宋" w:cs="仿宋"/>
          <w:color w:val="000000" w:themeColor="text1"/>
          <w:sz w:val="30"/>
          <w:szCs w:val="30"/>
          <w:highlight w:val="none"/>
          <w14:textFill>
            <w14:solidFill>
              <w14:schemeClr w14:val="tx1"/>
            </w14:solidFill>
          </w14:textFill>
        </w:rPr>
        <w:fldChar w:fldCharType="begin"/>
      </w:r>
      <w:r>
        <w:rPr>
          <w:rFonts w:hint="eastAsia" w:ascii="仿宋" w:hAnsi="仿宋" w:eastAsia="仿宋" w:cs="仿宋"/>
          <w:sz w:val="30"/>
          <w:szCs w:val="30"/>
          <w:highlight w:val="none"/>
        </w:rPr>
        <w:instrText xml:space="preserve"> HYPERLINK \l _Toc9839 </w:instrText>
      </w:r>
      <w:r>
        <w:rPr>
          <w:rFonts w:hint="eastAsia" w:ascii="仿宋" w:hAnsi="仿宋" w:eastAsia="仿宋" w:cs="仿宋"/>
          <w:sz w:val="30"/>
          <w:szCs w:val="30"/>
          <w:highlight w:val="none"/>
        </w:rPr>
        <w:fldChar w:fldCharType="separate"/>
      </w:r>
      <w:r>
        <w:rPr>
          <w:rFonts w:hint="eastAsia" w:ascii="仿宋" w:hAnsi="仿宋" w:eastAsia="仿宋" w:cs="仿宋"/>
          <w:bCs/>
          <w:sz w:val="30"/>
          <w:szCs w:val="30"/>
          <w:highlight w:val="none"/>
          <w:lang w:val="en-US" w:eastAsia="zh-CN" w:bidi="zh-TW"/>
        </w:rPr>
        <w:t>第十一节  附则</w:t>
      </w:r>
      <w:r>
        <w:rPr>
          <w:rFonts w:hint="eastAsia" w:ascii="仿宋" w:hAnsi="仿宋" w:eastAsia="仿宋" w:cs="仿宋"/>
          <w:sz w:val="30"/>
          <w:szCs w:val="30"/>
        </w:rPr>
        <w:tab/>
      </w:r>
      <w:r>
        <w:rPr>
          <w:rFonts w:hint="eastAsia" w:ascii="仿宋" w:hAnsi="仿宋" w:eastAsia="仿宋" w:cs="仿宋"/>
          <w:sz w:val="30"/>
          <w:szCs w:val="30"/>
        </w:rPr>
        <w:fldChar w:fldCharType="begin"/>
      </w:r>
      <w:r>
        <w:rPr>
          <w:rFonts w:hint="eastAsia" w:ascii="仿宋" w:hAnsi="仿宋" w:eastAsia="仿宋" w:cs="仿宋"/>
          <w:sz w:val="30"/>
          <w:szCs w:val="30"/>
        </w:rPr>
        <w:instrText xml:space="preserve"> PAGEREF _Toc9839 \h </w:instrText>
      </w:r>
      <w:r>
        <w:rPr>
          <w:rFonts w:hint="eastAsia" w:ascii="仿宋" w:hAnsi="仿宋" w:eastAsia="仿宋" w:cs="仿宋"/>
          <w:sz w:val="30"/>
          <w:szCs w:val="30"/>
        </w:rPr>
        <w:fldChar w:fldCharType="separate"/>
      </w:r>
      <w:r>
        <w:rPr>
          <w:rFonts w:hint="eastAsia" w:ascii="仿宋" w:hAnsi="仿宋" w:eastAsia="仿宋" w:cs="仿宋"/>
          <w:sz w:val="30"/>
          <w:szCs w:val="30"/>
        </w:rPr>
        <w:t>71</w:t>
      </w:r>
      <w:r>
        <w:rPr>
          <w:rFonts w:hint="eastAsia" w:ascii="仿宋" w:hAnsi="仿宋" w:eastAsia="仿宋" w:cs="仿宋"/>
          <w:sz w:val="30"/>
          <w:szCs w:val="30"/>
        </w:rPr>
        <w:fldChar w:fldCharType="end"/>
      </w: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spacing w:line="288" w:lineRule="auto"/>
        <w:ind w:firstLine="639" w:firstLineChars="213"/>
        <w:jc w:val="center"/>
        <w:rPr>
          <w:rFonts w:hint="eastAsia" w:ascii="宋体" w:eastAsia="宋体"/>
          <w:color w:val="000000" w:themeColor="text1"/>
          <w:highlight w:val="none"/>
          <w14:textFill>
            <w14:solidFill>
              <w14:schemeClr w14:val="tx1"/>
            </w14:solidFill>
          </w14:textFill>
        </w:rPr>
        <w:sectPr>
          <w:headerReference r:id="rId5" w:type="default"/>
          <w:footerReference r:id="rId6" w:type="default"/>
          <w:pgSz w:w="11910" w:h="16850"/>
          <w:pgMar w:top="1360" w:right="1380" w:bottom="1898" w:left="1560" w:header="645" w:footer="1443" w:gutter="0"/>
          <w:pgNumType w:start="1"/>
          <w:cols w:space="720" w:num="1"/>
        </w:sectPr>
      </w:pPr>
      <w:r>
        <w:rPr>
          <w:rFonts w:hint="eastAsia" w:ascii="仿宋" w:hAnsi="仿宋" w:eastAsia="仿宋" w:cs="仿宋"/>
          <w:color w:val="000000" w:themeColor="text1"/>
          <w:sz w:val="30"/>
          <w:szCs w:val="30"/>
          <w:highlight w:val="none"/>
          <w14:textFill>
            <w14:solidFill>
              <w14:schemeClr w14:val="tx1"/>
            </w14:solidFill>
          </w14:textFill>
        </w:rPr>
        <w:fldChar w:fldCharType="end"/>
      </w:r>
    </w:p>
    <w:p>
      <w:pPr>
        <w:pStyle w:val="2"/>
        <w:spacing w:before="0" w:line="360" w:lineRule="auto"/>
        <w:ind w:left="0" w:firstLine="0"/>
        <w:jc w:val="center"/>
        <w:rPr>
          <w:rFonts w:hint="eastAsia" w:ascii="华光小标宋_CNKI" w:hAnsi="华光小标宋_CNKI" w:eastAsia="华光小标宋_CNKI"/>
          <w:color w:val="000000" w:themeColor="text1"/>
          <w:spacing w:val="5"/>
          <w:highlight w:val="none"/>
          <w14:textFill>
            <w14:solidFill>
              <w14:schemeClr w14:val="tx1"/>
            </w14:solidFill>
          </w14:textFill>
        </w:rPr>
      </w:pPr>
      <w:bookmarkStart w:id="0" w:name="_bookmark1"/>
      <w:bookmarkEnd w:id="0"/>
      <w:bookmarkStart w:id="1" w:name="_bookmark0"/>
      <w:bookmarkEnd w:id="1"/>
      <w:bookmarkStart w:id="2" w:name="_Toc12481"/>
      <w:r>
        <w:rPr>
          <w:rFonts w:ascii="华光小标宋_CNKI" w:hAnsi="华光小标宋_CNKI" w:eastAsia="华光小标宋_CNKI"/>
          <w:color w:val="000000" w:themeColor="text1"/>
          <w:spacing w:val="5"/>
          <w:highlight w:val="none"/>
          <w14:textFill>
            <w14:solidFill>
              <w14:schemeClr w14:val="tx1"/>
            </w14:solidFill>
          </w14:textFill>
        </w:rPr>
        <w:t>发展定位与目标</w:t>
      </w:r>
      <w:bookmarkEnd w:id="2"/>
    </w:p>
    <w:p>
      <w:pPr>
        <w:pStyle w:val="13"/>
        <w:spacing w:before="0" w:beforeLines="0" w:line="360" w:lineRule="auto"/>
        <w:ind w:left="0" w:leftChars="0" w:right="110" w:firstLine="681" w:firstLineChars="213"/>
        <w:rPr>
          <w:rFonts w:hint="eastAsia" w:eastAsia="仿宋_GB2312"/>
          <w:color w:val="000000" w:themeColor="text1"/>
          <w:highlight w:val="none"/>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全面推进乡村振兴</w:t>
      </w:r>
      <w:r>
        <w:rPr>
          <w:rFonts w:hint="eastAsia" w:eastAsia="仿宋_GB2312"/>
          <w:color w:val="000000" w:themeColor="text1"/>
          <w:highlight w:val="none"/>
          <w14:textFill>
            <w14:solidFill>
              <w14:schemeClr w14:val="tx1"/>
            </w14:solidFill>
          </w14:textFill>
        </w:rPr>
        <w:t>战略，积极推进城乡统筹发展，形成资源节约、环境友好、经济高效、社会和谐的城镇发展新格局。科学确定国土空间开发保护的目标定位和规划策略，优化镇村布局结构和城镇空间布局结构，</w:t>
      </w:r>
      <w:r>
        <w:rPr>
          <w:rFonts w:eastAsia="仿宋_GB2312"/>
          <w:color w:val="000000" w:themeColor="text1"/>
          <w:highlight w:val="none"/>
          <w14:textFill>
            <w14:solidFill>
              <w14:schemeClr w14:val="tx1"/>
            </w14:solidFill>
          </w14:textFill>
        </w:rPr>
        <w:t>加快发展，形成特色，尽快把</w:t>
      </w:r>
      <w:r>
        <w:rPr>
          <w:rFonts w:hint="eastAsia" w:eastAsia="仿宋_GB2312"/>
          <w:color w:val="000000" w:themeColor="text1"/>
          <w:highlight w:val="none"/>
          <w:lang w:eastAsia="zh-CN"/>
          <w14:textFill>
            <w14:solidFill>
              <w14:schemeClr w14:val="tx1"/>
            </w14:solidFill>
          </w14:textFill>
        </w:rPr>
        <w:t>龙城镇</w:t>
      </w:r>
      <w:r>
        <w:rPr>
          <w:rFonts w:eastAsia="仿宋_GB2312"/>
          <w:color w:val="000000" w:themeColor="text1"/>
          <w:highlight w:val="none"/>
          <w14:textFill>
            <w14:solidFill>
              <w14:schemeClr w14:val="tx1"/>
            </w14:solidFill>
          </w14:textFill>
        </w:rPr>
        <w:t>建设成为</w:t>
      </w:r>
      <w:r>
        <w:rPr>
          <w:rFonts w:hint="eastAsia" w:ascii="Times New Roman" w:hAnsi="Times New Roman" w:eastAsia="仿宋_GB2312"/>
          <w:sz w:val="32"/>
          <w:szCs w:val="32"/>
          <w:highlight w:val="none"/>
        </w:rPr>
        <w:t>徐宿淮城镇发展带</w:t>
      </w:r>
      <w:r>
        <w:rPr>
          <w:rFonts w:hint="eastAsia" w:ascii="Times New Roman" w:hAnsi="Times New Roman" w:eastAsia="仿宋_GB2312"/>
          <w:sz w:val="32"/>
          <w:szCs w:val="32"/>
          <w:highlight w:val="none"/>
          <w:lang w:eastAsia="zh-CN"/>
        </w:rPr>
        <w:t>的</w:t>
      </w:r>
      <w:r>
        <w:rPr>
          <w:rFonts w:hint="eastAsia" w:ascii="Times New Roman" w:hAnsi="Times New Roman" w:eastAsia="仿宋_GB2312"/>
          <w:sz w:val="32"/>
          <w:szCs w:val="32"/>
          <w:highlight w:val="none"/>
          <w:lang w:val="en-US" w:eastAsia="zh-CN"/>
        </w:rPr>
        <w:t>重要节点，</w:t>
      </w:r>
      <w:r>
        <w:rPr>
          <w:rFonts w:hint="eastAsia" w:ascii="Times New Roman" w:hAnsi="Times New Roman" w:eastAsia="仿宋_GB2312"/>
          <w:sz w:val="32"/>
          <w:szCs w:val="32"/>
          <w:highlight w:val="none"/>
        </w:rPr>
        <w:t>具有书画人文特色的现代园林</w:t>
      </w:r>
      <w:r>
        <w:rPr>
          <w:rFonts w:hint="eastAsia" w:ascii="Times New Roman" w:hAnsi="Times New Roman" w:eastAsia="仿宋_GB2312"/>
          <w:sz w:val="32"/>
          <w:szCs w:val="32"/>
          <w:highlight w:val="none"/>
          <w:lang w:val="en-US" w:eastAsia="zh-CN"/>
        </w:rPr>
        <w:t>宜居</w:t>
      </w:r>
      <w:r>
        <w:rPr>
          <w:rFonts w:hint="eastAsia" w:ascii="Times New Roman" w:hAnsi="Times New Roman" w:eastAsia="仿宋_GB2312"/>
          <w:sz w:val="32"/>
          <w:szCs w:val="32"/>
          <w:highlight w:val="none"/>
        </w:rPr>
        <w:t>城市。</w:t>
      </w:r>
    </w:p>
    <w:p>
      <w:pPr>
        <w:pStyle w:val="3"/>
        <w:numPr>
          <w:ilvl w:val="0"/>
          <w:numId w:val="4"/>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3" w:name="_bookmark2"/>
      <w:bookmarkEnd w:id="3"/>
      <w:bookmarkStart w:id="4" w:name="_Toc1485"/>
      <w:r>
        <w:rPr>
          <w:rFonts w:hint="eastAsia" w:ascii="黑体" w:hAnsi="黑体" w:eastAsia="黑体"/>
          <w:color w:val="000000" w:themeColor="text1"/>
          <w:highlight w:val="none"/>
          <w:lang w:eastAsia="zh-CN"/>
          <w14:textFill>
            <w14:solidFill>
              <w14:schemeClr w14:val="tx1"/>
            </w14:solidFill>
          </w14:textFill>
        </w:rPr>
        <w:t>发展定位</w:t>
      </w:r>
      <w:bookmarkEnd w:id="4"/>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发展定位</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县域商贸文化中心、</w:t>
      </w:r>
      <w:r>
        <w:rPr>
          <w:rFonts w:hint="eastAsia" w:eastAsia="仿宋_GB2312"/>
          <w:color w:val="000000" w:themeColor="text1"/>
          <w:highlight w:val="none"/>
          <w14:textFill>
            <w14:solidFill>
              <w14:schemeClr w14:val="tx1"/>
            </w14:solidFill>
          </w14:textFill>
        </w:rPr>
        <w:t>徐宿淮城镇发展带</w:t>
      </w:r>
      <w:r>
        <w:rPr>
          <w:rFonts w:hint="eastAsia" w:eastAsia="仿宋_GB2312"/>
          <w:color w:val="000000" w:themeColor="text1"/>
          <w:highlight w:val="none"/>
          <w:lang w:val="en-US" w:eastAsia="zh-CN"/>
          <w14:textFill>
            <w14:solidFill>
              <w14:schemeClr w14:val="tx1"/>
            </w14:solidFill>
          </w14:textFill>
        </w:rPr>
        <w:t>上的节点城市，</w:t>
      </w:r>
      <w:r>
        <w:rPr>
          <w:rFonts w:hint="eastAsia" w:eastAsia="仿宋_GB2312"/>
          <w:color w:val="000000" w:themeColor="text1"/>
          <w:highlight w:val="none"/>
          <w14:textFill>
            <w14:solidFill>
              <w14:schemeClr w14:val="tx1"/>
            </w14:solidFill>
          </w14:textFill>
        </w:rPr>
        <w:t>具有书画人文特色的现代园林</w:t>
      </w:r>
      <w:r>
        <w:rPr>
          <w:rFonts w:hint="eastAsia" w:eastAsia="仿宋_GB2312"/>
          <w:color w:val="000000" w:themeColor="text1"/>
          <w:highlight w:val="none"/>
          <w:lang w:val="en-US" w:eastAsia="zh-CN"/>
          <w14:textFill>
            <w14:solidFill>
              <w14:schemeClr w14:val="tx1"/>
            </w14:solidFill>
          </w14:textFill>
        </w:rPr>
        <w:t>宜居</w:t>
      </w:r>
      <w:r>
        <w:rPr>
          <w:rFonts w:hint="eastAsia" w:eastAsia="仿宋_GB2312"/>
          <w:color w:val="000000" w:themeColor="text1"/>
          <w:highlight w:val="none"/>
          <w14:textFill>
            <w14:solidFill>
              <w14:schemeClr w14:val="tx1"/>
            </w14:solidFill>
          </w14:textFill>
        </w:rPr>
        <w:t>城市。</w:t>
      </w:r>
      <w:bookmarkStart w:id="5" w:name="_bookmark3"/>
      <w:bookmarkEnd w:id="5"/>
    </w:p>
    <w:p>
      <w:pPr>
        <w:pStyle w:val="3"/>
        <w:numPr>
          <w:ilvl w:val="0"/>
          <w:numId w:val="4"/>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6" w:name="_Toc3297"/>
      <w:r>
        <w:rPr>
          <w:rFonts w:hint="eastAsia" w:ascii="黑体" w:hAnsi="黑体" w:eastAsia="黑体"/>
          <w:color w:val="000000" w:themeColor="text1"/>
          <w:highlight w:val="none"/>
          <w:lang w:eastAsia="zh-CN"/>
          <w14:textFill>
            <w14:solidFill>
              <w14:schemeClr w14:val="tx1"/>
            </w14:solidFill>
          </w14:textFill>
        </w:rPr>
        <w:t>国土空间开发保护目标</w:t>
      </w:r>
      <w:bookmarkEnd w:id="6"/>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总体目标</w:t>
      </w:r>
    </w:p>
    <w:p>
      <w:pPr>
        <w:pStyle w:val="13"/>
        <w:spacing w:before="0" w:beforeLines="0" w:line="360" w:lineRule="auto"/>
        <w:ind w:left="0" w:leftChars="0" w:right="110" w:firstLine="681" w:firstLineChars="213"/>
        <w:rPr>
          <w:rFonts w:hint="eastAsia" w:ascii="Times New Roman" w:hAnsi="Times New Roman" w:eastAsia="仿宋_GB2312"/>
          <w:sz w:val="32"/>
          <w:szCs w:val="32"/>
          <w:highlight w:val="none"/>
          <w:lang w:eastAsia="zh-CN"/>
        </w:rPr>
      </w:pPr>
      <w:r>
        <w:rPr>
          <w:rFonts w:hint="eastAsia" w:eastAsia="仿宋_GB2312"/>
          <w:color w:val="000000" w:themeColor="text1"/>
          <w:highlight w:val="none"/>
          <w14:textFill>
            <w14:solidFill>
              <w14:schemeClr w14:val="tx1"/>
            </w14:solidFill>
          </w14:textFill>
        </w:rPr>
        <w:t>到</w:t>
      </w:r>
      <w:r>
        <w:rPr>
          <w:rFonts w:eastAsia="仿宋_GB2312"/>
          <w:color w:val="000000" w:themeColor="text1"/>
          <w:highlight w:val="none"/>
          <w14:textFill>
            <w14:solidFill>
              <w14:schemeClr w14:val="tx1"/>
            </w14:solidFill>
          </w14:textFill>
        </w:rPr>
        <w:t>202</w:t>
      </w:r>
      <w:r>
        <w:rPr>
          <w:rFonts w:eastAsia="PMingLiU"/>
          <w:color w:val="000000" w:themeColor="text1"/>
          <w:highlight w:val="none"/>
          <w14:textFill>
            <w14:solidFill>
              <w14:schemeClr w14:val="tx1"/>
            </w14:solidFill>
          </w14:textFill>
        </w:rPr>
        <w:t>5</w:t>
      </w:r>
      <w:r>
        <w:rPr>
          <w:rFonts w:eastAsia="仿宋_GB2312"/>
          <w:color w:val="000000" w:themeColor="text1"/>
          <w:highlight w:val="none"/>
          <w14:textFill>
            <w14:solidFill>
              <w14:schemeClr w14:val="tx1"/>
            </w14:solidFill>
          </w14:textFill>
        </w:rPr>
        <w:t>年，</w:t>
      </w:r>
      <w:r>
        <w:rPr>
          <w:rFonts w:hint="eastAsia" w:eastAsia="仿宋_GB2312"/>
          <w:color w:val="000000" w:themeColor="text1"/>
          <w:highlight w:val="none"/>
          <w14:textFill>
            <w14:solidFill>
              <w14:schemeClr w14:val="tx1"/>
            </w14:solidFill>
          </w14:textFill>
        </w:rPr>
        <w:t>底线管控进一步强化</w:t>
      </w:r>
      <w:r>
        <w:rPr>
          <w:rFonts w:eastAsia="仿宋_GB2312"/>
          <w:color w:val="000000" w:themeColor="text1"/>
          <w:highlight w:val="none"/>
          <w14:textFill>
            <w14:solidFill>
              <w14:schemeClr w14:val="tx1"/>
            </w14:solidFill>
          </w14:textFill>
        </w:rPr>
        <w:t>，空间格局进一步优化，产业空间</w:t>
      </w:r>
      <w:r>
        <w:rPr>
          <w:rFonts w:hint="eastAsia" w:eastAsia="仿宋_GB2312"/>
          <w:color w:val="000000" w:themeColor="text1"/>
          <w:highlight w:val="none"/>
          <w14:textFill>
            <w14:solidFill>
              <w14:schemeClr w14:val="tx1"/>
            </w14:solidFill>
          </w14:textFill>
        </w:rPr>
        <w:t>高效</w:t>
      </w:r>
      <w:r>
        <w:rPr>
          <w:rFonts w:eastAsia="仿宋_GB2312"/>
          <w:color w:val="000000" w:themeColor="text1"/>
          <w:highlight w:val="none"/>
          <w14:textFill>
            <w14:solidFill>
              <w14:schemeClr w14:val="tx1"/>
            </w14:solidFill>
          </w14:textFill>
        </w:rPr>
        <w:t>，</w:t>
      </w:r>
      <w:r>
        <w:rPr>
          <w:rFonts w:hint="eastAsia" w:eastAsia="仿宋_GB2312"/>
          <w:color w:val="000000" w:themeColor="text1"/>
          <w:highlight w:val="none"/>
          <w14:textFill>
            <w14:solidFill>
              <w14:schemeClr w14:val="tx1"/>
            </w14:solidFill>
          </w14:textFill>
        </w:rPr>
        <w:t>公共设施布局，</w:t>
      </w:r>
      <w:r>
        <w:rPr>
          <w:rFonts w:eastAsia="仿宋_GB2312"/>
          <w:color w:val="000000" w:themeColor="text1"/>
          <w:highlight w:val="none"/>
          <w14:textFill>
            <w14:solidFill>
              <w14:schemeClr w14:val="tx1"/>
            </w14:solidFill>
          </w14:textFill>
        </w:rPr>
        <w:t>为城乡</w:t>
      </w:r>
      <w:r>
        <w:rPr>
          <w:rFonts w:hint="eastAsia" w:eastAsia="仿宋_GB2312"/>
          <w:color w:val="000000" w:themeColor="text1"/>
          <w:highlight w:val="none"/>
          <w14:textFill>
            <w14:solidFill>
              <w14:schemeClr w14:val="tx1"/>
            </w14:solidFill>
          </w14:textFill>
        </w:rPr>
        <w:t>统筹发展做</w:t>
      </w:r>
      <w:r>
        <w:rPr>
          <w:rFonts w:eastAsia="仿宋_GB2312"/>
          <w:color w:val="000000" w:themeColor="text1"/>
          <w:highlight w:val="none"/>
          <w14:textFill>
            <w14:solidFill>
              <w14:schemeClr w14:val="tx1"/>
            </w14:solidFill>
          </w14:textFill>
        </w:rPr>
        <w:t>好支撑；至2035年，形成底线牢固、</w:t>
      </w:r>
      <w:r>
        <w:rPr>
          <w:rFonts w:hint="eastAsia" w:eastAsia="仿宋_GB2312"/>
          <w:color w:val="000000" w:themeColor="text1"/>
          <w:highlight w:val="none"/>
          <w14:textFill>
            <w14:solidFill>
              <w14:schemeClr w14:val="tx1"/>
            </w14:solidFill>
          </w14:textFill>
        </w:rPr>
        <w:t>生态优先、协调发展、资源高效利用</w:t>
      </w:r>
      <w:r>
        <w:rPr>
          <w:rFonts w:eastAsia="仿宋_GB2312"/>
          <w:color w:val="000000" w:themeColor="text1"/>
          <w:highlight w:val="none"/>
          <w14:textFill>
            <w14:solidFill>
              <w14:schemeClr w14:val="tx1"/>
            </w14:solidFill>
          </w14:textFill>
        </w:rPr>
        <w:t>的国土空间开发保护新格局，镇域</w:t>
      </w:r>
      <w:r>
        <w:rPr>
          <w:rFonts w:hint="eastAsia" w:eastAsia="仿宋_GB2312"/>
          <w:color w:val="000000" w:themeColor="text1"/>
          <w:highlight w:val="none"/>
          <w14:textFill>
            <w14:solidFill>
              <w14:schemeClr w14:val="tx1"/>
            </w14:solidFill>
          </w14:textFill>
        </w:rPr>
        <w:t>空间品质、创新环境、综合实力</w:t>
      </w:r>
      <w:r>
        <w:rPr>
          <w:rFonts w:eastAsia="仿宋_GB2312"/>
          <w:color w:val="000000" w:themeColor="text1"/>
          <w:highlight w:val="none"/>
          <w14:textFill>
            <w14:solidFill>
              <w14:schemeClr w14:val="tx1"/>
            </w14:solidFill>
          </w14:textFill>
        </w:rPr>
        <w:t>大幅跃升，</w:t>
      </w:r>
      <w:r>
        <w:rPr>
          <w:rFonts w:hint="eastAsia" w:ascii="Times New Roman" w:hAnsi="Times New Roman" w:eastAsia="仿宋_GB2312"/>
          <w:sz w:val="32"/>
          <w:szCs w:val="32"/>
          <w:highlight w:val="none"/>
        </w:rPr>
        <w:t>全面建成</w:t>
      </w:r>
      <w:r>
        <w:rPr>
          <w:rFonts w:hint="eastAsia" w:ascii="Times New Roman" w:hAnsi="Times New Roman" w:eastAsia="仿宋_GB2312"/>
          <w:sz w:val="32"/>
          <w:szCs w:val="32"/>
          <w:highlight w:val="none"/>
          <w:lang w:val="en-US" w:eastAsia="zh-CN"/>
        </w:rPr>
        <w:t>徐宿淮区域重要节点城镇、</w:t>
      </w:r>
      <w:r>
        <w:rPr>
          <w:rFonts w:hint="eastAsia" w:ascii="Times New Roman" w:hAnsi="Times New Roman" w:eastAsia="仿宋_GB2312"/>
          <w:sz w:val="32"/>
          <w:szCs w:val="32"/>
          <w:highlight w:val="none"/>
        </w:rPr>
        <w:t>现代园林城市</w:t>
      </w:r>
      <w:r>
        <w:rPr>
          <w:rFonts w:hint="eastAsia" w:ascii="Times New Roman" w:hAnsi="Times New Roman" w:eastAsia="仿宋_GB2312"/>
          <w:sz w:val="32"/>
          <w:szCs w:val="32"/>
          <w:highlight w:val="none"/>
          <w:lang w:eastAsia="zh-CN"/>
        </w:rPr>
        <w:t>。</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分项目标</w:t>
      </w:r>
    </w:p>
    <w:p>
      <w:pPr>
        <w:pStyle w:val="13"/>
        <w:spacing w:before="0" w:beforeLines="0" w:line="360" w:lineRule="auto"/>
        <w:ind w:left="0" w:leftChars="0" w:right="110" w:firstLine="681" w:firstLineChars="213"/>
        <w:rPr>
          <w:rFonts w:hint="eastAsia" w:eastAsia="仿宋_GB2312"/>
          <w:color w:val="000000" w:themeColor="text1"/>
          <w:highlight w:val="none"/>
          <w14:textFill>
            <w14:solidFill>
              <w14:schemeClr w14:val="tx1"/>
            </w14:solidFill>
          </w14:textFill>
        </w:rPr>
      </w:pPr>
      <w:r>
        <w:rPr>
          <w:rFonts w:eastAsia="仿宋_GB2312"/>
          <w:color w:val="000000" w:themeColor="text1"/>
          <w:highlight w:val="none"/>
          <w14:textFill>
            <w14:solidFill>
              <w14:schemeClr w14:val="tx1"/>
            </w14:solidFill>
          </w14:textFill>
        </w:rPr>
        <w:t>空间底线全面筑牢。耕地和永久基本农田得到切实保护，全面落实下达的保护任务，</w:t>
      </w:r>
      <w:r>
        <w:rPr>
          <w:rFonts w:hint="eastAsia" w:eastAsia="仿宋_GB2312"/>
          <w:color w:val="000000" w:themeColor="text1"/>
          <w:highlight w:val="none"/>
          <w14:textFill>
            <w14:solidFill>
              <w14:schemeClr w14:val="tx1"/>
            </w14:solidFill>
          </w14:textFill>
        </w:rPr>
        <w:t>推进</w:t>
      </w:r>
      <w:r>
        <w:rPr>
          <w:rFonts w:eastAsia="仿宋_GB2312"/>
          <w:color w:val="000000" w:themeColor="text1"/>
          <w:highlight w:val="none"/>
          <w14:textFill>
            <w14:solidFill>
              <w14:schemeClr w14:val="tx1"/>
            </w14:solidFill>
          </w14:textFill>
        </w:rPr>
        <w:t>永久基本农田建成高标准农田。河湖湿地、林地等生态空间得到充分保护与修复，生态系统稳定性不断增强，生态保护红线等生态底线空间得到全面保护。</w:t>
      </w:r>
    </w:p>
    <w:p>
      <w:pPr>
        <w:pStyle w:val="13"/>
        <w:spacing w:before="0" w:beforeLines="0" w:line="360" w:lineRule="auto"/>
        <w:ind w:left="0" w:leftChars="0" w:right="110" w:firstLine="681" w:firstLineChars="213"/>
        <w:rPr>
          <w:rFonts w:hint="eastAsia" w:eastAsia="仿宋_GB2312"/>
          <w:color w:val="000000" w:themeColor="text1"/>
          <w:highlight w:val="none"/>
          <w14:textFill>
            <w14:solidFill>
              <w14:schemeClr w14:val="tx1"/>
            </w14:solidFill>
          </w14:textFill>
        </w:rPr>
      </w:pPr>
      <w:r>
        <w:rPr>
          <w:rFonts w:eastAsia="仿宋_GB2312"/>
          <w:color w:val="000000" w:themeColor="text1"/>
          <w:highlight w:val="none"/>
          <w14:textFill>
            <w14:solidFill>
              <w14:schemeClr w14:val="tx1"/>
            </w14:solidFill>
          </w14:textFill>
        </w:rPr>
        <w:t>空间结构持续优化</w:t>
      </w:r>
      <w:r>
        <w:rPr>
          <w:rFonts w:hint="eastAsia" w:eastAsia="仿宋_GB2312"/>
          <w:color w:val="000000" w:themeColor="text1"/>
          <w:highlight w:val="none"/>
          <w14:textFill>
            <w14:solidFill>
              <w14:schemeClr w14:val="tx1"/>
            </w14:solidFill>
          </w14:textFill>
        </w:rPr>
        <w:t>，</w:t>
      </w:r>
      <w:r>
        <w:rPr>
          <w:rFonts w:eastAsia="仿宋_GB2312"/>
          <w:color w:val="000000" w:themeColor="text1"/>
          <w:highlight w:val="none"/>
          <w14:textFill>
            <w14:solidFill>
              <w14:schemeClr w14:val="tx1"/>
            </w14:solidFill>
          </w14:textFill>
        </w:rPr>
        <w:t>空间效率不断提高。农业生产空间格局合理优化，生态保护空间格局显著改善，城镇发展空间格局更加均衡，区域协调</w:t>
      </w:r>
      <w:r>
        <w:rPr>
          <w:rFonts w:hint="eastAsia" w:eastAsia="仿宋_GB2312"/>
          <w:color w:val="000000" w:themeColor="text1"/>
          <w:highlight w:val="none"/>
          <w14:textFill>
            <w14:solidFill>
              <w14:schemeClr w14:val="tx1"/>
            </w14:solidFill>
          </w14:textFill>
        </w:rPr>
        <w:t>、</w:t>
      </w:r>
      <w:r>
        <w:rPr>
          <w:rFonts w:eastAsia="仿宋_GB2312"/>
          <w:color w:val="000000" w:themeColor="text1"/>
          <w:highlight w:val="none"/>
          <w14:textFill>
            <w14:solidFill>
              <w14:schemeClr w14:val="tx1"/>
            </w14:solidFill>
          </w14:textFill>
        </w:rPr>
        <w:t>城乡</w:t>
      </w:r>
      <w:r>
        <w:rPr>
          <w:rFonts w:hint="eastAsia" w:eastAsia="仿宋_GB2312"/>
          <w:color w:val="000000" w:themeColor="text1"/>
          <w:highlight w:val="none"/>
          <w14:textFill>
            <w14:solidFill>
              <w14:schemeClr w14:val="tx1"/>
            </w14:solidFill>
          </w14:textFill>
        </w:rPr>
        <w:t>融合</w:t>
      </w:r>
      <w:r>
        <w:rPr>
          <w:rFonts w:eastAsia="仿宋_GB2312"/>
          <w:color w:val="000000" w:themeColor="text1"/>
          <w:highlight w:val="none"/>
          <w14:textFill>
            <w14:solidFill>
              <w14:schemeClr w14:val="tx1"/>
            </w14:solidFill>
          </w14:textFill>
        </w:rPr>
        <w:t>发展新格局基本形成。建设用地规模得到合理控制，节约集约成效明显，人均建设用地使用水平控制在合理区间，建设用地使用效率居于领先地位。</w:t>
      </w:r>
    </w:p>
    <w:p>
      <w:pPr>
        <w:pStyle w:val="13"/>
        <w:spacing w:before="0" w:beforeLines="0" w:line="360" w:lineRule="auto"/>
        <w:ind w:left="0" w:leftChars="0" w:right="110" w:firstLine="681" w:firstLineChars="213"/>
        <w:rPr>
          <w:rFonts w:hint="eastAsia" w:eastAsia="PMingLiU"/>
          <w:color w:val="000000" w:themeColor="text1"/>
          <w:highlight w:val="none"/>
          <w14:textFill>
            <w14:solidFill>
              <w14:schemeClr w14:val="tx1"/>
            </w14:solidFill>
          </w14:textFill>
        </w:rPr>
      </w:pPr>
      <w:r>
        <w:rPr>
          <w:rFonts w:eastAsia="仿宋_GB2312"/>
          <w:color w:val="000000" w:themeColor="text1"/>
          <w:highlight w:val="none"/>
          <w14:textFill>
            <w14:solidFill>
              <w14:schemeClr w14:val="tx1"/>
            </w14:solidFill>
          </w14:textFill>
        </w:rPr>
        <w:t>空间品质显著提升。</w:t>
      </w:r>
      <w:r>
        <w:rPr>
          <w:rFonts w:hint="eastAsia" w:eastAsia="仿宋_GB2312"/>
          <w:color w:val="000000" w:themeColor="text1"/>
          <w:highlight w:val="none"/>
          <w14:textFill>
            <w14:solidFill>
              <w14:schemeClr w14:val="tx1"/>
            </w14:solidFill>
          </w14:textFill>
        </w:rPr>
        <w:t>充分保障重点项目建设空间</w:t>
      </w:r>
      <w:r>
        <w:rPr>
          <w:rFonts w:eastAsia="仿宋_GB2312"/>
          <w:color w:val="000000" w:themeColor="text1"/>
          <w:highlight w:val="none"/>
          <w14:textFill>
            <w14:solidFill>
              <w14:schemeClr w14:val="tx1"/>
            </w14:solidFill>
          </w14:textFill>
        </w:rPr>
        <w:t>，城乡公共服务配置水平达到较高水平，城乡环境和公共服务质量明显改善，</w:t>
      </w:r>
      <w:r>
        <w:rPr>
          <w:rFonts w:eastAsia="仿宋_GB2312"/>
          <w:color w:val="000000" w:themeColor="text1"/>
          <w:highlight w:val="none"/>
          <w:shd w:val="clear"/>
          <w14:textFill>
            <w14:solidFill>
              <w14:schemeClr w14:val="tx1"/>
            </w14:solidFill>
          </w14:textFill>
        </w:rPr>
        <w:t>建成</w:t>
      </w:r>
      <w:r>
        <w:rPr>
          <w:rFonts w:hint="eastAsia" w:eastAsia="仿宋_GB2312"/>
          <w:color w:val="000000" w:themeColor="text1"/>
          <w:highlight w:val="none"/>
          <w:shd w:val="clear"/>
          <w14:textFill>
            <w14:solidFill>
              <w14:schemeClr w14:val="tx1"/>
            </w14:solidFill>
          </w14:textFill>
        </w:rPr>
        <w:t>现代园林城市</w:t>
      </w:r>
      <w:r>
        <w:rPr>
          <w:rFonts w:eastAsia="仿宋_GB2312"/>
          <w:color w:val="000000" w:themeColor="text1"/>
          <w:highlight w:val="none"/>
          <w14:textFill>
            <w14:solidFill>
              <w14:schemeClr w14:val="tx1"/>
            </w14:solidFill>
          </w14:textFill>
        </w:rPr>
        <w:t>。</w:t>
      </w:r>
    </w:p>
    <w:p>
      <w:pPr>
        <w:pStyle w:val="3"/>
        <w:numPr>
          <w:ilvl w:val="0"/>
          <w:numId w:val="4"/>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7" w:name="_Toc29036"/>
      <w:r>
        <w:rPr>
          <w:rFonts w:hint="eastAsia" w:ascii="黑体" w:hAnsi="黑体" w:eastAsia="黑体"/>
          <w:color w:val="000000" w:themeColor="text1"/>
          <w:highlight w:val="none"/>
          <w:lang w:eastAsia="zh-CN"/>
          <w14:textFill>
            <w14:solidFill>
              <w14:schemeClr w14:val="tx1"/>
            </w14:solidFill>
          </w14:textFill>
        </w:rPr>
        <w:t>国土空间开发保护策略</w:t>
      </w:r>
      <w:bookmarkEnd w:id="7"/>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eastAsia="仿宋_GB2312"/>
          <w:color w:val="000000" w:themeColor="text1"/>
          <w:w w:val="105"/>
          <w:sz w:val="32"/>
          <w:highlight w:val="none"/>
          <w14:textFill>
            <w14:solidFill>
              <w14:schemeClr w14:val="tx1"/>
            </w14:solidFill>
          </w14:textFill>
        </w:rPr>
        <w:t>筑牢底线、韧性安全</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落实上位国土空间保护格局，严守永久基本农田、生态保护红线、城镇开发边界三条控制线；合理划定其他保护线，明确水资源等管控范围。</w:t>
      </w:r>
      <w:r>
        <w:rPr>
          <w:rFonts w:eastAsia="仿宋_GB2312"/>
          <w:color w:val="000000" w:themeColor="text1"/>
          <w:highlight w:val="none"/>
          <w:lang w:eastAsia="zh-CN"/>
          <w14:textFill>
            <w14:solidFill>
              <w14:schemeClr w14:val="tx1"/>
            </w14:solidFill>
          </w14:textFill>
        </w:rPr>
        <w:t>有效应对粮食安全、生态安全、能源资源安全、公共安全、产业安全等方面的问题和挑战，完善国土安全基础设施，增强城镇安全韧性。</w:t>
      </w:r>
      <w:r>
        <w:rPr>
          <w:rFonts w:hint="eastAsia" w:eastAsia="仿宋_GB2312"/>
          <w:color w:val="000000" w:themeColor="text1"/>
          <w:highlight w:val="none"/>
          <w:lang w:eastAsia="zh-CN"/>
          <w14:textFill>
            <w14:solidFill>
              <w14:schemeClr w14:val="tx1"/>
            </w14:solidFill>
          </w14:textFill>
        </w:rPr>
        <w:t>科学统筹安排各类空间，因地制宜，构建合理的总体空间格局。</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开放畅通、协同治理。</w:t>
      </w:r>
    </w:p>
    <w:p>
      <w:pPr>
        <w:pStyle w:val="13"/>
        <w:spacing w:before="0" w:beforeLines="0" w:line="360" w:lineRule="auto"/>
        <w:ind w:left="0" w:leftChars="0" w:right="110" w:firstLine="681" w:firstLineChars="213"/>
        <w:rPr>
          <w:rFonts w:hint="eastAsia" w:eastAsia="PMingLiU"/>
          <w:color w:val="000000" w:themeColor="text1"/>
          <w:highlight w:val="none"/>
          <w14:textFill>
            <w14:solidFill>
              <w14:schemeClr w14:val="tx1"/>
            </w14:solidFill>
          </w14:textFill>
        </w:rPr>
      </w:pPr>
      <w:r>
        <w:rPr>
          <w:rFonts w:hint="eastAsia" w:ascii="Times New Roman" w:hAnsi="Times New Roman" w:eastAsia="仿宋_GB2312"/>
          <w:sz w:val="32"/>
          <w:szCs w:val="32"/>
          <w:highlight w:val="none"/>
        </w:rPr>
        <w:t>抓住长三角一体化发展、中部崛起、淮河生态经济带、中原城市群等国家战略和区域发展机遇，加强与徐州、淮北的生态共治、交通共联、产业互动、设施共享和人文共融。积极对接徐州、淮北重大交通基础设施规划，协同推进</w:t>
      </w:r>
      <w:r>
        <w:rPr>
          <w:rFonts w:hint="eastAsia" w:ascii="Times New Roman" w:hAnsi="Times New Roman" w:eastAsia="仿宋_GB2312"/>
          <w:color w:val="000000" w:themeColor="text1"/>
          <w:sz w:val="32"/>
          <w:szCs w:val="32"/>
          <w:highlight w:val="none"/>
          <w14:textFill>
            <w14:solidFill>
              <w14:schemeClr w14:val="tx1"/>
            </w14:solidFill>
          </w14:textFill>
        </w:rPr>
        <w:t>淮海经济区交通基础设施一体化建设</w:t>
      </w:r>
      <w:r>
        <w:rPr>
          <w:rFonts w:hint="eastAsia" w:ascii="Times New Roman" w:hAnsi="Times New Roman" w:eastAsia="仿宋_GB2312"/>
          <w:sz w:val="32"/>
          <w:szCs w:val="32"/>
          <w:highlight w:val="none"/>
        </w:rPr>
        <w:t>，促进生态空间格局优化和城乡空间高效协调发展，实现从流域分治到流域共治、从各自为政到整体协同发展转变。助力提升徐宿淮城镇发展带、北部黄河故道生态廊道的网络化联通水平。</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城乡统筹</w:t>
      </w:r>
      <w:r>
        <w:rPr>
          <w:rFonts w:eastAsia="仿宋_GB2312"/>
          <w:color w:val="000000" w:themeColor="text1"/>
          <w:w w:val="105"/>
          <w:sz w:val="32"/>
          <w:highlight w:val="none"/>
          <w14:textFill>
            <w14:solidFill>
              <w14:schemeClr w14:val="tx1"/>
            </w14:solidFill>
          </w14:textFill>
        </w:rPr>
        <w:t>、</w:t>
      </w:r>
      <w:r>
        <w:rPr>
          <w:rFonts w:hint="eastAsia" w:eastAsia="仿宋_GB2312"/>
          <w:color w:val="000000" w:themeColor="text1"/>
          <w:w w:val="105"/>
          <w:sz w:val="32"/>
          <w:highlight w:val="none"/>
          <w14:textFill>
            <w14:solidFill>
              <w14:schemeClr w14:val="tx1"/>
            </w14:solidFill>
          </w14:textFill>
        </w:rPr>
        <w:t>设施便民</w:t>
      </w:r>
    </w:p>
    <w:p>
      <w:pPr>
        <w:pStyle w:val="13"/>
        <w:spacing w:before="0" w:beforeLines="0" w:line="360" w:lineRule="auto"/>
        <w:ind w:left="0" w:leftChars="0" w:right="110" w:firstLine="681" w:firstLineChars="213"/>
        <w:rPr>
          <w:rFonts w:hint="eastAsia" w:ascii="Times New Roman" w:hAnsi="Times New Roman" w:eastAsia="仿宋_GB2312"/>
          <w:sz w:val="32"/>
          <w:szCs w:val="32"/>
          <w:highlight w:val="none"/>
        </w:rPr>
      </w:pPr>
      <w:r>
        <w:rPr>
          <w:rFonts w:hint="eastAsia" w:ascii="Times New Roman" w:hAnsi="Times New Roman" w:eastAsia="仿宋_GB2312"/>
          <w:sz w:val="32"/>
          <w:szCs w:val="32"/>
          <w:highlight w:val="none"/>
        </w:rPr>
        <w:t>按照“创新、协调、绿色、开放、共享”的要求，突出地方特色、彰显文化内涵、优化空间结构、完善设施配置，实现公服均等，设施共享，共建城乡生活圈。坚持以人民为中心，充分尊重群众意愿，反映群众诉求，统筹区域空间和资源配置。建设高标准、高规格配套设施，按照</w:t>
      </w:r>
      <w:r>
        <w:rPr>
          <w:rFonts w:hint="eastAsia" w:ascii="Times New Roman" w:hAnsi="Times New Roman" w:eastAsia="仿宋_GB2312"/>
          <w:sz w:val="32"/>
          <w:szCs w:val="32"/>
          <w:highlight w:val="none"/>
          <w:lang w:eastAsia="zh-CN"/>
        </w:rPr>
        <w:t>县城</w:t>
      </w:r>
      <w:r>
        <w:rPr>
          <w:rFonts w:hint="eastAsia" w:ascii="Times New Roman" w:hAnsi="Times New Roman" w:eastAsia="仿宋_GB2312"/>
          <w:sz w:val="32"/>
          <w:szCs w:val="32"/>
          <w:highlight w:val="none"/>
        </w:rPr>
        <w:t>—重点村—基层村进行配置。</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eastAsia="仿宋_GB2312"/>
          <w:color w:val="000000" w:themeColor="text1"/>
          <w:w w:val="105"/>
          <w:sz w:val="32"/>
          <w:highlight w:val="none"/>
          <w14:textFill>
            <w14:solidFill>
              <w14:schemeClr w14:val="tx1"/>
            </w14:solidFill>
          </w14:textFill>
        </w:rPr>
        <w:t>品质提升，</w:t>
      </w:r>
      <w:r>
        <w:rPr>
          <w:rFonts w:hint="eastAsia" w:eastAsia="仿宋_GB2312"/>
          <w:color w:val="000000" w:themeColor="text1"/>
          <w:w w:val="105"/>
          <w:sz w:val="32"/>
          <w:highlight w:val="none"/>
          <w14:textFill>
            <w14:solidFill>
              <w14:schemeClr w14:val="tx1"/>
            </w14:solidFill>
          </w14:textFill>
        </w:rPr>
        <w:t>魅力</w:t>
      </w:r>
      <w:r>
        <w:rPr>
          <w:rFonts w:eastAsia="仿宋_GB2312"/>
          <w:color w:val="000000" w:themeColor="text1"/>
          <w:w w:val="105"/>
          <w:sz w:val="32"/>
          <w:highlight w:val="none"/>
          <w14:textFill>
            <w14:solidFill>
              <w14:schemeClr w14:val="tx1"/>
            </w14:solidFill>
          </w14:textFill>
        </w:rPr>
        <w:t>彰显</w:t>
      </w:r>
    </w:p>
    <w:p>
      <w:pPr>
        <w:pStyle w:val="13"/>
        <w:spacing w:before="0" w:beforeLines="0" w:line="360" w:lineRule="auto"/>
        <w:ind w:left="0" w:leftChars="0" w:right="110" w:firstLine="681" w:firstLineChars="213"/>
        <w:rPr>
          <w:rFonts w:hint="eastAsia" w:eastAsia="仿宋_GB2312"/>
          <w:color w:val="000000" w:themeColor="text1"/>
          <w:highlight w:val="none"/>
          <w14:textFill>
            <w14:solidFill>
              <w14:schemeClr w14:val="tx1"/>
            </w14:solidFill>
          </w14:textFill>
        </w:rPr>
      </w:pPr>
      <w:r>
        <w:rPr>
          <w:rFonts w:hint="eastAsia" w:ascii="Times New Roman" w:hAnsi="Times New Roman" w:eastAsia="仿宋_GB2312"/>
          <w:sz w:val="32"/>
          <w:szCs w:val="32"/>
          <w:highlight w:val="none"/>
        </w:rPr>
        <w:t>坚持以人民为中心的发展思想，统筹优化国土空间布局，为城乡居民提供优质便捷公共服务做好空间保障，提升城乡公共服务水平，治理“城市病”和“乡村病”，建设宜居宜业宜游的美好家园。挖掘自然和文化资源，保护传承自然与文化价值，提供丰富多元的生态文化产品，塑造国土空间特色风貌，提升国土空间魅力，推进城市更新和生态修复，改善城乡风貌景观，优化交通出行环境，支持精细化和品质化建设，形成富有魅力的优良人居环境。</w:t>
      </w:r>
    </w:p>
    <w:p>
      <w:pPr>
        <w:spacing w:line="360" w:lineRule="auto"/>
        <w:ind w:firstLine="468" w:firstLineChars="213"/>
        <w:rPr>
          <w:rFonts w:hint="eastAsia" w:eastAsia="仿宋_GB2312"/>
          <w:color w:val="000000" w:themeColor="text1"/>
          <w:highlight w:val="none"/>
          <w14:textFill>
            <w14:solidFill>
              <w14:schemeClr w14:val="tx1"/>
            </w14:solidFill>
          </w14:textFill>
        </w:rPr>
        <w:sectPr>
          <w:footerReference r:id="rId7" w:type="default"/>
          <w:pgSz w:w="11910" w:h="16850"/>
          <w:pgMar w:top="1360" w:right="1380" w:bottom="1640" w:left="1560" w:header="645" w:footer="1443" w:gutter="0"/>
          <w:cols w:space="720" w:num="1"/>
        </w:sectPr>
      </w:pPr>
    </w:p>
    <w:p>
      <w:pPr>
        <w:pStyle w:val="2"/>
        <w:spacing w:before="0" w:line="360" w:lineRule="auto"/>
        <w:ind w:left="0" w:firstLine="0"/>
        <w:jc w:val="center"/>
        <w:rPr>
          <w:rFonts w:hint="eastAsia" w:ascii="华光小标宋_CNKI" w:hAnsi="华光小标宋_CNKI" w:eastAsia="华光小标宋_CNKI"/>
          <w:color w:val="000000" w:themeColor="text1"/>
          <w:spacing w:val="5"/>
          <w:highlight w:val="none"/>
          <w14:textFill>
            <w14:solidFill>
              <w14:schemeClr w14:val="tx1"/>
            </w14:solidFill>
          </w14:textFill>
        </w:rPr>
      </w:pPr>
      <w:bookmarkStart w:id="8" w:name="_bookmark5"/>
      <w:bookmarkEnd w:id="8"/>
      <w:bookmarkStart w:id="9" w:name="_Toc28967"/>
      <w:r>
        <w:rPr>
          <w:rFonts w:hint="eastAsia" w:ascii="华光小标宋_CNKI" w:hAnsi="华光小标宋_CNKI" w:eastAsia="华光小标宋_CNKI"/>
          <w:color w:val="000000" w:themeColor="text1"/>
          <w:spacing w:val="5"/>
          <w:highlight w:val="none"/>
          <w14:textFill>
            <w14:solidFill>
              <w14:schemeClr w14:val="tx1"/>
            </w14:solidFill>
          </w14:textFill>
        </w:rPr>
        <w:t>以“三区三线”为基础，构建</w:t>
      </w:r>
      <w:r>
        <w:rPr>
          <w:rFonts w:ascii="华光小标宋_CNKI" w:hAnsi="华光小标宋_CNKI" w:eastAsia="华光小标宋_CNKI"/>
          <w:color w:val="000000" w:themeColor="text1"/>
          <w:spacing w:val="5"/>
          <w:highlight w:val="none"/>
          <w14:textFill>
            <w14:solidFill>
              <w14:schemeClr w14:val="tx1"/>
            </w14:solidFill>
          </w14:textFill>
        </w:rPr>
        <w:t>国土空间</w:t>
      </w:r>
      <w:r>
        <w:rPr>
          <w:rFonts w:hint="eastAsia" w:ascii="华光小标宋_CNKI" w:hAnsi="华光小标宋_CNKI" w:eastAsia="华光小标宋_CNKI"/>
          <w:color w:val="000000" w:themeColor="text1"/>
          <w:spacing w:val="5"/>
          <w:highlight w:val="none"/>
          <w14:textFill>
            <w14:solidFill>
              <w14:schemeClr w14:val="tx1"/>
            </w14:solidFill>
          </w14:textFill>
        </w:rPr>
        <w:t>开发保护新</w:t>
      </w:r>
      <w:r>
        <w:rPr>
          <w:rFonts w:ascii="华光小标宋_CNKI" w:hAnsi="华光小标宋_CNKI" w:eastAsia="华光小标宋_CNKI"/>
          <w:color w:val="000000" w:themeColor="text1"/>
          <w:spacing w:val="5"/>
          <w:highlight w:val="none"/>
          <w14:textFill>
            <w14:solidFill>
              <w14:schemeClr w14:val="tx1"/>
            </w14:solidFill>
          </w14:textFill>
        </w:rPr>
        <w:t>格局</w:t>
      </w:r>
      <w:bookmarkEnd w:id="9"/>
      <w:r>
        <w:rPr>
          <w:rFonts w:hint="eastAsia" w:ascii="华光小标宋_CNKI" w:hAnsi="华光小标宋_CNKI" w:eastAsia="华光小标宋_CNKI"/>
          <w:color w:val="000000" w:themeColor="text1"/>
          <w:spacing w:val="5"/>
          <w:highlight w:val="none"/>
          <w14:textFill>
            <w14:solidFill>
              <w14:schemeClr w14:val="tx1"/>
            </w14:solidFill>
          </w14:textFill>
        </w:rPr>
        <w:t xml:space="preserve"> </w:t>
      </w:r>
    </w:p>
    <w:p>
      <w:pPr>
        <w:pStyle w:val="13"/>
        <w:spacing w:before="0" w:beforeLines="0" w:line="360" w:lineRule="auto"/>
        <w:ind w:left="0" w:leftChars="0" w:right="110" w:firstLine="681" w:firstLineChars="213"/>
        <w:rPr>
          <w:rFonts w:hint="eastAsia" w:eastAsia="仿宋_GB2312"/>
          <w:color w:val="000000" w:themeColor="text1"/>
          <w:highlight w:val="none"/>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尊重自然资源本底条件、遵循乡镇发展规律</w:t>
      </w:r>
      <w:r>
        <w:rPr>
          <w:rFonts w:eastAsia="仿宋_GB2312"/>
          <w:color w:val="000000" w:themeColor="text1"/>
          <w:highlight w:val="none"/>
          <w14:textFill>
            <w14:solidFill>
              <w14:schemeClr w14:val="tx1"/>
            </w14:solidFill>
          </w14:textFill>
        </w:rPr>
        <w:t>，促进区域间功能协调融合，优化区域城乡空间布局，</w:t>
      </w:r>
      <w:r>
        <w:rPr>
          <w:rFonts w:hint="eastAsia" w:eastAsia="仿宋_GB2312"/>
          <w:highlight w:val="none"/>
          <w:lang w:eastAsia="zh-CN"/>
        </w:rPr>
        <w:t>以资源环境承载能力和国土空间开发适宜性评价为依据，落实耕地和永久基本农田保护红线、生态保护红线和城镇开发边界，落实主体功能区布局，优化农业、生态、城镇等各类空间</w:t>
      </w:r>
      <w:r>
        <w:rPr>
          <w:rFonts w:eastAsia="仿宋_GB2312"/>
          <w:color w:val="000000" w:themeColor="text1"/>
          <w:highlight w:val="none"/>
          <w14:textFill>
            <w14:solidFill>
              <w14:schemeClr w14:val="tx1"/>
            </w14:solidFill>
          </w14:textFill>
        </w:rPr>
        <w:t>，</w:t>
      </w:r>
      <w:r>
        <w:rPr>
          <w:rFonts w:hint="eastAsia" w:eastAsia="仿宋_GB2312"/>
          <w:color w:val="000000" w:themeColor="text1"/>
          <w:highlight w:val="none"/>
          <w:lang w:val="en-US" w:eastAsia="zh-CN"/>
          <w14:textFill>
            <w14:solidFill>
              <w14:schemeClr w14:val="tx1"/>
            </w14:solidFill>
          </w14:textFill>
        </w:rPr>
        <w:t>构建“一城两廊三区”</w:t>
      </w:r>
      <w:r>
        <w:rPr>
          <w:rFonts w:hint="eastAsia" w:eastAsia="仿宋_GB2312"/>
          <w:highlight w:val="none"/>
          <w:lang w:eastAsia="zh-CN"/>
        </w:rPr>
        <w:t>的国土空间开发保护格局</w:t>
      </w:r>
      <w:r>
        <w:rPr>
          <w:rFonts w:eastAsia="仿宋_GB2312"/>
          <w:color w:val="000000" w:themeColor="text1"/>
          <w:highlight w:val="none"/>
          <w14:textFill>
            <w14:solidFill>
              <w14:schemeClr w14:val="tx1"/>
            </w14:solidFill>
          </w14:textFill>
        </w:rPr>
        <w:t>。</w:t>
      </w:r>
    </w:p>
    <w:p>
      <w:pPr>
        <w:pStyle w:val="3"/>
        <w:numPr>
          <w:ilvl w:val="0"/>
          <w:numId w:val="5"/>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10" w:name="_bookmark6"/>
      <w:bookmarkEnd w:id="10"/>
      <w:bookmarkStart w:id="11" w:name="_Toc22996"/>
      <w:r>
        <w:rPr>
          <w:rFonts w:hint="eastAsia" w:ascii="黑体" w:hAnsi="黑体" w:eastAsia="黑体"/>
          <w:color w:val="000000" w:themeColor="text1"/>
          <w:highlight w:val="none"/>
          <w:lang w:val="en-US" w:eastAsia="zh-CN"/>
          <w14:textFill>
            <w14:solidFill>
              <w14:schemeClr w14:val="tx1"/>
            </w14:solidFill>
          </w14:textFill>
        </w:rPr>
        <w:t>高标准高质量</w:t>
      </w:r>
      <w:r>
        <w:rPr>
          <w:rFonts w:hint="eastAsia" w:ascii="黑体" w:hAnsi="黑体" w:eastAsia="黑体"/>
          <w:color w:val="000000" w:themeColor="text1"/>
          <w:highlight w:val="none"/>
          <w:lang w:eastAsia="zh-CN"/>
          <w14:textFill>
            <w14:solidFill>
              <w14:schemeClr w14:val="tx1"/>
            </w14:solidFill>
          </w14:textFill>
        </w:rPr>
        <w:t>落实“三</w:t>
      </w:r>
      <w:r>
        <w:rPr>
          <w:rFonts w:hint="eastAsia" w:ascii="黑体" w:hAnsi="黑体" w:eastAsia="黑体"/>
          <w:color w:val="000000" w:themeColor="text1"/>
          <w:highlight w:val="none"/>
          <w:lang w:val="en-US" w:eastAsia="zh-CN"/>
          <w14:textFill>
            <w14:solidFill>
              <w14:schemeClr w14:val="tx1"/>
            </w14:solidFill>
          </w14:textFill>
        </w:rPr>
        <w:t>区三</w:t>
      </w:r>
      <w:r>
        <w:rPr>
          <w:rFonts w:hint="eastAsia" w:ascii="黑体" w:hAnsi="黑体" w:eastAsia="黑体"/>
          <w:color w:val="000000" w:themeColor="text1"/>
          <w:highlight w:val="none"/>
          <w:lang w:eastAsia="zh-CN"/>
          <w14:textFill>
            <w14:solidFill>
              <w14:schemeClr w14:val="tx1"/>
            </w14:solidFill>
          </w14:textFill>
        </w:rPr>
        <w:t>线”</w:t>
      </w:r>
      <w:bookmarkEnd w:id="11"/>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优先落实耕地和</w:t>
      </w:r>
      <w:r>
        <w:rPr>
          <w:rFonts w:hint="eastAsia" w:eastAsia="仿宋_GB2312"/>
          <w:color w:val="000000" w:themeColor="text1"/>
          <w:w w:val="105"/>
          <w:sz w:val="32"/>
          <w:highlight w:val="none"/>
          <w14:textFill>
            <w14:solidFill>
              <w14:schemeClr w14:val="tx1"/>
            </w14:solidFill>
          </w14:textFill>
        </w:rPr>
        <w:t>永久基本农田</w:t>
      </w:r>
      <w:r>
        <w:rPr>
          <w:rFonts w:hint="eastAsia" w:eastAsia="仿宋_GB2312"/>
          <w:color w:val="000000" w:themeColor="text1"/>
          <w:w w:val="105"/>
          <w:sz w:val="32"/>
          <w:highlight w:val="none"/>
          <w:lang w:val="en-US" w:eastAsia="zh-CN"/>
          <w14:textFill>
            <w14:solidFill>
              <w14:schemeClr w14:val="tx1"/>
            </w14:solidFill>
          </w14:textFill>
        </w:rPr>
        <w:t>保护红线</w:t>
      </w:r>
    </w:p>
    <w:p>
      <w:pPr>
        <w:pStyle w:val="13"/>
        <w:spacing w:before="0" w:beforeLines="0" w:line="360" w:lineRule="auto"/>
        <w:ind w:left="0" w:leftChars="0" w:right="110" w:firstLine="681" w:firstLineChars="213"/>
        <w:rPr>
          <w:rFonts w:hint="eastAsia" w:eastAsiaTheme="minorEastAsia"/>
          <w:color w:val="000000" w:themeColor="text1"/>
          <w:highlight w:val="none"/>
          <w:u w:val="single"/>
          <w:lang w:eastAsia="zh-CN"/>
          <w14:textFill>
            <w14:solidFill>
              <w14:schemeClr w14:val="tx1"/>
            </w14:solidFill>
          </w14:textFill>
        </w:rPr>
      </w:pPr>
      <w:r>
        <w:rPr>
          <w:rFonts w:eastAsia="仿宋_GB2312"/>
          <w:color w:val="000000" w:themeColor="text1"/>
          <w:highlight w:val="none"/>
          <w:lang w:eastAsia="zh-CN"/>
          <w14:textFill>
            <w14:solidFill>
              <w14:schemeClr w14:val="tx1"/>
            </w14:solidFill>
          </w14:textFill>
        </w:rPr>
        <w:t>坚持耕地数量和质量保护并重的原则，在保证</w:t>
      </w:r>
      <w:r>
        <w:rPr>
          <w:rFonts w:hint="eastAsia" w:eastAsia="仿宋_GB2312"/>
          <w:color w:val="000000" w:themeColor="text1"/>
          <w:highlight w:val="none"/>
          <w:lang w:val="en-US" w:eastAsia="zh-CN"/>
          <w14:textFill>
            <w14:solidFill>
              <w14:schemeClr w14:val="tx1"/>
            </w14:solidFill>
          </w14:textFill>
        </w:rPr>
        <w:t>龙城镇</w:t>
      </w:r>
      <w:r>
        <w:rPr>
          <w:rFonts w:eastAsia="仿宋_GB2312"/>
          <w:color w:val="000000" w:themeColor="text1"/>
          <w:highlight w:val="none"/>
          <w:lang w:eastAsia="zh-CN"/>
          <w14:textFill>
            <w14:solidFill>
              <w14:schemeClr w14:val="tx1"/>
            </w14:solidFill>
          </w14:textFill>
        </w:rPr>
        <w:t>经济社会稳步发展，粮食安全和生态安全得到保障的前提下，</w:t>
      </w:r>
      <w:r>
        <w:rPr>
          <w:rFonts w:hint="eastAsia" w:eastAsia="仿宋_GB2312"/>
          <w:color w:val="000000" w:themeColor="text1"/>
          <w:highlight w:val="none"/>
          <w:lang w:eastAsia="zh-CN"/>
          <w14:textFill>
            <w14:solidFill>
              <w14:schemeClr w14:val="tx1"/>
            </w14:solidFill>
          </w14:textFill>
        </w:rPr>
        <w:t>守牢耕地保护红线和粮食安全底线</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强化生态保护红线管控</w:t>
      </w:r>
    </w:p>
    <w:p>
      <w:pPr>
        <w:pStyle w:val="13"/>
        <w:spacing w:before="0" w:beforeLines="0" w:line="360" w:lineRule="auto"/>
        <w:ind w:left="0" w:leftChars="0" w:right="110" w:firstLine="681" w:firstLineChars="213"/>
        <w:rPr>
          <w:rFonts w:hint="eastAsia"/>
          <w:color w:val="000000" w:themeColor="text1"/>
          <w:highlight w:val="none"/>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落实</w:t>
      </w:r>
      <w:r>
        <w:rPr>
          <w:rFonts w:hint="eastAsia" w:eastAsia="仿宋_GB2312"/>
          <w:color w:val="000000" w:themeColor="text1"/>
          <w:highlight w:val="none"/>
          <w:lang w:val="en-US" w:eastAsia="zh-CN"/>
          <w14:textFill>
            <w14:solidFill>
              <w14:schemeClr w14:val="tx1"/>
            </w14:solidFill>
          </w14:textFill>
        </w:rPr>
        <w:t>上位</w:t>
      </w:r>
      <w:r>
        <w:rPr>
          <w:rFonts w:hint="eastAsia" w:eastAsia="仿宋_GB2312"/>
          <w:color w:val="000000" w:themeColor="text1"/>
          <w:highlight w:val="none"/>
          <w:lang w:eastAsia="zh-CN"/>
          <w14:textFill>
            <w14:solidFill>
              <w14:schemeClr w14:val="tx1"/>
            </w14:solidFill>
          </w14:textFill>
        </w:rPr>
        <w:t>规划要求，</w:t>
      </w:r>
      <w:r>
        <w:rPr>
          <w:rFonts w:eastAsia="仿宋_GB2312"/>
          <w:color w:val="000000" w:themeColor="text1"/>
          <w:highlight w:val="none"/>
          <w:lang w:eastAsia="zh-CN"/>
          <w14:textFill>
            <w14:solidFill>
              <w14:schemeClr w14:val="tx1"/>
            </w14:solidFill>
          </w14:textFill>
        </w:rPr>
        <w:t>将生物多样性和水源涵养等生态服务功能极重要区、水土流失等生态环境极敏感区等区域，以及具有潜在重要生态价值的生态空间划入生态保护红线。</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衔接落实城镇开发边界</w:t>
      </w:r>
    </w:p>
    <w:p>
      <w:pPr>
        <w:pStyle w:val="13"/>
        <w:spacing w:before="0" w:beforeLines="0" w:line="360" w:lineRule="auto"/>
        <w:ind w:left="0" w:leftChars="0" w:right="110" w:firstLine="0" w:firstLineChars="0"/>
        <w:rPr>
          <w:rFonts w:hint="eastAsia"/>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落实上位规划要求，在优先划定耕地和永久基本农田保护红线的基础上，顺应自然地理格局，避让自然灾害高风险区域等，按照集约适度、绿色发展要求划定城镇开发边界。严控</w:t>
      </w:r>
      <w:r>
        <w:rPr>
          <w:rFonts w:hint="eastAsia" w:eastAsia="仿宋_GB2312"/>
          <w:color w:val="000000" w:themeColor="text1"/>
          <w:highlight w:val="none"/>
          <w:lang w:val="en-US" w:eastAsia="zh-CN"/>
          <w14:textFill>
            <w14:solidFill>
              <w14:schemeClr w14:val="tx1"/>
            </w14:solidFill>
          </w14:textFill>
        </w:rPr>
        <w:t>新增建设用地</w:t>
      </w:r>
      <w:r>
        <w:rPr>
          <w:rFonts w:hint="eastAsia" w:eastAsia="仿宋_GB2312"/>
          <w:color w:val="000000" w:themeColor="text1"/>
          <w:highlight w:val="none"/>
          <w:lang w:eastAsia="zh-CN"/>
          <w14:textFill>
            <w14:solidFill>
              <w14:schemeClr w14:val="tx1"/>
            </w14:solidFill>
          </w14:textFill>
        </w:rPr>
        <w:t>，防止城镇无序建设与蔓延发展，</w:t>
      </w:r>
      <w:r>
        <w:rPr>
          <w:rFonts w:hint="eastAsia" w:eastAsia="仿宋_GB2312"/>
          <w:color w:val="000000" w:themeColor="text1"/>
          <w:highlight w:val="none"/>
          <w:lang w:val="en-US" w:eastAsia="zh-CN"/>
          <w14:textFill>
            <w14:solidFill>
              <w14:schemeClr w14:val="tx1"/>
            </w14:solidFill>
          </w14:textFill>
        </w:rPr>
        <w:t>推动城镇紧凑发展和节约集约用地</w:t>
      </w:r>
      <w:r>
        <w:rPr>
          <w:rFonts w:hint="eastAsia" w:eastAsia="仿宋_GB2312"/>
          <w:color w:val="000000" w:themeColor="text1"/>
          <w:highlight w:val="none"/>
          <w:lang w:eastAsia="zh-CN"/>
          <w14:textFill>
            <w14:solidFill>
              <w14:schemeClr w14:val="tx1"/>
            </w14:solidFill>
          </w14:textFill>
        </w:rPr>
        <w:t>。</w:t>
      </w:r>
    </w:p>
    <w:p>
      <w:pPr>
        <w:pStyle w:val="3"/>
        <w:numPr>
          <w:ilvl w:val="0"/>
          <w:numId w:val="5"/>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12" w:name="_Toc22625"/>
      <w:r>
        <w:rPr>
          <w:rFonts w:hint="eastAsia" w:ascii="黑体" w:hAnsi="黑体" w:eastAsia="黑体"/>
          <w:color w:val="000000" w:themeColor="text1"/>
          <w:highlight w:val="none"/>
          <w:lang w:eastAsia="zh-CN"/>
          <w14:textFill>
            <w14:solidFill>
              <w14:schemeClr w14:val="tx1"/>
            </w14:solidFill>
          </w14:textFill>
        </w:rPr>
        <w:t>塑造镇域发展新格局</w:t>
      </w:r>
      <w:bookmarkEnd w:id="12"/>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构建</w:t>
      </w:r>
      <w:r>
        <w:rPr>
          <w:rFonts w:hint="eastAsia" w:eastAsia="仿宋_GB2312"/>
          <w:color w:val="000000" w:themeColor="text1"/>
          <w:w w:val="105"/>
          <w:sz w:val="32"/>
          <w:highlight w:val="none"/>
          <w14:textFill>
            <w14:solidFill>
              <w14:schemeClr w14:val="tx1"/>
            </w14:solidFill>
          </w14:textFill>
        </w:rPr>
        <w:t>国土空间总体格局</w:t>
      </w:r>
    </w:p>
    <w:p>
      <w:pPr>
        <w:pStyle w:val="13"/>
        <w:tabs>
          <w:tab w:val="left" w:pos="4820"/>
        </w:tabs>
        <w:spacing w:before="0" w:beforeLines="0" w:line="360" w:lineRule="auto"/>
        <w:ind w:left="0" w:leftChars="0" w:right="110" w:firstLine="681" w:firstLineChars="213"/>
        <w:rPr>
          <w:rFonts w:hint="eastAsia"/>
          <w:color w:val="000000" w:themeColor="text1"/>
          <w:highlight w:val="none"/>
          <w14:textFill>
            <w14:solidFill>
              <w14:schemeClr w14:val="tx1"/>
            </w14:solidFill>
          </w14:textFill>
        </w:rPr>
      </w:pPr>
      <w:r>
        <w:rPr>
          <w:rFonts w:eastAsia="仿宋_GB2312"/>
          <w:color w:val="000000" w:themeColor="text1"/>
          <w:highlight w:val="none"/>
          <w14:textFill>
            <w14:solidFill>
              <w14:schemeClr w14:val="tx1"/>
            </w14:solidFill>
          </w14:textFill>
        </w:rPr>
        <w:t>传承</w:t>
      </w:r>
      <w:r>
        <w:rPr>
          <w:rFonts w:hint="eastAsia" w:eastAsia="仿宋_GB2312"/>
          <w:color w:val="000000" w:themeColor="text1"/>
          <w:highlight w:val="none"/>
          <w14:textFill>
            <w14:solidFill>
              <w14:schemeClr w14:val="tx1"/>
            </w14:solidFill>
          </w14:textFill>
        </w:rPr>
        <w:t>生态</w:t>
      </w:r>
      <w:r>
        <w:rPr>
          <w:rFonts w:eastAsia="仿宋_GB2312"/>
          <w:color w:val="000000" w:themeColor="text1"/>
          <w:highlight w:val="none"/>
          <w14:textFill>
            <w14:solidFill>
              <w14:schemeClr w14:val="tx1"/>
            </w14:solidFill>
          </w14:textFill>
        </w:rPr>
        <w:t>人文空间格局，</w:t>
      </w:r>
      <w:r>
        <w:rPr>
          <w:rFonts w:hint="eastAsia" w:eastAsia="仿宋_GB2312"/>
          <w:color w:val="000000" w:themeColor="text1"/>
          <w:highlight w:val="none"/>
          <w14:textFill>
            <w14:solidFill>
              <w14:schemeClr w14:val="tx1"/>
            </w14:solidFill>
          </w14:textFill>
        </w:rPr>
        <w:t>以</w:t>
      </w:r>
      <w:r>
        <w:rPr>
          <w:rFonts w:hint="eastAsia" w:eastAsia="仿宋_GB2312"/>
          <w:color w:val="000000" w:themeColor="text1"/>
          <w:highlight w:val="none"/>
          <w:lang w:val="en-US" w:eastAsia="zh-CN"/>
          <w14:textFill>
            <w14:solidFill>
              <w14:schemeClr w14:val="tx1"/>
            </w14:solidFill>
          </w14:textFill>
        </w:rPr>
        <w:t>生态园林城市</w:t>
      </w:r>
      <w:r>
        <w:rPr>
          <w:rFonts w:hint="eastAsia" w:eastAsia="仿宋_GB2312"/>
          <w:color w:val="000000" w:themeColor="text1"/>
          <w:highlight w:val="none"/>
          <w14:textFill>
            <w14:solidFill>
              <w14:schemeClr w14:val="tx1"/>
            </w14:solidFill>
          </w14:textFill>
        </w:rPr>
        <w:t>建设为引领，</w:t>
      </w:r>
      <w:r>
        <w:rPr>
          <w:rFonts w:eastAsia="仿宋_GB2312"/>
          <w:color w:val="000000" w:themeColor="text1"/>
          <w:highlight w:val="none"/>
          <w14:textFill>
            <w14:solidFill>
              <w14:schemeClr w14:val="tx1"/>
            </w14:solidFill>
          </w14:textFill>
        </w:rPr>
        <w:t>塑造“</w:t>
      </w:r>
      <w:r>
        <w:rPr>
          <w:rFonts w:hint="eastAsia" w:eastAsia="仿宋_GB2312"/>
          <w:color w:val="000000" w:themeColor="text1"/>
          <w:highlight w:val="none"/>
          <w:lang w:val="en-US" w:eastAsia="zh-CN"/>
          <w14:textFill>
            <w14:solidFill>
              <w14:schemeClr w14:val="tx1"/>
            </w14:solidFill>
          </w14:textFill>
        </w:rPr>
        <w:t>一城两廊三区</w:t>
      </w:r>
      <w:r>
        <w:rPr>
          <w:rFonts w:eastAsia="仿宋_GB2312"/>
          <w:color w:val="000000" w:themeColor="text1"/>
          <w:highlight w:val="none"/>
          <w14:textFill>
            <w14:solidFill>
              <w14:schemeClr w14:val="tx1"/>
            </w14:solidFill>
          </w14:textFill>
        </w:rPr>
        <w:t>”的镇域空间发展格局。</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明确</w:t>
      </w:r>
      <w:r>
        <w:rPr>
          <w:rFonts w:hint="eastAsia" w:eastAsia="仿宋_GB2312"/>
          <w:color w:val="000000" w:themeColor="text1"/>
          <w:w w:val="105"/>
          <w:sz w:val="32"/>
          <w:highlight w:val="none"/>
          <w14:textFill>
            <w14:solidFill>
              <w14:schemeClr w14:val="tx1"/>
            </w14:solidFill>
          </w14:textFill>
        </w:rPr>
        <w:t>国土空间规划分区</w:t>
      </w:r>
    </w:p>
    <w:p>
      <w:pPr>
        <w:pStyle w:val="13"/>
        <w:spacing w:before="0" w:beforeLines="0" w:line="360" w:lineRule="auto"/>
        <w:ind w:left="0" w:leftChars="0" w:right="110" w:firstLine="681" w:firstLineChars="213"/>
        <w:rPr>
          <w:rFonts w:hint="eastAsia"/>
          <w:color w:val="000000" w:themeColor="text1"/>
          <w:highlight w:val="none"/>
          <w14:textFill>
            <w14:solidFill>
              <w14:schemeClr w14:val="tx1"/>
            </w14:solidFill>
          </w14:textFill>
        </w:rPr>
      </w:pPr>
      <w:bookmarkStart w:id="13" w:name="_Hlk150604824"/>
      <w:r>
        <w:rPr>
          <w:rFonts w:hint="eastAsia" w:eastAsia="仿宋_GB2312"/>
          <w:color w:val="000000" w:themeColor="text1"/>
          <w:highlight w:val="none"/>
          <w:lang w:eastAsia="zh-CN"/>
          <w14:textFill>
            <w14:solidFill>
              <w14:schemeClr w14:val="tx1"/>
            </w14:solidFill>
          </w14:textFill>
        </w:rPr>
        <w:t>落实县级规划下达的</w:t>
      </w:r>
      <w:r>
        <w:rPr>
          <w:rFonts w:eastAsia="仿宋_GB2312"/>
          <w:color w:val="000000" w:themeColor="text1"/>
          <w:highlight w:val="none"/>
          <w:lang w:eastAsia="zh-CN"/>
          <w14:textFill>
            <w14:solidFill>
              <w14:schemeClr w14:val="tx1"/>
            </w14:solidFill>
          </w14:textFill>
        </w:rPr>
        <w:t>城镇开发边界、永久基本农田和生态保护红线，将</w:t>
      </w:r>
      <w:r>
        <w:rPr>
          <w:rFonts w:hint="eastAsia" w:eastAsia="仿宋_GB2312"/>
          <w:color w:val="000000" w:themeColor="text1"/>
          <w:highlight w:val="none"/>
          <w:lang w:eastAsia="zh-CN"/>
          <w14:textFill>
            <w14:solidFill>
              <w14:schemeClr w14:val="tx1"/>
            </w14:solidFill>
          </w14:textFill>
        </w:rPr>
        <w:t>乡</w:t>
      </w:r>
      <w:r>
        <w:rPr>
          <w:rFonts w:eastAsia="仿宋_GB2312"/>
          <w:color w:val="000000" w:themeColor="text1"/>
          <w:highlight w:val="none"/>
          <w:lang w:eastAsia="zh-CN"/>
          <w14:textFill>
            <w14:solidFill>
              <w14:schemeClr w14:val="tx1"/>
            </w14:solidFill>
          </w14:textFill>
        </w:rPr>
        <w:t>域空间划分为生态保护区</w:t>
      </w:r>
      <w:r>
        <w:rPr>
          <w:rFonts w:hint="eastAsia" w:eastAsia="仿宋_GB2312"/>
          <w:color w:val="000000" w:themeColor="text1"/>
          <w:highlight w:val="none"/>
          <w:lang w:eastAsia="zh-CN"/>
          <w14:textFill>
            <w14:solidFill>
              <w14:schemeClr w14:val="tx1"/>
            </w14:solidFill>
          </w14:textFill>
        </w:rPr>
        <w:t>、</w:t>
      </w:r>
      <w:r>
        <w:rPr>
          <w:rFonts w:eastAsia="仿宋_GB2312"/>
          <w:color w:val="000000" w:themeColor="text1"/>
          <w:highlight w:val="none"/>
          <w:lang w:eastAsia="zh-CN"/>
          <w14:textFill>
            <w14:solidFill>
              <w14:schemeClr w14:val="tx1"/>
            </w14:solidFill>
          </w14:textFill>
        </w:rPr>
        <w:t>农田保护区、城镇发展区</w:t>
      </w:r>
      <w:r>
        <w:rPr>
          <w:rFonts w:hint="eastAsia" w:eastAsia="仿宋_GB2312"/>
          <w:color w:val="000000" w:themeColor="text1"/>
          <w:highlight w:val="none"/>
          <w:lang w:eastAsia="zh-CN"/>
          <w14:textFill>
            <w14:solidFill>
              <w14:schemeClr w14:val="tx1"/>
            </w14:solidFill>
          </w14:textFill>
        </w:rPr>
        <w:t>和</w:t>
      </w:r>
      <w:r>
        <w:rPr>
          <w:rFonts w:eastAsia="仿宋_GB2312"/>
          <w:color w:val="000000" w:themeColor="text1"/>
          <w:highlight w:val="none"/>
          <w:lang w:eastAsia="zh-CN"/>
          <w14:textFill>
            <w14:solidFill>
              <w14:schemeClr w14:val="tx1"/>
            </w14:solidFill>
          </w14:textFill>
        </w:rPr>
        <w:t>乡村发展区</w:t>
      </w:r>
      <w:r>
        <w:rPr>
          <w:rFonts w:hint="eastAsia" w:eastAsia="仿宋_GB2312"/>
          <w:color w:val="000000" w:themeColor="text1"/>
          <w:highlight w:val="none"/>
          <w:lang w:eastAsia="zh-CN"/>
          <w14:textFill>
            <w14:solidFill>
              <w14:schemeClr w14:val="tx1"/>
            </w14:solidFill>
          </w14:textFill>
        </w:rPr>
        <w:t>四</w:t>
      </w:r>
      <w:r>
        <w:rPr>
          <w:rFonts w:eastAsia="仿宋_GB2312"/>
          <w:color w:val="000000" w:themeColor="text1"/>
          <w:highlight w:val="none"/>
          <w:lang w:eastAsia="zh-CN"/>
          <w14:textFill>
            <w14:solidFill>
              <w14:schemeClr w14:val="tx1"/>
            </w14:solidFill>
          </w14:textFill>
        </w:rPr>
        <w:t>类，实现三线三区的全域空间管制，促进集约高效有序发展。</w:t>
      </w:r>
    </w:p>
    <w:bookmarkEnd w:id="13"/>
    <w:p>
      <w:pPr>
        <w:pStyle w:val="3"/>
        <w:numPr>
          <w:ilvl w:val="0"/>
          <w:numId w:val="5"/>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14" w:name="_bookmark7"/>
      <w:bookmarkEnd w:id="14"/>
      <w:bookmarkStart w:id="15" w:name="_bookmark8"/>
      <w:bookmarkEnd w:id="15"/>
      <w:bookmarkStart w:id="16" w:name="_Toc8812"/>
      <w:r>
        <w:rPr>
          <w:rFonts w:hint="eastAsia" w:ascii="黑体" w:hAnsi="黑体" w:eastAsia="黑体"/>
          <w:color w:val="000000" w:themeColor="text1"/>
          <w:highlight w:val="none"/>
          <w:lang w:eastAsia="zh-CN"/>
          <w14:textFill>
            <w14:solidFill>
              <w14:schemeClr w14:val="tx1"/>
            </w14:solidFill>
          </w14:textFill>
        </w:rPr>
        <w:t>优化国土空间功能结构</w:t>
      </w:r>
      <w:bookmarkEnd w:id="16"/>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合理优化国土空间用</w:t>
      </w:r>
      <w:r>
        <w:rPr>
          <w:rFonts w:hint="eastAsia" w:eastAsia="仿宋_GB2312"/>
          <w:color w:val="000000" w:themeColor="text1"/>
          <w:w w:val="105"/>
          <w:sz w:val="32"/>
          <w:highlight w:val="none"/>
          <w:lang w:val="en-US" w:eastAsia="zh-CN"/>
          <w14:textFill>
            <w14:solidFill>
              <w14:schemeClr w14:val="tx1"/>
            </w14:solidFill>
          </w14:textFill>
        </w:rPr>
        <w:t>地结构</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eastAsia="仿宋_GB2312"/>
          <w:color w:val="000000" w:themeColor="text1"/>
          <w:highlight w:val="none"/>
          <w:lang w:eastAsia="zh-CN"/>
          <w14:textFill>
            <w14:solidFill>
              <w14:schemeClr w14:val="tx1"/>
            </w14:solidFill>
          </w14:textFill>
        </w:rPr>
        <w:t>调整农用地结构。严格控制建设</w:t>
      </w:r>
      <w:r>
        <w:rPr>
          <w:rFonts w:hint="eastAsia" w:eastAsia="仿宋_GB2312"/>
          <w:color w:val="000000" w:themeColor="text1"/>
          <w:highlight w:val="none"/>
          <w:lang w:eastAsia="zh-CN"/>
          <w14:textFill>
            <w14:solidFill>
              <w14:schemeClr w14:val="tx1"/>
            </w14:solidFill>
          </w14:textFill>
        </w:rPr>
        <w:t>用地</w:t>
      </w:r>
      <w:r>
        <w:rPr>
          <w:rFonts w:eastAsia="仿宋_GB2312"/>
          <w:color w:val="000000" w:themeColor="text1"/>
          <w:highlight w:val="none"/>
          <w:lang w:eastAsia="zh-CN"/>
          <w14:textFill>
            <w14:solidFill>
              <w14:schemeClr w14:val="tx1"/>
            </w14:solidFill>
          </w14:textFill>
        </w:rPr>
        <w:t>占用耕地规模，合理引导农业生产空间结构调整。禁止违规占用耕地绿化造林，坚决防止耕地“非农化”。适度开发现状耕地周边具有耕种和灌溉条件的裸土地等</w:t>
      </w:r>
      <w:r>
        <w:rPr>
          <w:rFonts w:hint="eastAsia" w:eastAsia="仿宋_GB2312"/>
          <w:color w:val="000000" w:themeColor="text1"/>
          <w:highlight w:val="none"/>
          <w:lang w:eastAsia="zh-CN"/>
          <w14:textFill>
            <w14:solidFill>
              <w14:schemeClr w14:val="tx1"/>
            </w14:solidFill>
          </w14:textFill>
        </w:rPr>
        <w:t>其他土地</w:t>
      </w:r>
      <w:r>
        <w:rPr>
          <w:rFonts w:eastAsia="仿宋_GB2312"/>
          <w:color w:val="000000" w:themeColor="text1"/>
          <w:highlight w:val="none"/>
          <w:lang w:eastAsia="zh-CN"/>
          <w14:textFill>
            <w14:solidFill>
              <w14:schemeClr w14:val="tx1"/>
            </w14:solidFill>
          </w14:textFill>
        </w:rPr>
        <w:t>，适时按需引导“即可恢复”与“工程恢复”土地，整理复垦为耕地，“增减挂”拆旧区复垦，补充耕地占补平衡指标，实现耕地规模动态平衡。落实“双碳”目标，遵循自然规律和经济规律，合理调减林地保有量面积，从注重增量到注重增效。在耕地“</w:t>
      </w:r>
      <w:r>
        <w:rPr>
          <w:rFonts w:hint="eastAsia" w:eastAsia="仿宋_GB2312"/>
          <w:color w:val="000000" w:themeColor="text1"/>
          <w:highlight w:val="none"/>
          <w14:textFill>
            <w14:solidFill>
              <w14:schemeClr w14:val="tx1"/>
            </w14:solidFill>
          </w14:textFill>
        </w:rPr>
        <w:t>占补</w:t>
      </w:r>
      <w:r>
        <w:rPr>
          <w:rFonts w:eastAsia="仿宋_GB2312"/>
          <w:color w:val="000000" w:themeColor="text1"/>
          <w:highlight w:val="none"/>
          <w:lang w:eastAsia="zh-CN"/>
          <w14:textFill>
            <w14:solidFill>
              <w14:schemeClr w14:val="tx1"/>
            </w14:solidFill>
          </w14:textFill>
        </w:rPr>
        <w:t>平衡”的基础上，重点围绕</w:t>
      </w:r>
      <w:r>
        <w:rPr>
          <w:rFonts w:hint="eastAsia" w:eastAsia="仿宋_GB2312"/>
          <w:color w:val="000000" w:themeColor="text1"/>
          <w:highlight w:val="none"/>
          <w:lang w:eastAsia="zh-CN"/>
          <w14:textFill>
            <w14:solidFill>
              <w14:schemeClr w14:val="tx1"/>
            </w14:solidFill>
          </w14:textFill>
        </w:rPr>
        <w:t>乡</w:t>
      </w:r>
      <w:r>
        <w:rPr>
          <w:rFonts w:eastAsia="仿宋_GB2312"/>
          <w:color w:val="000000" w:themeColor="text1"/>
          <w:highlight w:val="none"/>
          <w:lang w:eastAsia="zh-CN"/>
          <w14:textFill>
            <w14:solidFill>
              <w14:schemeClr w14:val="tx1"/>
            </w14:solidFill>
          </w14:textFill>
        </w:rPr>
        <w:t>域内重要生态地区，科学开展国土绿化，优化林地空间布局，形成规模效应，增强生态系统功能和生态产品供给能力。</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eastAsia="仿宋_GB2312"/>
          <w:color w:val="000000" w:themeColor="text1"/>
          <w:highlight w:val="none"/>
          <w:lang w:eastAsia="zh-CN"/>
          <w14:textFill>
            <w14:solidFill>
              <w14:schemeClr w14:val="tx1"/>
            </w14:solidFill>
          </w14:textFill>
        </w:rPr>
        <w:t>优化建设用地结构。支持国家、省、市县级重大能源、交通、水利、通信及公共服务设施项目建设，保障基础设施和公共服务设施用地。与城镇人口增长需求相匹配，适度增加城镇建设用地规模并集中布局。引导村庄建设用地集约发展，充分尊重村民意愿，以土地综合整治为重要手段，稳步推进集体经营性建设用地入市和村庄建设用地盘活增效。激活农村闲置宅基地和零散建设用地</w:t>
      </w:r>
      <w:r>
        <w:rPr>
          <w:rFonts w:hint="eastAsia" w:eastAsia="仿宋_GB2312"/>
          <w:color w:val="000000" w:themeColor="text1"/>
          <w:highlight w:val="none"/>
          <w:lang w:eastAsia="zh-CN"/>
          <w14:textFill>
            <w14:solidFill>
              <w14:schemeClr w14:val="tx1"/>
            </w14:solidFill>
          </w14:textFill>
        </w:rPr>
        <w:t>，</w:t>
      </w:r>
      <w:r>
        <w:rPr>
          <w:rFonts w:eastAsia="仿宋_GB2312"/>
          <w:color w:val="000000" w:themeColor="text1"/>
          <w:highlight w:val="none"/>
          <w:lang w:eastAsia="zh-CN"/>
          <w14:textFill>
            <w14:solidFill>
              <w14:schemeClr w14:val="tx1"/>
            </w14:solidFill>
          </w14:textFill>
        </w:rPr>
        <w:t>有效释放规模潜力，提升村庄用地总体节约集约水平。合理框定建设用地总量，优化建设用地结构。</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eastAsia="仿宋_GB2312"/>
          <w:color w:val="000000" w:themeColor="text1"/>
          <w:highlight w:val="none"/>
          <w:lang w:eastAsia="zh-CN"/>
          <w14:textFill>
            <w14:solidFill>
              <w14:schemeClr w14:val="tx1"/>
            </w14:solidFill>
          </w14:textFill>
        </w:rPr>
        <w:t>有序开展未利用地整理使用。在不破坏土地生态环境的前提下，引导未利用地有序利用，通过土地整理复垦等工程措施，适度减少未利用地、田坎等用地面积，提高土地利用率。</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科学设置</w:t>
      </w:r>
      <w:r>
        <w:rPr>
          <w:rFonts w:hint="eastAsia" w:eastAsia="仿宋_GB2312"/>
          <w:color w:val="000000" w:themeColor="text1"/>
          <w:w w:val="105"/>
          <w:sz w:val="32"/>
          <w:highlight w:val="none"/>
          <w14:textFill>
            <w14:solidFill>
              <w14:schemeClr w14:val="tx1"/>
            </w14:solidFill>
          </w14:textFill>
        </w:rPr>
        <w:t>留白</w:t>
      </w:r>
      <w:r>
        <w:rPr>
          <w:rFonts w:hint="eastAsia" w:eastAsia="仿宋_GB2312"/>
          <w:color w:val="000000" w:themeColor="text1"/>
          <w:w w:val="105"/>
          <w:sz w:val="32"/>
          <w:highlight w:val="none"/>
          <w:lang w:val="en-US" w:eastAsia="zh-CN"/>
          <w14:textFill>
            <w14:solidFill>
              <w14:schemeClr w14:val="tx1"/>
            </w14:solidFill>
          </w14:textFill>
        </w:rPr>
        <w:t>用地</w:t>
      </w:r>
    </w:p>
    <w:p>
      <w:pPr>
        <w:pStyle w:val="13"/>
        <w:spacing w:before="0" w:beforeLines="0" w:line="360" w:lineRule="auto"/>
        <w:ind w:left="0" w:leftChars="0" w:right="110" w:firstLine="681" w:firstLineChars="213"/>
        <w:rPr>
          <w:rFonts w:hint="eastAsia" w:eastAsia="仿宋_GB2312"/>
          <w:color w:val="000000" w:themeColor="text1"/>
          <w:highlight w:val="none"/>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指标留白</w:t>
      </w:r>
      <w:r>
        <w:rPr>
          <w:rFonts w:eastAsia="仿宋_GB2312"/>
          <w:color w:val="000000" w:themeColor="text1"/>
          <w:highlight w:val="none"/>
          <w:lang w:eastAsia="zh-CN"/>
          <w14:textFill>
            <w14:solidFill>
              <w14:schemeClr w14:val="tx1"/>
            </w14:solidFill>
          </w14:textFill>
        </w:rPr>
        <w:t>。</w:t>
      </w:r>
      <w:bookmarkStart w:id="17" w:name="_bookmark9"/>
      <w:bookmarkEnd w:id="17"/>
      <w:r>
        <w:rPr>
          <w:rFonts w:hint="eastAsia" w:eastAsia="仿宋_GB2312"/>
          <w:color w:val="000000" w:themeColor="text1"/>
          <w:highlight w:val="none"/>
          <w:lang w:eastAsia="zh-CN"/>
          <w14:textFill>
            <w14:solidFill>
              <w14:schemeClr w14:val="tx1"/>
            </w14:solidFill>
          </w14:textFill>
        </w:rPr>
        <w:t>在不突破规划建设用地总规模、不占用耕地和永久基本农田保护红线、生态保护红线的前提下，可用作村民居住、农村公共公益设施、零星分散的乡村文旅设施及农村新产业新业态等用地使用。</w:t>
      </w:r>
    </w:p>
    <w:p>
      <w:pPr>
        <w:spacing w:line="360" w:lineRule="auto"/>
        <w:ind w:firstLine="468" w:firstLineChars="213"/>
        <w:jc w:val="both"/>
        <w:rPr>
          <w:rFonts w:hint="eastAsia" w:eastAsia="仿宋_GB2312"/>
          <w:color w:val="000000" w:themeColor="text1"/>
          <w:highlight w:val="none"/>
          <w:lang w:eastAsia="zh-CN"/>
          <w14:textFill>
            <w14:solidFill>
              <w14:schemeClr w14:val="tx1"/>
            </w14:solidFill>
          </w14:textFill>
        </w:rPr>
        <w:sectPr>
          <w:pgSz w:w="11910" w:h="16850"/>
          <w:pgMar w:top="1360" w:right="1380" w:bottom="1640" w:left="1560" w:header="645" w:footer="1443" w:gutter="0"/>
          <w:cols w:space="720" w:num="1"/>
        </w:sectPr>
      </w:pPr>
    </w:p>
    <w:p>
      <w:pPr>
        <w:pStyle w:val="2"/>
        <w:spacing w:before="0" w:line="360" w:lineRule="auto"/>
        <w:ind w:left="0" w:firstLine="0"/>
        <w:jc w:val="center"/>
        <w:rPr>
          <w:rFonts w:hint="eastAsia" w:ascii="华光小标宋_CNKI" w:hAnsi="华光小标宋_CNKI" w:eastAsia="华光小标宋_CNKI"/>
          <w:color w:val="000000" w:themeColor="text1"/>
          <w:spacing w:val="5"/>
          <w:highlight w:val="none"/>
          <w14:textFill>
            <w14:solidFill>
              <w14:schemeClr w14:val="tx1"/>
            </w14:solidFill>
          </w14:textFill>
        </w:rPr>
      </w:pPr>
      <w:bookmarkStart w:id="18" w:name="_bookmark10"/>
      <w:bookmarkEnd w:id="18"/>
      <w:bookmarkStart w:id="19" w:name="_Toc25832"/>
      <w:bookmarkStart w:id="20" w:name="_Hlk150606517"/>
      <w:r>
        <w:rPr>
          <w:rFonts w:hint="eastAsia" w:ascii="华光小标宋_CNKI" w:hAnsi="华光小标宋_CNKI" w:eastAsia="华光小标宋_CNKI"/>
          <w:color w:val="000000" w:themeColor="text1"/>
          <w:spacing w:val="5"/>
          <w:highlight w:val="none"/>
          <w14:textFill>
            <w14:solidFill>
              <w14:schemeClr w14:val="tx1"/>
            </w14:solidFill>
          </w14:textFill>
        </w:rPr>
        <w:t>塑造绿色高效农业空间，保障现代化农业发展</w:t>
      </w:r>
      <w:bookmarkEnd w:id="19"/>
    </w:p>
    <w:p>
      <w:pPr>
        <w:pStyle w:val="13"/>
        <w:spacing w:before="0" w:beforeLines="0" w:line="360" w:lineRule="auto"/>
        <w:ind w:left="0" w:leftChars="0" w:right="110" w:firstLine="681" w:firstLineChars="213"/>
        <w:rPr>
          <w:rFonts w:hint="eastAsia" w:eastAsia="仿宋_GB2312"/>
          <w:color w:val="000000" w:themeColor="text1"/>
          <w:highlight w:val="none"/>
          <w14:textFill>
            <w14:solidFill>
              <w14:schemeClr w14:val="tx1"/>
            </w14:solidFill>
          </w14:textFill>
        </w:rPr>
      </w:pPr>
      <w:r>
        <w:rPr>
          <w:rFonts w:hint="eastAsia" w:eastAsia="仿宋_GB2312"/>
          <w:color w:val="000000" w:themeColor="text1"/>
          <w:highlight w:val="none"/>
          <w14:textFill>
            <w14:solidFill>
              <w14:schemeClr w14:val="tx1"/>
            </w14:solidFill>
          </w14:textFill>
        </w:rPr>
        <w:t>以耕地和永久基本农田保护红线为基础，</w:t>
      </w:r>
      <w:r>
        <w:rPr>
          <w:rFonts w:hint="eastAsia" w:eastAsia="仿宋_GB2312"/>
          <w:highlight w:val="none"/>
          <w:lang w:eastAsia="zh-CN"/>
        </w:rPr>
        <w:t>立足</w:t>
      </w:r>
      <w:r>
        <w:rPr>
          <w:rFonts w:hint="eastAsia" w:eastAsia="仿宋_GB2312"/>
          <w:highlight w:val="none"/>
          <w:lang w:val="en-US" w:eastAsia="zh-CN"/>
        </w:rPr>
        <w:t>官桥</w:t>
      </w:r>
      <w:r>
        <w:rPr>
          <w:rFonts w:hint="eastAsia" w:eastAsia="仿宋_GB2312"/>
          <w:highlight w:val="none"/>
          <w:lang w:eastAsia="zh-CN"/>
        </w:rPr>
        <w:t>镇资源禀赋、区位优势，构筑高质量农业空间，优化乡村空间布局，加快农业农村现代化，建设宜居宜业和美乡村，推进乡村全面振兴，</w:t>
      </w:r>
      <w:r>
        <w:rPr>
          <w:rFonts w:eastAsia="仿宋_GB2312"/>
          <w:color w:val="000000" w:themeColor="text1"/>
          <w:highlight w:val="none"/>
          <w14:textFill>
            <w14:solidFill>
              <w14:schemeClr w14:val="tx1"/>
            </w14:solidFill>
          </w14:textFill>
        </w:rPr>
        <w:t>为加快</w:t>
      </w:r>
      <w:r>
        <w:rPr>
          <w:rFonts w:hint="eastAsia" w:eastAsia="仿宋_GB2312"/>
          <w:color w:val="000000" w:themeColor="text1"/>
          <w:highlight w:val="none"/>
          <w:lang w:val="en-US" w:eastAsia="zh-CN"/>
          <w14:textFill>
            <w14:solidFill>
              <w14:schemeClr w14:val="tx1"/>
            </w14:solidFill>
          </w14:textFill>
        </w:rPr>
        <w:t>龙城镇</w:t>
      </w:r>
      <w:r>
        <w:rPr>
          <w:rFonts w:eastAsia="仿宋_GB2312"/>
          <w:color w:val="000000" w:themeColor="text1"/>
          <w:highlight w:val="none"/>
          <w14:textFill>
            <w14:solidFill>
              <w14:schemeClr w14:val="tx1"/>
            </w14:solidFill>
          </w14:textFill>
        </w:rPr>
        <w:t>农业现代化发展提供空间资源要素支撑。</w:t>
      </w:r>
    </w:p>
    <w:p>
      <w:pPr>
        <w:pStyle w:val="3"/>
        <w:numPr>
          <w:ilvl w:val="0"/>
          <w:numId w:val="6"/>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21" w:name="_bookmark11"/>
      <w:bookmarkEnd w:id="21"/>
      <w:bookmarkStart w:id="22" w:name="_Toc9865"/>
      <w:r>
        <w:rPr>
          <w:rFonts w:hint="eastAsia" w:ascii="黑体" w:hAnsi="黑体" w:eastAsia="黑体"/>
          <w:color w:val="000000" w:themeColor="text1"/>
          <w:highlight w:val="none"/>
          <w:lang w:eastAsia="zh-CN"/>
          <w14:textFill>
            <w14:solidFill>
              <w14:schemeClr w14:val="tx1"/>
            </w14:solidFill>
          </w14:textFill>
        </w:rPr>
        <w:t>加强耕地“三位一体”保护</w:t>
      </w:r>
      <w:bookmarkEnd w:id="22"/>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强</w:t>
      </w:r>
      <w:r>
        <w:rPr>
          <w:rFonts w:hint="eastAsia" w:eastAsia="仿宋_GB2312"/>
          <w:color w:val="000000" w:themeColor="text1"/>
          <w:w w:val="105"/>
          <w:sz w:val="32"/>
          <w:highlight w:val="none"/>
          <w:lang w:val="en-US" w:eastAsia="zh-CN"/>
          <w14:textFill>
            <w14:solidFill>
              <w14:schemeClr w14:val="tx1"/>
            </w14:solidFill>
          </w14:textFill>
        </w:rPr>
        <w:t>化</w:t>
      </w:r>
      <w:r>
        <w:rPr>
          <w:rFonts w:hint="eastAsia" w:eastAsia="仿宋_GB2312"/>
          <w:color w:val="000000" w:themeColor="text1"/>
          <w:w w:val="105"/>
          <w:sz w:val="32"/>
          <w:highlight w:val="none"/>
          <w14:textFill>
            <w14:solidFill>
              <w14:schemeClr w14:val="tx1"/>
            </w14:solidFill>
          </w14:textFill>
        </w:rPr>
        <w:t>耕地资源保护</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eastAsia="仿宋_GB2312"/>
          <w:color w:val="000000" w:themeColor="text1"/>
          <w:highlight w:val="none"/>
          <w:lang w:eastAsia="zh-CN"/>
          <w14:textFill>
            <w14:solidFill>
              <w14:schemeClr w14:val="tx1"/>
            </w14:solidFill>
          </w14:textFill>
        </w:rPr>
        <w:t>落实最严格的耕地保护制度</w:t>
      </w:r>
      <w:r>
        <w:rPr>
          <w:rFonts w:hint="eastAsia" w:eastAsia="仿宋_GB2312"/>
          <w:color w:val="000000" w:themeColor="text1"/>
          <w:highlight w:val="none"/>
          <w:lang w:eastAsia="zh-CN"/>
          <w14:textFill>
            <w14:solidFill>
              <w14:schemeClr w14:val="tx1"/>
            </w14:solidFill>
          </w14:textFill>
        </w:rPr>
        <w:t>，</w:t>
      </w:r>
      <w:r>
        <w:rPr>
          <w:rFonts w:eastAsia="仿宋_GB2312"/>
          <w:color w:val="000000" w:themeColor="text1"/>
          <w:highlight w:val="none"/>
          <w:lang w:eastAsia="zh-CN"/>
          <w14:textFill>
            <w14:solidFill>
              <w14:schemeClr w14:val="tx1"/>
            </w14:solidFill>
          </w14:textFill>
        </w:rPr>
        <w:t>严守耕地和永久基本农田保护红线。</w:t>
      </w:r>
      <w:r>
        <w:rPr>
          <w:rFonts w:hint="eastAsia" w:eastAsia="仿宋_GB2312"/>
          <w:highlight w:val="none"/>
          <w:lang w:eastAsia="zh-CN"/>
        </w:rPr>
        <w:t>严防耕地“非农化”“非粮化”</w:t>
      </w:r>
      <w:r>
        <w:rPr>
          <w:rFonts w:eastAsia="仿宋_GB2312"/>
          <w:color w:val="000000" w:themeColor="text1"/>
          <w:highlight w:val="none"/>
          <w:lang w:eastAsia="zh-CN"/>
          <w14:textFill>
            <w14:solidFill>
              <w14:schemeClr w14:val="tx1"/>
            </w14:solidFill>
          </w14:textFill>
        </w:rPr>
        <w:t>。从严控制非农建设占用耕地，不得超标准在铁路、公路等用地红线外，以及河渠两侧、水库周边占用耕地建设绿化带。禁止以河流治理为名，擅自占用耕地挖田造湖、挖湖造景</w:t>
      </w:r>
      <w:r>
        <w:rPr>
          <w:rFonts w:eastAsia="仿宋_GB2312"/>
          <w:color w:val="000000" w:themeColor="text1"/>
          <w:highlight w:val="none"/>
          <w14:textFill>
            <w14:solidFill>
              <w14:schemeClr w14:val="tx1"/>
            </w14:solidFill>
          </w14:textFill>
        </w:rPr>
        <w:t>。</w:t>
      </w:r>
    </w:p>
    <w:p>
      <w:pPr>
        <w:pStyle w:val="13"/>
        <w:spacing w:before="0" w:beforeLines="0" w:line="360" w:lineRule="auto"/>
        <w:ind w:left="0" w:leftChars="0" w:right="110" w:firstLine="681" w:firstLineChars="213"/>
        <w:rPr>
          <w:rFonts w:hint="eastAsia"/>
          <w:color w:val="000000" w:themeColor="text1"/>
          <w:sz w:val="10"/>
          <w:highlight w:val="none"/>
          <w:lang w:eastAsia="zh-CN"/>
          <w14:textFill>
            <w14:solidFill>
              <w14:schemeClr w14:val="tx1"/>
            </w14:solidFill>
          </w14:textFill>
        </w:rPr>
      </w:pPr>
      <w:r>
        <w:rPr>
          <w:rFonts w:eastAsia="仿宋_GB2312"/>
          <w:color w:val="000000" w:themeColor="text1"/>
          <w:highlight w:val="none"/>
          <w:lang w:eastAsia="zh-CN"/>
          <w14:textFill>
            <w14:solidFill>
              <w14:schemeClr w14:val="tx1"/>
            </w14:solidFill>
          </w14:textFill>
        </w:rPr>
        <w:t>多途径补充耕地，稳定耕地数量。严格</w:t>
      </w:r>
      <w:r>
        <w:rPr>
          <w:rFonts w:hint="eastAsia" w:eastAsia="仿宋_GB2312"/>
          <w:color w:val="000000" w:themeColor="text1"/>
          <w:highlight w:val="none"/>
          <w:lang w:val="en-US" w:eastAsia="zh-CN"/>
          <w14:textFill>
            <w14:solidFill>
              <w14:schemeClr w14:val="tx1"/>
            </w14:solidFill>
          </w14:textFill>
        </w:rPr>
        <w:t>落实</w:t>
      </w:r>
      <w:r>
        <w:rPr>
          <w:rFonts w:eastAsia="仿宋_GB2312"/>
          <w:color w:val="000000" w:themeColor="text1"/>
          <w:highlight w:val="none"/>
          <w:lang w:eastAsia="zh-CN"/>
          <w14:textFill>
            <w14:solidFill>
              <w14:schemeClr w14:val="tx1"/>
            </w14:solidFill>
          </w14:textFill>
        </w:rPr>
        <w:t>耕地“占补平衡”，</w:t>
      </w:r>
      <w:r>
        <w:rPr>
          <w:rFonts w:hint="eastAsia" w:eastAsia="仿宋_GB2312"/>
          <w:color w:val="000000" w:themeColor="text1"/>
          <w:highlight w:val="none"/>
          <w:lang w:eastAsia="zh-CN"/>
          <w14:textFill>
            <w14:solidFill>
              <w14:schemeClr w14:val="tx1"/>
            </w14:solidFill>
          </w14:textFill>
        </w:rPr>
        <w:t>通过农用地整理、农村建设用地整理和未利用地开发等</w:t>
      </w:r>
      <w:r>
        <w:rPr>
          <w:rFonts w:eastAsia="仿宋_GB2312"/>
          <w:color w:val="000000" w:themeColor="text1"/>
          <w:highlight w:val="none"/>
          <w:lang w:eastAsia="zh-CN"/>
          <w14:textFill>
            <w14:solidFill>
              <w14:schemeClr w14:val="tx1"/>
            </w14:solidFill>
          </w14:textFill>
        </w:rPr>
        <w:t>多途径补充耕地。</w:t>
      </w:r>
      <w:r>
        <w:rPr>
          <w:rFonts w:hint="eastAsia" w:eastAsia="仿宋_GB2312"/>
          <w:highlight w:val="none"/>
          <w:lang w:eastAsia="zh-CN"/>
        </w:rPr>
        <w:t>将非农建设、造林种树、种植果树等各类占用耕地行为统一纳入耕地占补平衡管理。各类用地选址选线尽量不占或少占耕地，特别是永久基本农田，确需占用耕地的，必须做到补充的耕地数量相等、质量相当、产能不降，严禁占多补少、占优补劣、占整补散。以不影响林地保有量、不占用湿地及河道湖区范围和不涉及生态区位重要或生态脆弱地区等为前提，通过土地综合整治、宜耕后备资源开发等多途径补充耕地，确保耕地数量基本稳定</w:t>
      </w:r>
      <w:r>
        <w:rPr>
          <w:rFonts w:eastAsia="仿宋_GB2312"/>
          <w:color w:val="000000" w:themeColor="text1"/>
          <w:highlight w:val="none"/>
          <w:lang w:eastAsia="zh-CN"/>
          <w14:textFill>
            <w14:solidFill>
              <w14:schemeClr w14:val="tx1"/>
            </w14:solidFill>
          </w14:textFill>
        </w:rPr>
        <w:t>。</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优化耕地空间布局</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以</w:t>
      </w:r>
      <w:r>
        <w:rPr>
          <w:rFonts w:hint="eastAsia" w:eastAsia="仿宋_GB2312"/>
          <w:color w:val="000000" w:themeColor="text1"/>
          <w:highlight w:val="none"/>
          <w:lang w:val="en-US" w:eastAsia="zh-CN"/>
          <w14:textFill>
            <w14:solidFill>
              <w14:schemeClr w14:val="tx1"/>
            </w14:solidFill>
          </w14:textFill>
        </w:rPr>
        <w:t>耕地集中连片整治</w:t>
      </w:r>
      <w:r>
        <w:rPr>
          <w:rFonts w:hint="eastAsia" w:eastAsia="仿宋_GB2312"/>
          <w:color w:val="000000" w:themeColor="text1"/>
          <w:highlight w:val="none"/>
          <w:lang w:eastAsia="zh-CN"/>
          <w14:textFill>
            <w14:solidFill>
              <w14:schemeClr w14:val="tx1"/>
            </w14:solidFill>
          </w14:textFill>
        </w:rPr>
        <w:t>为方向，推动耕地集中连片保护</w:t>
      </w:r>
      <w:r>
        <w:rPr>
          <w:rFonts w:eastAsia="仿宋_GB2312"/>
          <w:color w:val="000000" w:themeColor="text1"/>
          <w:highlight w:val="none"/>
          <w:lang w:eastAsia="zh-CN"/>
          <w14:textFill>
            <w14:solidFill>
              <w14:schemeClr w14:val="tx1"/>
            </w14:solidFill>
          </w14:textFill>
        </w:rPr>
        <w:t>。结合高标准农田建设、耕地提质改造</w:t>
      </w:r>
      <w:r>
        <w:rPr>
          <w:rFonts w:hint="eastAsia" w:eastAsia="仿宋_GB2312"/>
          <w:color w:val="000000" w:themeColor="text1"/>
          <w:highlight w:val="none"/>
          <w:lang w:eastAsia="zh-CN"/>
          <w14:textFill>
            <w14:solidFill>
              <w14:schemeClr w14:val="tx1"/>
            </w14:solidFill>
          </w14:textFill>
        </w:rPr>
        <w:t>、优质耕地恢复补充</w:t>
      </w:r>
      <w:r>
        <w:rPr>
          <w:rFonts w:hint="eastAsia" w:eastAsia="仿宋_GB2312"/>
          <w:color w:val="000000" w:themeColor="text1"/>
          <w:highlight w:val="none"/>
          <w:lang w:val="en-US" w:eastAsia="zh-CN"/>
          <w14:textFill>
            <w14:solidFill>
              <w14:schemeClr w14:val="tx1"/>
            </w14:solidFill>
          </w14:textFill>
        </w:rPr>
        <w:t>和</w:t>
      </w:r>
      <w:r>
        <w:rPr>
          <w:rFonts w:hint="eastAsia" w:eastAsia="仿宋_GB2312"/>
          <w:color w:val="000000" w:themeColor="text1"/>
          <w:highlight w:val="none"/>
          <w:lang w:eastAsia="zh-CN"/>
          <w14:textFill>
            <w14:solidFill>
              <w14:schemeClr w14:val="tx1"/>
            </w14:solidFill>
          </w14:textFill>
        </w:rPr>
        <w:t>全域土地综合整治</w:t>
      </w:r>
      <w:r>
        <w:rPr>
          <w:rFonts w:eastAsia="仿宋_GB2312"/>
          <w:color w:val="000000" w:themeColor="text1"/>
          <w:highlight w:val="none"/>
          <w:lang w:eastAsia="zh-CN"/>
          <w14:textFill>
            <w14:solidFill>
              <w14:schemeClr w14:val="tx1"/>
            </w14:solidFill>
          </w14:textFill>
        </w:rPr>
        <w:t>等项目，</w:t>
      </w:r>
      <w:r>
        <w:rPr>
          <w:rFonts w:hint="eastAsia" w:eastAsia="仿宋_GB2312"/>
          <w:color w:val="000000" w:themeColor="text1"/>
          <w:highlight w:val="none"/>
          <w:lang w:eastAsia="zh-CN"/>
          <w14:textFill>
            <w14:solidFill>
              <w14:schemeClr w14:val="tx1"/>
            </w14:solidFill>
          </w14:textFill>
        </w:rPr>
        <w:t>通过田块置换合并，破碎化田块整合，</w:t>
      </w:r>
      <w:r>
        <w:rPr>
          <w:rFonts w:hint="eastAsia" w:eastAsia="仿宋_GB2312"/>
          <w:color w:val="000000" w:themeColor="text1"/>
          <w:highlight w:val="none"/>
          <w:lang w:val="en-US" w:eastAsia="zh-CN"/>
          <w14:textFill>
            <w14:solidFill>
              <w14:schemeClr w14:val="tx1"/>
            </w14:solidFill>
          </w14:textFill>
        </w:rPr>
        <w:t>开展耕地集体连片整治，</w:t>
      </w:r>
      <w:r>
        <w:rPr>
          <w:rFonts w:hint="eastAsia" w:eastAsia="仿宋_GB2312"/>
          <w:color w:val="000000" w:themeColor="text1"/>
          <w:highlight w:val="none"/>
          <w:lang w:eastAsia="zh-CN"/>
          <w14:textFill>
            <w14:solidFill>
              <w14:schemeClr w14:val="tx1"/>
            </w14:solidFill>
          </w14:textFill>
        </w:rPr>
        <w:t>实现耕地地力保持或质量等别持续提高。按照“宜耕则耕、宜村则村、宜水则水、宜林则林”原则，优化耕地布局，提升耕地质量。全面推进建设占用耕地耕作层土壤剥离利用制度，剥离土壤用于新增耕地后期客土改良。优化田间道路布局，完善农田输配电等基础设施建设。推进智慧农业、测土配方施肥等新技术应用，夯实和提升耕地综合生产能力。</w:t>
      </w:r>
    </w:p>
    <w:p>
      <w:pPr>
        <w:pStyle w:val="13"/>
        <w:spacing w:before="0" w:beforeLines="0" w:line="360" w:lineRule="auto"/>
        <w:ind w:left="0" w:leftChars="0" w:right="110" w:firstLine="681" w:firstLineChars="213"/>
        <w:rPr>
          <w:rFonts w:hint="eastAsia" w:eastAsia="仿宋_GB2312"/>
          <w:color w:val="000000" w:themeColor="text1"/>
          <w:highlight w:val="none"/>
          <w:lang w:val="en-US"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学习运用“千万工程”经验，深入推进</w:t>
      </w:r>
      <w:r>
        <w:rPr>
          <w:rFonts w:hint="eastAsia" w:eastAsia="仿宋_GB2312"/>
          <w:color w:val="000000" w:themeColor="text1"/>
          <w:highlight w:val="none"/>
          <w:lang w:eastAsia="zh-CN"/>
          <w14:textFill>
            <w14:solidFill>
              <w14:schemeClr w14:val="tx1"/>
            </w14:solidFill>
          </w14:textFill>
        </w:rPr>
        <w:t>全域土地综合整治</w:t>
      </w:r>
      <w:r>
        <w:rPr>
          <w:rFonts w:hint="eastAsia" w:eastAsia="仿宋_GB2312"/>
          <w:color w:val="000000" w:themeColor="text1"/>
          <w:highlight w:val="none"/>
          <w:lang w:val="en-US" w:eastAsia="zh-CN"/>
          <w14:textFill>
            <w14:solidFill>
              <w14:schemeClr w14:val="tx1"/>
            </w14:solidFill>
          </w14:textFill>
        </w:rPr>
        <w:t>工程</w:t>
      </w:r>
      <w:r>
        <w:rPr>
          <w:rFonts w:hint="eastAsia" w:eastAsia="仿宋_GB2312"/>
          <w:color w:val="000000" w:themeColor="text1"/>
          <w:highlight w:val="none"/>
          <w:lang w:eastAsia="zh-CN"/>
          <w14:textFill>
            <w14:solidFill>
              <w14:schemeClr w14:val="tx1"/>
            </w14:solidFill>
          </w14:textFill>
        </w:rPr>
        <w:t>。</w:t>
      </w:r>
      <w:r>
        <w:rPr>
          <w:rFonts w:hint="eastAsia" w:eastAsia="仿宋_GB2312"/>
          <w:color w:val="000000" w:themeColor="text1"/>
          <w:highlight w:val="none"/>
          <w:lang w:val="en-US" w:eastAsia="zh-CN"/>
          <w14:textFill>
            <w14:solidFill>
              <w14:schemeClr w14:val="tx1"/>
            </w14:solidFill>
          </w14:textFill>
        </w:rPr>
        <w:t>推进龙城镇以实施单元开展全域土地综合整治项目，优化农村地区空间布局，保持“三区三线”总体稳定</w:t>
      </w:r>
      <w:r>
        <w:rPr>
          <w:rFonts w:hint="eastAsia" w:eastAsia="仿宋_GB2312"/>
          <w:color w:val="000000" w:themeColor="text1"/>
          <w:highlight w:val="none"/>
          <w:lang w:eastAsia="zh-CN"/>
          <w14:textFill>
            <w14:solidFill>
              <w14:schemeClr w14:val="tx1"/>
            </w14:solidFill>
          </w14:textFill>
        </w:rPr>
        <w:t>，</w:t>
      </w:r>
      <w:r>
        <w:rPr>
          <w:rFonts w:hint="eastAsia" w:eastAsia="仿宋_GB2312"/>
          <w:color w:val="000000" w:themeColor="text1"/>
          <w:highlight w:val="none"/>
          <w:lang w:val="en-US" w:eastAsia="zh-CN"/>
          <w14:textFill>
            <w14:solidFill>
              <w14:schemeClr w14:val="tx1"/>
            </w14:solidFill>
          </w14:textFill>
        </w:rPr>
        <w:t>推动农用地集中连片整治，规范耕地和永久基本农田调整，实施建设用地整理，有序盘活闲置低效建设用地，协同推进农村人居环境整治，改善农村生态环境，注重挖掘乡村农耕文明元素和乡村民居特色，加强乡村风貌管控，保留乡村特色和田园风光，结合乡村优势资源禀赋，强化乡村产业建设导入，推动乡村产业提质升级。</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严格落实耕地“占补平衡”</w:t>
      </w:r>
    </w:p>
    <w:p>
      <w:pPr>
        <w:pStyle w:val="13"/>
        <w:spacing w:before="0" w:beforeLines="0" w:line="360" w:lineRule="auto"/>
        <w:ind w:left="0" w:leftChars="0" w:right="110" w:firstLine="681" w:firstLineChars="213"/>
        <w:rPr>
          <w:rFonts w:hint="eastAsia" w:eastAsia="仿宋_GB2312"/>
          <w:color w:val="000000" w:themeColor="text1"/>
          <w:highlight w:val="none"/>
          <w:lang w:val="en-US"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严格落实建设占用耕地的源头管控，改进占补平衡落实方式，各类实施主体将非耕地垦造、恢复为耕地的，符合规定的可作为补充耕地，各类非农建设选址和布局应尽量不占或少占耕地，避让永久基本农田。非农建设、造林种树、种果种茶等各类占用耕地行为统一纳入耕地占补平衡管理，坚持“以补定占”，非农业建设占用耕地，必须严格落实“先补后占”和“占一补一、占优补优”，积极拓宽补充耕地途径，补充可以长期稳定利用的耕地。</w:t>
      </w:r>
    </w:p>
    <w:p>
      <w:pPr>
        <w:pStyle w:val="3"/>
        <w:numPr>
          <w:ilvl w:val="0"/>
          <w:numId w:val="6"/>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23" w:name="_bookmark12"/>
      <w:bookmarkEnd w:id="23"/>
      <w:bookmarkStart w:id="24" w:name="_Toc17812"/>
      <w:r>
        <w:rPr>
          <w:rFonts w:hint="eastAsia" w:ascii="黑体" w:hAnsi="黑体" w:eastAsia="黑体"/>
          <w:color w:val="000000" w:themeColor="text1"/>
          <w:highlight w:val="none"/>
          <w:lang w:val="en-US" w:eastAsia="zh-CN"/>
          <w14:textFill>
            <w14:solidFill>
              <w14:schemeClr w14:val="tx1"/>
            </w14:solidFill>
          </w14:textFill>
        </w:rPr>
        <w:t>保障特色农产品生产空间</w:t>
      </w:r>
      <w:bookmarkEnd w:id="24"/>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优化农业设施建设用地布局</w:t>
      </w:r>
    </w:p>
    <w:p>
      <w:pPr>
        <w:pStyle w:val="13"/>
        <w:spacing w:before="0" w:beforeLines="0" w:line="360" w:lineRule="auto"/>
        <w:ind w:left="0" w:leftChars="0" w:right="110" w:firstLine="681" w:firstLineChars="213"/>
        <w:rPr>
          <w:rFonts w:hint="eastAsia" w:eastAsia="仿宋_GB2312"/>
          <w:color w:val="000000" w:themeColor="text1"/>
          <w:highlight w:val="none"/>
          <w:lang w:val="en-US"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完善农田水网、路网，因地制宜布局设施农业用地，合理安排农业生产中直接用于作物种植和畜禽水产养殖的生产、辅助设施用地。支持帽山青萝卜、山羊养殖以及粮食生产为主的特色农业建设，提升设施农业发展质量，保障白山羊“高床养殖+山林放牧”模式项目建设。预留农业生产服务用地空间，保障农产品产地冷藏保鲜设施、各类农事服务中心、粮食烘干中心的用地需求。设施农业用地应优先利用废弃地和荒山荒坡等未利用地、尽可能不占或少占耕地，严禁新增占用永久基本农田建设畜禽养殖设施、水产养殖设施和破坏耕作层的种植业设施。非农建设占用设施农业用地的，应依法办理建设用地审批手续，兴建前为耕地的，必须落实耕地占补平衡。</w:t>
      </w:r>
    </w:p>
    <w:p>
      <w:pPr>
        <w:pStyle w:val="3"/>
        <w:numPr>
          <w:ilvl w:val="0"/>
          <w:numId w:val="6"/>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25" w:name="_Toc32538"/>
      <w:r>
        <w:rPr>
          <w:rFonts w:hint="eastAsia" w:ascii="黑体" w:hAnsi="黑体" w:eastAsia="黑体"/>
          <w:color w:val="000000" w:themeColor="text1"/>
          <w:highlight w:val="none"/>
          <w:lang w:eastAsia="zh-CN"/>
          <w14:textFill>
            <w14:solidFill>
              <w14:schemeClr w14:val="tx1"/>
            </w14:solidFill>
          </w14:textFill>
        </w:rPr>
        <w:t>加强国土空间综合整治</w:t>
      </w:r>
      <w:bookmarkEnd w:id="25"/>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推进高标准农田建设</w:t>
      </w:r>
    </w:p>
    <w:p>
      <w:pPr>
        <w:pStyle w:val="13"/>
        <w:spacing w:before="0" w:beforeLines="0" w:line="360" w:lineRule="auto"/>
        <w:ind w:left="0" w:leftChars="0" w:right="110" w:firstLine="681" w:firstLineChars="213"/>
        <w:rPr>
          <w:rFonts w:hint="eastAsia" w:eastAsia="仿宋_GB2312"/>
          <w:color w:val="000000" w:themeColor="text1"/>
          <w:w w:val="105"/>
          <w:highlight w:val="none"/>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始终坚持“藏粮于地、藏粮于技”战略，推进耕地和永久基本农田的集中连片保护，保障高标准农田建设规模。以永久基本农田为基础，优先在粮食生产功能区、重要农产品生产保护区实施高标准农田建设。</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加强农用地综合整治</w:t>
      </w:r>
    </w:p>
    <w:p>
      <w:pPr>
        <w:pStyle w:val="13"/>
        <w:spacing w:before="0" w:beforeLines="0" w:line="360" w:lineRule="auto"/>
        <w:ind w:left="0" w:leftChars="0" w:right="110" w:firstLine="681" w:firstLineChars="213"/>
        <w:rPr>
          <w:rFonts w:hint="eastAsia" w:eastAsia="仿宋_GB2312"/>
          <w:color w:val="000000" w:themeColor="text1"/>
          <w:highlight w:val="none"/>
          <w:lang w:val="en-US"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统筹推进低效园地、沟渠和坑塘水面整理，加强高标准农田建设、耕地质量提升、宜耕后备资源开发、农田基础设施和配套设施建设，在优化耕地布局、增加耕地面积的同时，提高耕地连片度，加强耕地地力培育，全面提升耕地质量。重点在人民村、帽山村等实施农用地综合整治。</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eastAsia="仿宋_GB2312"/>
          <w:color w:val="000000" w:themeColor="text1"/>
          <w:w w:val="105"/>
          <w:sz w:val="32"/>
          <w:highlight w:val="none"/>
          <w14:textFill>
            <w14:solidFill>
              <w14:schemeClr w14:val="tx1"/>
            </w14:solidFill>
          </w14:textFill>
        </w:rPr>
        <w:t>开展</w:t>
      </w:r>
      <w:bookmarkStart w:id="26" w:name="_Hlk143970244"/>
      <w:r>
        <w:rPr>
          <w:rFonts w:eastAsia="仿宋_GB2312"/>
          <w:color w:val="000000" w:themeColor="text1"/>
          <w:w w:val="105"/>
          <w:sz w:val="32"/>
          <w:highlight w:val="none"/>
          <w14:textFill>
            <w14:solidFill>
              <w14:schemeClr w14:val="tx1"/>
            </w14:solidFill>
          </w14:textFill>
        </w:rPr>
        <w:t>农村居民点综合整治</w:t>
      </w:r>
      <w:bookmarkEnd w:id="26"/>
    </w:p>
    <w:p>
      <w:pPr>
        <w:pStyle w:val="13"/>
        <w:spacing w:before="0" w:beforeLines="0" w:line="360" w:lineRule="auto"/>
        <w:ind w:left="0" w:leftChars="0" w:right="110" w:firstLine="681" w:firstLineChars="213"/>
        <w:rPr>
          <w:rFonts w:hint="eastAsia" w:eastAsia="仿宋_GB2312"/>
          <w:color w:val="000000" w:themeColor="text1"/>
          <w:highlight w:val="none"/>
          <w:lang w:val="en-US"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以乡村振兴、新型城镇化及城乡融合发展为导向，以镇域城乡用地增减挂钩为系统抓手，通过地类调整、用途转换等方式动态调整国土利用结构，系统推进农村宅基地的腾退与盘活，统筹城乡用地布局，优化镇域国土空间功能结构，促进国土功能复合开发、国土资源集约高效利用。</w:t>
      </w:r>
      <w:r>
        <w:rPr>
          <w:rFonts w:hint="eastAsia" w:eastAsia="仿宋_GB2312"/>
          <w:color w:val="000000" w:themeColor="text1"/>
          <w:highlight w:val="none"/>
          <w:lang w:val="zh-TW" w:eastAsia="zh-TW"/>
          <w14:textFill>
            <w14:solidFill>
              <w14:schemeClr w14:val="tx1"/>
            </w14:solidFill>
          </w14:textFill>
        </w:rPr>
        <w:t>按照“政府引导、公众参与、先易后难，逐步实施”的原则，优先选择农村建设用地整理工作基础较好的</w:t>
      </w:r>
      <w:r>
        <w:rPr>
          <w:rFonts w:hint="eastAsia" w:eastAsia="仿宋_GB2312"/>
          <w:color w:val="000000" w:themeColor="text1"/>
          <w:highlight w:val="none"/>
          <w:lang w:val="en-US" w:eastAsia="zh-CN"/>
          <w14:textFill>
            <w14:solidFill>
              <w14:schemeClr w14:val="tx1"/>
            </w14:solidFill>
          </w14:textFill>
        </w:rPr>
        <w:t>村庄</w:t>
      </w:r>
      <w:r>
        <w:rPr>
          <w:rFonts w:hint="eastAsia" w:eastAsia="仿宋_GB2312"/>
          <w:color w:val="000000" w:themeColor="text1"/>
          <w:highlight w:val="none"/>
          <w:lang w:val="zh-TW" w:eastAsia="zh-TW"/>
          <w14:textFill>
            <w14:solidFill>
              <w14:schemeClr w14:val="tx1"/>
            </w14:solidFill>
          </w14:textFill>
        </w:rPr>
        <w:t>实施增减挂钩。</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eastAsia="仿宋_GB2312"/>
          <w:color w:val="000000" w:themeColor="text1"/>
          <w:w w:val="105"/>
          <w:sz w:val="32"/>
          <w:highlight w:val="none"/>
          <w14:textFill>
            <w14:solidFill>
              <w14:schemeClr w14:val="tx1"/>
            </w14:solidFill>
          </w14:textFill>
        </w:rPr>
        <w:t>推进低效用地综合整治</w:t>
      </w:r>
    </w:p>
    <w:p>
      <w:pPr>
        <w:pStyle w:val="13"/>
        <w:spacing w:before="0" w:beforeLines="0" w:line="360" w:lineRule="auto"/>
        <w:ind w:left="0" w:leftChars="0" w:right="110" w:firstLine="681" w:firstLineChars="213"/>
        <w:rPr>
          <w:rFonts w:hint="eastAsia" w:eastAsia="仿宋_GB2312"/>
          <w:color w:val="000000" w:themeColor="text1"/>
          <w:highlight w:val="none"/>
          <w:lang w:val="en-US" w:eastAsia="zh-CN"/>
          <w14:textFill>
            <w14:solidFill>
              <w14:schemeClr w14:val="tx1"/>
            </w14:solidFill>
          </w14:textFill>
        </w:rPr>
        <w:sectPr>
          <w:pgSz w:w="11910" w:h="16850"/>
          <w:pgMar w:top="1360" w:right="1380" w:bottom="1640" w:left="1560" w:header="645" w:footer="1443" w:gutter="0"/>
          <w:cols w:space="720" w:num="1"/>
        </w:sectPr>
      </w:pPr>
      <w:r>
        <w:rPr>
          <w:rFonts w:hint="eastAsia" w:eastAsia="仿宋_GB2312"/>
          <w:color w:val="000000" w:themeColor="text1"/>
          <w:highlight w:val="none"/>
          <w:lang w:val="en-US" w:eastAsia="zh-CN"/>
          <w14:textFill>
            <w14:solidFill>
              <w14:schemeClr w14:val="tx1"/>
            </w14:solidFill>
          </w14:textFill>
        </w:rPr>
        <w:t>开展低效闲置用地整治，盘活存量建设用地，提高土地利用效率，重点用于支持乡村新产业新业态发展。开展建设用地整治更新，重点在毛郢孜村、刘行村等开展建设用地整治更新工作。对镇域范围内闲置、低效利用等用地进行功能置换。优先保障产业发展、公共服务、基础设施等各类建设用地的需求，实现土地资源的优化配置和合理利用。</w:t>
      </w:r>
    </w:p>
    <w:p>
      <w:pPr>
        <w:pStyle w:val="2"/>
        <w:spacing w:before="0" w:line="360" w:lineRule="auto"/>
        <w:ind w:left="0" w:firstLine="0"/>
        <w:jc w:val="center"/>
        <w:rPr>
          <w:rFonts w:hint="eastAsia" w:ascii="华光小标宋_CNKI" w:hAnsi="华光小标宋_CNKI" w:eastAsia="华光小标宋_CNKI"/>
          <w:color w:val="000000" w:themeColor="text1"/>
          <w:spacing w:val="5"/>
          <w:highlight w:val="none"/>
          <w:lang w:eastAsia="zh-CN"/>
          <w14:textFill>
            <w14:solidFill>
              <w14:schemeClr w14:val="tx1"/>
            </w14:solidFill>
          </w14:textFill>
        </w:rPr>
      </w:pPr>
      <w:bookmarkStart w:id="27" w:name="_Toc1860"/>
      <w:r>
        <w:rPr>
          <w:rFonts w:hint="eastAsia" w:ascii="华光小标宋_CNKI" w:hAnsi="华光小标宋_CNKI" w:eastAsia="华光小标宋_CNKI"/>
          <w:color w:val="000000" w:themeColor="text1"/>
          <w:spacing w:val="5"/>
          <w:highlight w:val="none"/>
          <w14:textFill>
            <w14:solidFill>
              <w14:schemeClr w14:val="tx1"/>
            </w14:solidFill>
          </w14:textFill>
        </w:rPr>
        <w:t>构筑蓝绿</w:t>
      </w:r>
      <w:r>
        <w:rPr>
          <w:rFonts w:hint="eastAsia" w:ascii="华光小标宋_CNKI" w:hAnsi="华光小标宋_CNKI" w:eastAsia="华光小标宋_CNKI"/>
          <w:color w:val="000000" w:themeColor="text1"/>
          <w:spacing w:val="5"/>
          <w:highlight w:val="none"/>
          <w:lang w:val="en-US" w:eastAsia="zh-CN"/>
          <w14:textFill>
            <w14:solidFill>
              <w14:schemeClr w14:val="tx1"/>
            </w14:solidFill>
          </w14:textFill>
        </w:rPr>
        <w:t>交织、</w:t>
      </w:r>
      <w:r>
        <w:rPr>
          <w:rFonts w:hint="eastAsia" w:ascii="华光小标宋_CNKI" w:hAnsi="华光小标宋_CNKI" w:eastAsia="华光小标宋_CNKI"/>
          <w:color w:val="000000" w:themeColor="text1"/>
          <w:spacing w:val="5"/>
          <w:highlight w:val="none"/>
          <w14:textFill>
            <w14:solidFill>
              <w14:schemeClr w14:val="tx1"/>
            </w14:solidFill>
          </w14:textFill>
        </w:rPr>
        <w:t>田</w:t>
      </w:r>
      <w:r>
        <w:rPr>
          <w:rFonts w:hint="eastAsia" w:ascii="华光小标宋_CNKI" w:hAnsi="华光小标宋_CNKI" w:eastAsia="华光小标宋_CNKI"/>
          <w:color w:val="000000" w:themeColor="text1"/>
          <w:spacing w:val="5"/>
          <w:highlight w:val="none"/>
          <w:lang w:val="en-US" w:eastAsia="zh-CN"/>
          <w14:textFill>
            <w14:solidFill>
              <w14:schemeClr w14:val="tx1"/>
            </w14:solidFill>
          </w14:textFill>
        </w:rPr>
        <w:t>城</w:t>
      </w:r>
      <w:r>
        <w:rPr>
          <w:rFonts w:hint="eastAsia" w:ascii="华光小标宋_CNKI" w:hAnsi="华光小标宋_CNKI" w:eastAsia="华光小标宋_CNKI"/>
          <w:color w:val="000000" w:themeColor="text1"/>
          <w:spacing w:val="5"/>
          <w:highlight w:val="none"/>
          <w14:textFill>
            <w14:solidFill>
              <w14:schemeClr w14:val="tx1"/>
            </w14:solidFill>
          </w14:textFill>
        </w:rPr>
        <w:t>相</w:t>
      </w:r>
      <w:r>
        <w:rPr>
          <w:rFonts w:hint="eastAsia" w:ascii="华光小标宋_CNKI" w:hAnsi="华光小标宋_CNKI" w:eastAsia="华光小标宋_CNKI"/>
          <w:color w:val="000000" w:themeColor="text1"/>
          <w:spacing w:val="5"/>
          <w:highlight w:val="none"/>
          <w:lang w:val="en-US" w:eastAsia="zh-CN"/>
          <w14:textFill>
            <w14:solidFill>
              <w14:schemeClr w14:val="tx1"/>
            </w14:solidFill>
          </w14:textFill>
        </w:rPr>
        <w:t>拥</w:t>
      </w:r>
      <w:r>
        <w:rPr>
          <w:rFonts w:hint="eastAsia" w:ascii="华光小标宋_CNKI" w:hAnsi="华光小标宋_CNKI" w:eastAsia="华光小标宋_CNKI"/>
          <w:color w:val="000000" w:themeColor="text1"/>
          <w:spacing w:val="5"/>
          <w:highlight w:val="none"/>
          <w14:textFill>
            <w14:solidFill>
              <w14:schemeClr w14:val="tx1"/>
            </w14:solidFill>
          </w14:textFill>
        </w:rPr>
        <w:t>生态空间，促进人与自然和谐共生</w:t>
      </w:r>
      <w:bookmarkEnd w:id="27"/>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14:textFill>
            <w14:solidFill>
              <w14:schemeClr w14:val="tx1"/>
            </w14:solidFill>
          </w14:textFill>
        </w:rPr>
        <w:t>坚持人与自然和谐共生，尊重自然、顺应自然、保护自然，突出</w:t>
      </w:r>
      <w:r>
        <w:rPr>
          <w:rFonts w:hint="eastAsia" w:eastAsia="仿宋_GB2312"/>
          <w:color w:val="000000" w:themeColor="text1"/>
          <w:highlight w:val="none"/>
          <w:lang w:val="en-US" w:eastAsia="zh-CN"/>
          <w14:textFill>
            <w14:solidFill>
              <w14:schemeClr w14:val="tx1"/>
            </w14:solidFill>
          </w14:textFill>
        </w:rPr>
        <w:t>凤山森林公园和梅山森林公园</w:t>
      </w:r>
      <w:r>
        <w:rPr>
          <w:rFonts w:hint="eastAsia" w:eastAsia="仿宋_GB2312"/>
          <w:color w:val="000000" w:themeColor="text1"/>
          <w:highlight w:val="none"/>
          <w14:textFill>
            <w14:solidFill>
              <w14:schemeClr w14:val="tx1"/>
            </w14:solidFill>
          </w14:textFill>
        </w:rPr>
        <w:t>生态安全功能</w:t>
      </w:r>
      <w:r>
        <w:rPr>
          <w:rFonts w:hint="eastAsia" w:eastAsia="仿宋_GB2312"/>
          <w:color w:val="000000" w:themeColor="text1"/>
          <w:highlight w:val="none"/>
          <w:lang w:val="en-US" w:eastAsia="zh-CN"/>
          <w14:textFill>
            <w14:solidFill>
              <w14:schemeClr w14:val="tx1"/>
            </w14:solidFill>
          </w14:textFill>
        </w:rPr>
        <w:t>重要性</w:t>
      </w:r>
      <w:r>
        <w:rPr>
          <w:rFonts w:hint="eastAsia" w:eastAsia="仿宋_GB2312"/>
          <w:color w:val="000000" w:themeColor="text1"/>
          <w:highlight w:val="none"/>
          <w:lang w:eastAsia="zh-CN"/>
          <w14:textFill>
            <w14:solidFill>
              <w14:schemeClr w14:val="tx1"/>
            </w14:solidFill>
          </w14:textFill>
        </w:rPr>
        <w:t>，</w:t>
      </w:r>
      <w:r>
        <w:rPr>
          <w:rFonts w:hint="eastAsia" w:eastAsia="仿宋_GB2312"/>
          <w:color w:val="000000" w:themeColor="text1"/>
          <w:highlight w:val="none"/>
          <w14:textFill>
            <w14:solidFill>
              <w14:schemeClr w14:val="tx1"/>
            </w14:solidFill>
          </w14:textFill>
        </w:rPr>
        <w:t>构筑蓝绿</w:t>
      </w:r>
      <w:r>
        <w:rPr>
          <w:rFonts w:hint="eastAsia" w:eastAsia="仿宋_GB2312"/>
          <w:color w:val="000000" w:themeColor="text1"/>
          <w:highlight w:val="none"/>
          <w:lang w:val="en-US" w:eastAsia="zh-CN"/>
          <w14:textFill>
            <w14:solidFill>
              <w14:schemeClr w14:val="tx1"/>
            </w14:solidFill>
          </w14:textFill>
        </w:rPr>
        <w:t>交织</w:t>
      </w:r>
      <w:r>
        <w:rPr>
          <w:rFonts w:hint="eastAsia" w:eastAsia="仿宋_GB2312"/>
          <w:color w:val="000000" w:themeColor="text1"/>
          <w:highlight w:val="none"/>
          <w14:textFill>
            <w14:solidFill>
              <w14:schemeClr w14:val="tx1"/>
            </w14:solidFill>
          </w14:textFill>
        </w:rPr>
        <w:t>、田城相</w:t>
      </w:r>
      <w:r>
        <w:rPr>
          <w:rFonts w:hint="eastAsia" w:eastAsia="仿宋_GB2312"/>
          <w:color w:val="000000" w:themeColor="text1"/>
          <w:highlight w:val="none"/>
          <w:lang w:val="en-US" w:eastAsia="zh-CN"/>
          <w14:textFill>
            <w14:solidFill>
              <w14:schemeClr w14:val="tx1"/>
            </w14:solidFill>
          </w14:textFill>
        </w:rPr>
        <w:t>拥</w:t>
      </w:r>
      <w:r>
        <w:rPr>
          <w:rFonts w:hint="eastAsia" w:eastAsia="仿宋_GB2312"/>
          <w:color w:val="000000" w:themeColor="text1"/>
          <w:highlight w:val="none"/>
          <w14:textFill>
            <w14:solidFill>
              <w14:schemeClr w14:val="tx1"/>
            </w14:solidFill>
          </w14:textFill>
        </w:rPr>
        <w:t>的生态空间。推动全域自然资源保护，加快生态系统保护和修复工程实施，提升生态系统稳定性和生物多样性。</w:t>
      </w:r>
    </w:p>
    <w:p>
      <w:pPr>
        <w:pStyle w:val="3"/>
        <w:numPr>
          <w:ilvl w:val="0"/>
          <w:numId w:val="7"/>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28" w:name="_Toc9856"/>
      <w:r>
        <w:rPr>
          <w:rFonts w:hint="eastAsia" w:ascii="黑体" w:hAnsi="黑体" w:eastAsia="黑体"/>
          <w:color w:val="000000" w:themeColor="text1"/>
          <w:highlight w:val="none"/>
          <w:lang w:eastAsia="zh-CN"/>
          <w14:textFill>
            <w14:solidFill>
              <w14:schemeClr w14:val="tx1"/>
            </w14:solidFill>
          </w14:textFill>
        </w:rPr>
        <w:t>加强河湖生态管控</w:t>
      </w:r>
      <w:bookmarkEnd w:id="28"/>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强化水资源刚性约束</w:t>
      </w:r>
    </w:p>
    <w:p>
      <w:pPr>
        <w:pStyle w:val="13"/>
        <w:spacing w:before="0" w:beforeLines="0" w:line="360" w:lineRule="auto"/>
        <w:ind w:left="0" w:leftChars="0" w:right="110" w:firstLine="684" w:firstLineChars="213"/>
        <w:rPr>
          <w:rFonts w:eastAsia="仿宋_GB2312"/>
          <w:b w:val="0"/>
          <w:bCs w:val="0"/>
          <w:color w:val="000000" w:themeColor="text1"/>
          <w:highlight w:val="none"/>
          <w:lang w:val="zh-TW" w:eastAsia="zh-CN"/>
          <w14:textFill>
            <w14:solidFill>
              <w14:schemeClr w14:val="tx1"/>
            </w14:solidFill>
          </w14:textFill>
        </w:rPr>
      </w:pPr>
      <w:r>
        <w:rPr>
          <w:rFonts w:hint="eastAsia" w:eastAsia="仿宋_GB2312"/>
          <w:b/>
          <w:bCs/>
          <w:color w:val="000000" w:themeColor="text1"/>
          <w:highlight w:val="none"/>
          <w:lang w:val="en-US" w:eastAsia="zh-CN"/>
          <w14:textFill>
            <w14:solidFill>
              <w14:schemeClr w14:val="tx1"/>
            </w14:solidFill>
          </w14:textFill>
        </w:rPr>
        <w:t>落实用水总量控制指标。</w:t>
      </w:r>
      <w:r>
        <w:rPr>
          <w:rFonts w:hint="eastAsia" w:eastAsia="仿宋_GB2312"/>
          <w:b w:val="0"/>
          <w:bCs w:val="0"/>
          <w:color w:val="000000" w:themeColor="text1"/>
          <w:highlight w:val="none"/>
          <w:lang w:val="zh-TW" w:eastAsia="zh-CN"/>
          <w14:textFill>
            <w14:solidFill>
              <w14:schemeClr w14:val="tx1"/>
            </w14:solidFill>
          </w14:textFill>
        </w:rPr>
        <w:t>坚持以水定城、以水定地、以水定人、以水定产的原则，严守用水总量控制，推进水资源总量管理、科学配置、全面节约、循环利用，推行规划水资源论证，严格建设项目水资源论证，</w:t>
      </w:r>
      <w:r>
        <w:rPr>
          <w:rFonts w:hint="eastAsia" w:eastAsia="仿宋_GB2312"/>
          <w:b w:val="0"/>
          <w:bCs w:val="0"/>
          <w:color w:val="000000" w:themeColor="text1"/>
          <w:highlight w:val="none"/>
          <w:lang w:eastAsia="zh-CN"/>
          <w14:textFill>
            <w14:solidFill>
              <w14:schemeClr w14:val="tx1"/>
            </w14:solidFill>
          </w14:textFill>
        </w:rPr>
        <w:t>强化取用水监管，守住取水红线，</w:t>
      </w:r>
      <w:r>
        <w:rPr>
          <w:rFonts w:hint="eastAsia" w:eastAsia="仿宋_GB2312"/>
          <w:b w:val="0"/>
          <w:bCs w:val="0"/>
          <w:color w:val="000000" w:themeColor="text1"/>
          <w:highlight w:val="none"/>
          <w:lang w:val="zh-TW" w:eastAsia="zh-CN"/>
          <w14:textFill>
            <w14:solidFill>
              <w14:schemeClr w14:val="tx1"/>
            </w14:solidFill>
          </w14:textFill>
        </w:rPr>
        <w:t>确保经济社会发展与水资源承载能力相适应。</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实行最严格的水资源管理制度</w:t>
      </w:r>
    </w:p>
    <w:p>
      <w:pPr>
        <w:pStyle w:val="13"/>
        <w:spacing w:before="0" w:beforeLines="0" w:line="360" w:lineRule="auto"/>
        <w:ind w:left="0" w:leftChars="0" w:right="110" w:firstLine="684" w:firstLineChars="213"/>
        <w:rPr>
          <w:rFonts w:eastAsia="仿宋_GB2312"/>
          <w:color w:val="000000" w:themeColor="text1"/>
          <w:highlight w:val="none"/>
          <w:lang w:eastAsia="zh-CN"/>
          <w14:textFill>
            <w14:solidFill>
              <w14:schemeClr w14:val="tx1"/>
            </w14:solidFill>
          </w14:textFill>
        </w:rPr>
      </w:pPr>
      <w:bookmarkStart w:id="29" w:name="_Hlk150607084"/>
      <w:r>
        <w:rPr>
          <w:rFonts w:eastAsia="仿宋_GB2312"/>
          <w:b/>
          <w:bCs/>
          <w:color w:val="000000" w:themeColor="text1"/>
          <w:highlight w:val="none"/>
          <w:lang w:eastAsia="zh-CN"/>
          <w14:textFill>
            <w14:solidFill>
              <w14:schemeClr w14:val="tx1"/>
            </w14:solidFill>
          </w14:textFill>
        </w:rPr>
        <w:t>加强河流保护。</w:t>
      </w:r>
      <w:r>
        <w:rPr>
          <w:rFonts w:hint="eastAsia" w:eastAsia="仿宋_GB2312"/>
          <w:color w:val="000000" w:themeColor="text1"/>
          <w:highlight w:val="none"/>
          <w:lang w:eastAsia="zh-CN"/>
          <w14:textFill>
            <w14:solidFill>
              <w14:schemeClr w14:val="tx1"/>
            </w14:solidFill>
          </w14:textFill>
        </w:rPr>
        <w:t>保护自然水域、坑塘、</w:t>
      </w:r>
      <w:r>
        <w:rPr>
          <w:rFonts w:hint="eastAsia" w:eastAsia="仿宋_GB2312"/>
          <w:color w:val="000000" w:themeColor="text1"/>
          <w:highlight w:val="none"/>
          <w:lang w:val="en-US" w:eastAsia="zh-CN"/>
          <w14:textFill>
            <w14:solidFill>
              <w14:schemeClr w14:val="tx1"/>
            </w14:solidFill>
          </w14:textFill>
        </w:rPr>
        <w:t>水库水面</w:t>
      </w:r>
      <w:r>
        <w:rPr>
          <w:rFonts w:hint="eastAsia" w:eastAsia="仿宋_GB2312"/>
          <w:color w:val="000000" w:themeColor="text1"/>
          <w:highlight w:val="none"/>
          <w:lang w:eastAsia="zh-CN"/>
          <w14:textFill>
            <w14:solidFill>
              <w14:schemeClr w14:val="tx1"/>
            </w14:solidFill>
          </w14:textFill>
        </w:rPr>
        <w:t>等蓝色空间。严格落实“河长制”制度，坚持保护与防治相结合，以</w:t>
      </w:r>
      <w:r>
        <w:rPr>
          <w:rFonts w:hint="eastAsia" w:eastAsia="仿宋_GB2312"/>
          <w:color w:val="000000" w:themeColor="text1"/>
          <w:highlight w:val="none"/>
          <w:lang w:val="en-US" w:eastAsia="zh-CN"/>
          <w14:textFill>
            <w14:solidFill>
              <w14:schemeClr w14:val="tx1"/>
            </w14:solidFill>
          </w14:textFill>
        </w:rPr>
        <w:t>龙岱河、三龙支河和解放河</w:t>
      </w:r>
      <w:r>
        <w:rPr>
          <w:rFonts w:hint="eastAsia" w:eastAsia="仿宋_GB2312"/>
          <w:color w:val="000000" w:themeColor="text1"/>
          <w:highlight w:val="none"/>
          <w:lang w:eastAsia="zh-CN"/>
          <w14:textFill>
            <w14:solidFill>
              <w14:schemeClr w14:val="tx1"/>
            </w14:solidFill>
          </w14:textFill>
        </w:rPr>
        <w:t>为主脉，加强水系连通。加强水域岸线生态空间管控，严格控制非生态用地边界，严禁侵占河流水体、入河口、缓冲带等重要生态用地和生态敏感区。严格管控各类水域岸线利用行为，保护水网肌理，依法依规审批涉河建设项目。</w:t>
      </w:r>
    </w:p>
    <w:bookmarkEnd w:id="29"/>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落实河</w:t>
      </w:r>
      <w:r>
        <w:rPr>
          <w:rFonts w:hint="eastAsia" w:eastAsia="仿宋_GB2312"/>
          <w:color w:val="000000" w:themeColor="text1"/>
          <w:w w:val="105"/>
          <w:sz w:val="32"/>
          <w:highlight w:val="none"/>
          <w:lang w:val="en-US" w:eastAsia="zh-CN"/>
          <w14:textFill>
            <w14:solidFill>
              <w14:schemeClr w14:val="tx1"/>
            </w14:solidFill>
          </w14:textFill>
        </w:rPr>
        <w:t>道</w:t>
      </w:r>
      <w:r>
        <w:rPr>
          <w:rFonts w:hint="eastAsia" w:eastAsia="仿宋_GB2312"/>
          <w:color w:val="000000" w:themeColor="text1"/>
          <w:w w:val="105"/>
          <w:sz w:val="32"/>
          <w:highlight w:val="none"/>
          <w14:textFill>
            <w14:solidFill>
              <w14:schemeClr w14:val="tx1"/>
            </w14:solidFill>
          </w14:textFill>
        </w:rPr>
        <w:t>管理范围线</w:t>
      </w:r>
    </w:p>
    <w:p>
      <w:pPr>
        <w:pStyle w:val="13"/>
        <w:spacing w:before="0" w:beforeLines="0" w:line="360" w:lineRule="auto"/>
        <w:ind w:left="0" w:leftChars="0" w:right="110" w:firstLine="684" w:firstLineChars="213"/>
        <w:rPr>
          <w:rFonts w:eastAsia="仿宋_GB2312"/>
          <w:color w:val="000000" w:themeColor="text1"/>
          <w:highlight w:val="none"/>
          <w14:textFill>
            <w14:solidFill>
              <w14:schemeClr w14:val="tx1"/>
            </w14:solidFill>
          </w14:textFill>
        </w:rPr>
      </w:pPr>
      <w:r>
        <w:rPr>
          <w:rFonts w:eastAsia="仿宋_GB2312"/>
          <w:b/>
          <w:bCs/>
          <w:color w:val="000000" w:themeColor="text1"/>
          <w:highlight w:val="none"/>
          <w:lang w:eastAsia="zh-CN"/>
          <w14:textFill>
            <w14:solidFill>
              <w14:schemeClr w14:val="tx1"/>
            </w14:solidFill>
          </w14:textFill>
        </w:rPr>
        <w:t>加强河</w:t>
      </w:r>
      <w:r>
        <w:rPr>
          <w:rFonts w:hint="eastAsia" w:eastAsia="仿宋_GB2312"/>
          <w:b/>
          <w:bCs/>
          <w:color w:val="000000" w:themeColor="text1"/>
          <w:highlight w:val="none"/>
          <w:lang w:val="en-US" w:eastAsia="zh-CN"/>
          <w14:textFill>
            <w14:solidFill>
              <w14:schemeClr w14:val="tx1"/>
            </w14:solidFill>
          </w14:textFill>
        </w:rPr>
        <w:t>道</w:t>
      </w:r>
      <w:r>
        <w:rPr>
          <w:rFonts w:hint="eastAsia" w:eastAsia="仿宋_GB2312"/>
          <w:b/>
          <w:bCs/>
          <w:color w:val="000000" w:themeColor="text1"/>
          <w:highlight w:val="none"/>
          <w:lang w:eastAsia="zh-CN"/>
          <w14:textFill>
            <w14:solidFill>
              <w14:schemeClr w14:val="tx1"/>
            </w14:solidFill>
          </w14:textFill>
        </w:rPr>
        <w:t>管理范围线管控</w:t>
      </w:r>
      <w:r>
        <w:rPr>
          <w:rFonts w:eastAsia="仿宋_GB2312"/>
          <w:b/>
          <w:bCs/>
          <w:color w:val="000000" w:themeColor="text1"/>
          <w:highlight w:val="none"/>
          <w:lang w:eastAsia="zh-CN"/>
          <w14:textFill>
            <w14:solidFill>
              <w14:schemeClr w14:val="tx1"/>
            </w14:solidFill>
          </w14:textFill>
        </w:rPr>
        <w:t>。</w:t>
      </w:r>
      <w:r>
        <w:rPr>
          <w:rFonts w:eastAsia="仿宋_GB2312"/>
          <w:color w:val="000000" w:themeColor="text1"/>
          <w:highlight w:val="none"/>
          <w:lang w:eastAsia="zh-CN"/>
          <w14:textFill>
            <w14:solidFill>
              <w14:schemeClr w14:val="tx1"/>
            </w14:solidFill>
          </w14:textFill>
        </w:rPr>
        <w:t>对河道</w:t>
      </w:r>
      <w:r>
        <w:rPr>
          <w:rFonts w:hint="eastAsia" w:eastAsia="仿宋_GB2312"/>
          <w:color w:val="000000" w:themeColor="text1"/>
          <w:highlight w:val="none"/>
          <w:lang w:eastAsia="zh-CN"/>
          <w14:textFill>
            <w14:solidFill>
              <w14:schemeClr w14:val="tx1"/>
            </w14:solidFill>
          </w14:textFill>
        </w:rPr>
        <w:t>、</w:t>
      </w:r>
      <w:r>
        <w:rPr>
          <w:rFonts w:eastAsia="仿宋_GB2312"/>
          <w:color w:val="000000" w:themeColor="text1"/>
          <w:highlight w:val="none"/>
          <w:lang w:eastAsia="zh-CN"/>
          <w14:textFill>
            <w14:solidFill>
              <w14:schemeClr w14:val="tx1"/>
            </w14:solidFill>
          </w14:textFill>
        </w:rPr>
        <w:t>水库等水域空间及其防护空间进行重点保护，严格建设管控。</w:t>
      </w:r>
      <w:r>
        <w:rPr>
          <w:rFonts w:hint="eastAsia" w:eastAsia="仿宋_GB2312"/>
          <w:color w:val="000000" w:themeColor="text1"/>
          <w:highlight w:val="none"/>
          <w:lang w:eastAsia="zh-CN"/>
          <w14:textFill>
            <w14:solidFill>
              <w14:schemeClr w14:val="tx1"/>
            </w14:solidFill>
          </w14:textFill>
        </w:rPr>
        <w:t>参照《中华人民共和国河道管理条例》的相关要求进行严格管控，确保区域行洪安全。禁止开展除必要的跨河交通、市政设施之外的城镇集中建设活动，水体保护控制线内的现状居民点应有序搬迁至两侧的安全地带</w:t>
      </w:r>
      <w:r>
        <w:rPr>
          <w:rFonts w:eastAsia="仿宋_GB2312"/>
          <w:color w:val="000000" w:themeColor="text1"/>
          <w:highlight w:val="none"/>
          <w14:textFill>
            <w14:solidFill>
              <w14:schemeClr w14:val="tx1"/>
            </w14:solidFill>
          </w14:textFill>
        </w:rPr>
        <w:t>。</w:t>
      </w:r>
    </w:p>
    <w:p>
      <w:pPr>
        <w:pStyle w:val="3"/>
        <w:numPr>
          <w:ilvl w:val="0"/>
          <w:numId w:val="7"/>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30" w:name="_bookmark13"/>
      <w:bookmarkEnd w:id="30"/>
      <w:bookmarkStart w:id="31" w:name="_Toc24529"/>
      <w:r>
        <w:rPr>
          <w:rFonts w:hint="eastAsia" w:ascii="黑体" w:hAnsi="黑体" w:eastAsia="黑体"/>
          <w:color w:val="000000" w:themeColor="text1"/>
          <w:highlight w:val="none"/>
          <w:lang w:eastAsia="zh-CN"/>
          <w14:textFill>
            <w14:solidFill>
              <w14:schemeClr w14:val="tx1"/>
            </w14:solidFill>
          </w14:textFill>
        </w:rPr>
        <w:t>构建绿色生态屏障</w:t>
      </w:r>
      <w:bookmarkEnd w:id="31"/>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优化调整林地结构</w:t>
      </w:r>
    </w:p>
    <w:p>
      <w:pPr>
        <w:pStyle w:val="13"/>
        <w:spacing w:before="0" w:beforeLines="0" w:line="360" w:lineRule="auto"/>
        <w:ind w:left="0" w:leftChars="0" w:right="110" w:firstLine="684" w:firstLineChars="213"/>
        <w:rPr>
          <w:rFonts w:hint="eastAsia" w:eastAsia="仿宋_GB2312"/>
          <w:b w:val="0"/>
          <w:bCs w:val="0"/>
          <w:color w:val="000000" w:themeColor="text1"/>
          <w:highlight w:val="none"/>
          <w:lang w:eastAsia="zh-CN"/>
          <w14:textFill>
            <w14:solidFill>
              <w14:schemeClr w14:val="tx1"/>
            </w14:solidFill>
          </w14:textFill>
        </w:rPr>
      </w:pPr>
      <w:r>
        <w:rPr>
          <w:rFonts w:hint="eastAsia" w:eastAsia="仿宋_GB2312"/>
          <w:b/>
          <w:bCs/>
          <w:color w:val="000000" w:themeColor="text1"/>
          <w:highlight w:val="none"/>
          <w:lang w:eastAsia="zh-CN"/>
          <w14:textFill>
            <w14:solidFill>
              <w14:schemeClr w14:val="tx1"/>
            </w14:solidFill>
          </w14:textFill>
        </w:rPr>
        <w:t>优化林地资源配置。</w:t>
      </w:r>
      <w:r>
        <w:rPr>
          <w:rFonts w:hint="eastAsia" w:eastAsia="仿宋_GB2312"/>
          <w:b w:val="0"/>
          <w:bCs w:val="0"/>
          <w:color w:val="000000" w:themeColor="text1"/>
          <w:highlight w:val="none"/>
          <w:lang w:val="en-US" w:eastAsia="zh-CN"/>
          <w14:textFill>
            <w14:solidFill>
              <w14:schemeClr w14:val="tx1"/>
            </w14:solidFill>
          </w14:textFill>
        </w:rPr>
        <w:t>保</w:t>
      </w:r>
      <w:r>
        <w:rPr>
          <w:rFonts w:hint="eastAsia" w:eastAsia="仿宋_GB2312"/>
          <w:b w:val="0"/>
          <w:bCs w:val="0"/>
          <w:color w:val="000000" w:themeColor="text1"/>
          <w:highlight w:val="none"/>
          <w:lang w:eastAsia="zh-CN"/>
          <w14:textFill>
            <w14:solidFill>
              <w14:schemeClr w14:val="tx1"/>
            </w14:solidFill>
          </w14:textFill>
        </w:rPr>
        <w:t>障以生产林产品为主体功能的商品林面积，科学调整林地结构，生态脆弱区林地采用封育等近自然培育技术措施，重点加强镇域山体和林地资源保护，保障优质林地资源面积不减少。</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保障造林绿化空间</w:t>
      </w:r>
    </w:p>
    <w:p>
      <w:pPr>
        <w:pStyle w:val="13"/>
        <w:spacing w:before="0" w:beforeLines="0" w:line="360" w:lineRule="auto"/>
        <w:ind w:left="0" w:leftChars="0" w:right="110" w:firstLine="684" w:firstLineChars="213"/>
        <w:rPr>
          <w:rFonts w:hint="eastAsia" w:eastAsia="仿宋_GB2312"/>
          <w:b w:val="0"/>
          <w:bCs w:val="0"/>
          <w:color w:val="000000" w:themeColor="text1"/>
          <w:highlight w:val="none"/>
          <w:lang w:val="en-US" w:eastAsia="zh-CN"/>
          <w14:textFill>
            <w14:solidFill>
              <w14:schemeClr w14:val="tx1"/>
            </w14:solidFill>
          </w14:textFill>
        </w:rPr>
      </w:pPr>
      <w:r>
        <w:rPr>
          <w:rFonts w:hint="eastAsia" w:eastAsia="仿宋_GB2312"/>
          <w:b/>
          <w:bCs/>
          <w:color w:val="000000" w:themeColor="text1"/>
          <w:highlight w:val="none"/>
          <w:lang w:val="en-US" w:eastAsia="zh-CN"/>
          <w14:textFill>
            <w14:solidFill>
              <w14:schemeClr w14:val="tx1"/>
            </w14:solidFill>
          </w14:textFill>
        </w:rPr>
        <w:t>落实</w:t>
      </w:r>
      <w:r>
        <w:rPr>
          <w:rFonts w:hint="eastAsia" w:eastAsia="仿宋_GB2312"/>
          <w:b/>
          <w:bCs/>
          <w:color w:val="000000" w:themeColor="text1"/>
          <w:highlight w:val="none"/>
          <w:lang w:val="zh-TW" w:eastAsia="zh-CN"/>
          <w14:textFill>
            <w14:solidFill>
              <w14:schemeClr w14:val="tx1"/>
            </w14:solidFill>
          </w14:textFill>
        </w:rPr>
        <w:t>造林绿化空间。</w:t>
      </w:r>
      <w:r>
        <w:rPr>
          <w:rFonts w:hint="eastAsia" w:eastAsia="仿宋_GB2312"/>
          <w:b w:val="0"/>
          <w:bCs w:val="0"/>
          <w:color w:val="000000" w:themeColor="text1"/>
          <w:highlight w:val="none"/>
          <w:lang w:val="en-US" w:eastAsia="zh-CN"/>
          <w14:textFill>
            <w14:solidFill>
              <w14:schemeClr w14:val="tx1"/>
            </w14:solidFill>
          </w14:textFill>
        </w:rPr>
        <w:t>按照“宜林则林，宜灌则灌、宜草则草”原则，有序安排年度造林绿化任务，带位置上报、带图斑下达，稳步推进国土空间绿化美化，主要分布在凤虎山周边和马楼村东北部的宜林地，同步纳入国土空间规划“一张图”。</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加强林地资源保护</w:t>
      </w:r>
    </w:p>
    <w:p>
      <w:pPr>
        <w:pStyle w:val="13"/>
        <w:spacing w:before="0" w:beforeLines="0" w:line="360" w:lineRule="auto"/>
        <w:ind w:left="0" w:leftChars="0" w:right="110" w:firstLine="681" w:firstLineChars="213"/>
        <w:rPr>
          <w:rFonts w:hint="eastAsia" w:eastAsia="仿宋_GB2312"/>
          <w:color w:val="000000" w:themeColor="text1"/>
          <w:highlight w:val="none"/>
          <w:lang w:val="zh-TW" w:eastAsia="zh-CN"/>
          <w14:textFill>
            <w14:solidFill>
              <w14:schemeClr w14:val="tx1"/>
            </w14:solidFill>
          </w14:textFill>
        </w:rPr>
      </w:pPr>
      <w:bookmarkStart w:id="32" w:name="_Hlk150610266"/>
      <w:r>
        <w:rPr>
          <w:rFonts w:hint="eastAsia" w:eastAsia="仿宋_GB2312"/>
          <w:color w:val="000000" w:themeColor="text1"/>
          <w:highlight w:val="none"/>
          <w:lang w:val="zh-TW" w:eastAsia="zh-CN"/>
          <w14:textFill>
            <w14:solidFill>
              <w14:schemeClr w14:val="tx1"/>
            </w14:solidFill>
          </w14:textFill>
        </w:rPr>
        <w:t>加强林地资源保护管理。统筹安排和合理使用林地定额，严把项目关口，严格审批制度，严管林地使用，除必须且经审批的工程建设外，严格控制占用林地。严禁毁林开垦，实行占用林地总量控制，确保林地保有量不减少。在不影响整体森林生态系统功能发挥的前提下，可以按照相关技术规程的规定开展抚育和更新性质的采伐，在不破坏森林植被的前提下，可以合理利用其林地资源，适度开展林下种植、养殖和森林游憩等非木质资源开发与利用，科学发展林下经济。</w:t>
      </w:r>
      <w:bookmarkEnd w:id="32"/>
    </w:p>
    <w:p>
      <w:pPr>
        <w:pStyle w:val="3"/>
        <w:numPr>
          <w:ilvl w:val="0"/>
          <w:numId w:val="7"/>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33" w:name="_Toc29766"/>
      <w:r>
        <w:rPr>
          <w:rFonts w:hint="eastAsia" w:ascii="黑体" w:hAnsi="黑体" w:eastAsia="黑体"/>
          <w:color w:val="000000" w:themeColor="text1"/>
          <w:highlight w:val="none"/>
          <w:lang w:eastAsia="zh-CN"/>
          <w14:textFill>
            <w14:solidFill>
              <w14:schemeClr w14:val="tx1"/>
            </w14:solidFill>
          </w14:textFill>
        </w:rPr>
        <w:t>系统实施生态修复</w:t>
      </w:r>
      <w:bookmarkEnd w:id="33"/>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加强水资源保护修复</w:t>
      </w:r>
    </w:p>
    <w:p>
      <w:pPr>
        <w:pStyle w:val="13"/>
        <w:spacing w:before="0" w:beforeLines="0" w:line="360" w:lineRule="auto"/>
        <w:ind w:left="0" w:leftChars="0" w:right="110" w:firstLine="681" w:firstLineChars="213"/>
        <w:rPr>
          <w:rFonts w:hint="eastAsia" w:eastAsia="仿宋_GB2312"/>
          <w:color w:val="000000" w:themeColor="text1"/>
          <w:highlight w:val="none"/>
          <w:lang w:val="zh-TW" w:eastAsia="zh-CN"/>
          <w14:textFill>
            <w14:solidFill>
              <w14:schemeClr w14:val="tx1"/>
            </w14:solidFill>
          </w14:textFill>
        </w:rPr>
      </w:pPr>
      <w:r>
        <w:rPr>
          <w:rFonts w:hint="eastAsia" w:eastAsia="仿宋_GB2312"/>
          <w:color w:val="000000" w:themeColor="text1"/>
          <w:highlight w:val="none"/>
          <w:lang w:val="zh-TW" w:eastAsia="zh-CN"/>
          <w14:textFill>
            <w14:solidFill>
              <w14:schemeClr w14:val="tx1"/>
            </w14:solidFill>
          </w14:textFill>
        </w:rPr>
        <w:t>完善水体功能引导控制，明确排洪灌溉、水产养殖、景观游憩三大水体功能，并对各类水体进行功能引导控制。强化主要河流水系的保护，严格落实“河长制”制度，严格</w:t>
      </w:r>
      <w:r>
        <w:rPr>
          <w:rFonts w:hint="eastAsia" w:eastAsia="仿宋_GB2312"/>
          <w:color w:val="000000" w:themeColor="text1"/>
          <w:highlight w:val="none"/>
          <w:lang w:val="en-US" w:eastAsia="zh-CN"/>
          <w14:textFill>
            <w14:solidFill>
              <w14:schemeClr w14:val="tx1"/>
            </w14:solidFill>
          </w14:textFill>
        </w:rPr>
        <w:t>三龙支河、龙岱河和解放河</w:t>
      </w:r>
      <w:r>
        <w:rPr>
          <w:rFonts w:hint="eastAsia" w:eastAsia="仿宋_GB2312"/>
          <w:color w:val="000000" w:themeColor="text1"/>
          <w:highlight w:val="none"/>
          <w:lang w:val="zh-TW" w:eastAsia="zh-CN"/>
          <w14:textFill>
            <w14:solidFill>
              <w14:schemeClr w14:val="tx1"/>
            </w14:solidFill>
          </w14:textFill>
        </w:rPr>
        <w:t>等水域岸线用途管制，系统开展沟渠水网治理，通过“河道+沟渠+坑塘”的生态保护衔接的方式，打造生态化沟渠水网，推动农田面源污染治理，定期进行清淤，打造生态化沟渠岸线。针对主要沟渠、水系，打通水系连接点，定期清淤治理，疏浚沟渠水网，保持水系通畅。对小规模淤塞坑塘、沟渠，合理进行复垦，规整水系岸线。</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开展林地修复工程</w:t>
      </w:r>
    </w:p>
    <w:p>
      <w:pPr>
        <w:pStyle w:val="13"/>
        <w:spacing w:before="0" w:beforeLines="0" w:line="360" w:lineRule="auto"/>
        <w:ind w:left="0" w:leftChars="0" w:right="110" w:firstLine="681" w:firstLineChars="213"/>
        <w:rPr>
          <w:rFonts w:hint="eastAsia" w:eastAsia="仿宋_GB2312"/>
          <w:color w:val="000000" w:themeColor="text1"/>
          <w:highlight w:val="none"/>
          <w:lang w:val="en-US"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衔接上位及相关规划，优先保障造林绿化空间，落实造林绿化空间图斑，因地制宜开展造林绿化，优化镇域林地布局。重点推进凤山和梅山省级森林公园生态修复工程，根据相关标准统筹开展镇域防护林地建设，重点在水系、道路沿线开展造林绿化，构建护岸林、护路林等林地生态网络。完善林地用途管制制度，严格控制林地资源消耗，加大管理执法力度，维持林地规模稳定。加大对临时占用林地和灾毁林地修复力度，加强林地生态系统的防灾、抗灾、减灾能力建设，减少自然灾害损毁林地数量，灾毁林地应及时进行修复治理。科学开展林地经营、保育，促进林地更新，逐步优化林地树种，减少杨絮、柳絮对城乡居民的影响，提升林地的景观功能。</w:t>
      </w:r>
    </w:p>
    <w:p>
      <w:pPr>
        <w:rPr>
          <w:rFonts w:hint="eastAsia" w:eastAsia="仿宋_GB2312"/>
          <w:color w:val="000000" w:themeColor="text1"/>
          <w:highlight w:val="none"/>
          <w:lang w:val="en-US" w:eastAsia="zh-CN"/>
          <w14:textFill>
            <w14:solidFill>
              <w14:schemeClr w14:val="tx1"/>
            </w14:solidFill>
          </w14:textFill>
        </w:rPr>
      </w:pPr>
      <w:r>
        <w:rPr>
          <w:rFonts w:eastAsia="仿宋_GB2312"/>
          <w:color w:val="000000" w:themeColor="text1"/>
          <w:highlight w:val="none"/>
          <w:lang w:val="en-US" w:eastAsia="zh-CN"/>
          <w14:textFill>
            <w14:solidFill>
              <w14:schemeClr w14:val="tx1"/>
            </w14:solidFill>
          </w14:textFill>
        </w:rPr>
        <w:br w:type="page"/>
      </w:r>
    </w:p>
    <w:p>
      <w:pPr>
        <w:pStyle w:val="2"/>
        <w:spacing w:before="0" w:line="360" w:lineRule="auto"/>
        <w:ind w:left="0" w:firstLine="0"/>
        <w:jc w:val="center"/>
        <w:rPr>
          <w:rFonts w:hint="eastAsia" w:ascii="华光小标宋_CNKI" w:hAnsi="华光小标宋_CNKI" w:eastAsia="华光小标宋_CNKI"/>
          <w:color w:val="000000" w:themeColor="text1"/>
          <w:spacing w:val="5"/>
          <w:highlight w:val="none"/>
          <w14:textFill>
            <w14:solidFill>
              <w14:schemeClr w14:val="tx1"/>
            </w14:solidFill>
          </w14:textFill>
        </w:rPr>
      </w:pPr>
      <w:bookmarkStart w:id="34" w:name="_Toc9564"/>
      <w:r>
        <w:rPr>
          <w:rFonts w:hint="eastAsia" w:ascii="华光小标宋_CNKI" w:hAnsi="华光小标宋_CNKI" w:eastAsia="华光小标宋_CNKI"/>
          <w:color w:val="000000" w:themeColor="text1"/>
          <w:spacing w:val="5"/>
          <w:highlight w:val="none"/>
          <w14:textFill>
            <w14:solidFill>
              <w14:schemeClr w14:val="tx1"/>
            </w14:solidFill>
          </w14:textFill>
        </w:rPr>
        <w:t>促进城乡统筹，建设乡村振兴高地</w:t>
      </w:r>
      <w:bookmarkEnd w:id="34"/>
    </w:p>
    <w:p>
      <w:pPr>
        <w:spacing w:line="360" w:lineRule="auto"/>
        <w:rPr>
          <w:rFonts w:hint="eastAsia" w:eastAsia="PMingLiU"/>
          <w:color w:val="000000" w:themeColor="text1"/>
          <w:highlight w:val="none"/>
          <w14:textFill>
            <w14:solidFill>
              <w14:schemeClr w14:val="tx1"/>
            </w14:solidFill>
          </w14:textFill>
        </w:rPr>
      </w:pPr>
    </w:p>
    <w:p>
      <w:pPr>
        <w:pStyle w:val="13"/>
        <w:spacing w:before="0" w:beforeLines="0" w:line="360" w:lineRule="auto"/>
        <w:ind w:left="0" w:leftChars="0" w:right="110" w:firstLine="681" w:firstLineChars="213"/>
        <w:rPr>
          <w:rFonts w:hint="eastAsia" w:eastAsia="PMingLiU"/>
          <w:color w:val="000000" w:themeColor="text1"/>
          <w:highlight w:val="none"/>
          <w14:textFill>
            <w14:solidFill>
              <w14:schemeClr w14:val="tx1"/>
            </w14:solidFill>
          </w14:textFill>
        </w:rPr>
      </w:pPr>
      <w:r>
        <w:rPr>
          <w:rFonts w:hint="eastAsia" w:eastAsia="仿宋_GB2312"/>
          <w:color w:val="000000" w:themeColor="text1"/>
          <w:highlight w:val="none"/>
          <w14:textFill>
            <w14:solidFill>
              <w14:schemeClr w14:val="tx1"/>
            </w14:solidFill>
          </w14:textFill>
        </w:rPr>
        <w:t>优化农业农村生产空间、生活空间和生态空间格局，强化村庄规划管控引领，统筹镇域村庄布局，支撑</w:t>
      </w:r>
      <w:r>
        <w:rPr>
          <w:rFonts w:hint="eastAsia" w:eastAsia="仿宋_GB2312"/>
          <w:color w:val="000000" w:themeColor="text1"/>
          <w:highlight w:val="none"/>
          <w:lang w:val="en-US" w:eastAsia="zh-CN"/>
          <w14:textFill>
            <w14:solidFill>
              <w14:schemeClr w14:val="tx1"/>
            </w14:solidFill>
          </w14:textFill>
        </w:rPr>
        <w:t>龙城全面</w:t>
      </w:r>
      <w:r>
        <w:rPr>
          <w:rFonts w:hint="eastAsia" w:eastAsia="仿宋_GB2312"/>
          <w:color w:val="000000" w:themeColor="text1"/>
          <w:highlight w:val="none"/>
          <w14:textFill>
            <w14:solidFill>
              <w14:schemeClr w14:val="tx1"/>
            </w14:solidFill>
          </w14:textFill>
        </w:rPr>
        <w:t>实现农业农村现代化，建设宜居宜业和美乡村。</w:t>
      </w:r>
    </w:p>
    <w:p>
      <w:pPr>
        <w:pStyle w:val="3"/>
        <w:numPr>
          <w:ilvl w:val="0"/>
          <w:numId w:val="8"/>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35" w:name="_bookmark17"/>
      <w:bookmarkEnd w:id="35"/>
      <w:bookmarkStart w:id="36" w:name="_Toc30628"/>
      <w:r>
        <w:rPr>
          <w:rFonts w:hint="eastAsia" w:ascii="黑体" w:hAnsi="黑体" w:eastAsia="黑体"/>
          <w:color w:val="000000" w:themeColor="text1"/>
          <w:highlight w:val="none"/>
          <w:lang w:eastAsia="zh-CN"/>
          <w14:textFill>
            <w14:solidFill>
              <w14:schemeClr w14:val="tx1"/>
            </w14:solidFill>
          </w14:textFill>
        </w:rPr>
        <w:t>优化村庄布局</w:t>
      </w:r>
      <w:bookmarkEnd w:id="36"/>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bookmarkStart w:id="37" w:name="_Hlk150612554"/>
      <w:r>
        <w:rPr>
          <w:rFonts w:hint="eastAsia" w:eastAsia="仿宋_GB2312"/>
          <w:color w:val="000000" w:themeColor="text1"/>
          <w:w w:val="105"/>
          <w:sz w:val="32"/>
          <w:highlight w:val="none"/>
          <w14:textFill>
            <w14:solidFill>
              <w14:schemeClr w14:val="tx1"/>
            </w14:solidFill>
          </w14:textFill>
        </w:rPr>
        <w:t>完善镇村体系</w:t>
      </w:r>
      <w:bookmarkEnd w:id="37"/>
    </w:p>
    <w:p>
      <w:pPr>
        <w:pStyle w:val="13"/>
        <w:spacing w:before="0" w:beforeLines="0" w:line="360" w:lineRule="auto"/>
        <w:ind w:left="0" w:leftChars="0" w:right="110" w:firstLine="681" w:firstLineChars="213"/>
        <w:rPr>
          <w:rFonts w:hint="eastAsia" w:eastAsia="PMingLiU"/>
          <w:color w:val="000000" w:themeColor="text1"/>
          <w:highlight w:val="none"/>
          <w14:textFill>
            <w14:solidFill>
              <w14:schemeClr w14:val="tx1"/>
            </w14:solidFill>
          </w14:textFill>
        </w:rPr>
      </w:pPr>
      <w:bookmarkStart w:id="38" w:name="_Hlk150612547"/>
      <w:r>
        <w:rPr>
          <w:rFonts w:eastAsia="仿宋_GB2312"/>
          <w:color w:val="000000" w:themeColor="text1"/>
          <w:highlight w:val="none"/>
          <w14:textFill>
            <w14:solidFill>
              <w14:schemeClr w14:val="tx1"/>
            </w14:solidFill>
          </w14:textFill>
        </w:rPr>
        <w:t>构建“镇政府驻地—中心村—自然村”的村庄居民点布局体系。</w:t>
      </w:r>
      <w:bookmarkEnd w:id="38"/>
      <w:r>
        <w:rPr>
          <w:rFonts w:eastAsia="仿宋_GB2312"/>
          <w:color w:val="000000" w:themeColor="text1"/>
          <w:highlight w:val="none"/>
          <w14:textFill>
            <w14:solidFill>
              <w14:schemeClr w14:val="tx1"/>
            </w14:solidFill>
          </w14:textFill>
        </w:rPr>
        <w:t>发挥</w:t>
      </w:r>
      <w:r>
        <w:rPr>
          <w:rFonts w:hint="eastAsia" w:eastAsia="仿宋_GB2312"/>
          <w:color w:val="000000" w:themeColor="text1"/>
          <w:highlight w:val="none"/>
          <w:lang w:eastAsia="zh-CN"/>
          <w14:textFill>
            <w14:solidFill>
              <w14:schemeClr w14:val="tx1"/>
            </w14:solidFill>
          </w14:textFill>
        </w:rPr>
        <w:t>县城</w:t>
      </w:r>
      <w:r>
        <w:rPr>
          <w:rFonts w:eastAsia="仿宋_GB2312"/>
          <w:color w:val="000000" w:themeColor="text1"/>
          <w:highlight w:val="none"/>
          <w14:textFill>
            <w14:solidFill>
              <w14:schemeClr w14:val="tx1"/>
            </w14:solidFill>
          </w14:textFill>
        </w:rPr>
        <w:t>在城镇化中的带动作用，以</w:t>
      </w:r>
      <w:r>
        <w:rPr>
          <w:rFonts w:hint="eastAsia" w:eastAsia="仿宋_GB2312"/>
          <w:color w:val="000000" w:themeColor="text1"/>
          <w:highlight w:val="none"/>
          <w:lang w:eastAsia="zh-CN"/>
          <w14:textFill>
            <w14:solidFill>
              <w14:schemeClr w14:val="tx1"/>
            </w14:solidFill>
          </w14:textFill>
        </w:rPr>
        <w:t>龙城</w:t>
      </w:r>
      <w:r>
        <w:rPr>
          <w:rFonts w:hint="eastAsia" w:eastAsia="仿宋_GB2312"/>
          <w:color w:val="000000" w:themeColor="text1"/>
          <w:highlight w:val="none"/>
          <w:lang w:val="en-US" w:eastAsia="zh-CN"/>
          <w14:textFill>
            <w14:solidFill>
              <w14:schemeClr w14:val="tx1"/>
            </w14:solidFill>
          </w14:textFill>
        </w:rPr>
        <w:t>镇中心城区区域</w:t>
      </w:r>
      <w:r>
        <w:rPr>
          <w:rFonts w:eastAsia="仿宋_GB2312"/>
          <w:color w:val="000000" w:themeColor="text1"/>
          <w:highlight w:val="none"/>
          <w14:textFill>
            <w14:solidFill>
              <w14:schemeClr w14:val="tx1"/>
            </w14:solidFill>
          </w14:textFill>
        </w:rPr>
        <w:t>为引领</w:t>
      </w:r>
      <w:r>
        <w:rPr>
          <w:rFonts w:hint="eastAsia" w:eastAsia="仿宋_GB2312"/>
          <w:color w:val="000000" w:themeColor="text1"/>
          <w:highlight w:val="none"/>
          <w14:textFill>
            <w14:solidFill>
              <w14:schemeClr w14:val="tx1"/>
            </w14:solidFill>
          </w14:textFill>
        </w:rPr>
        <w:t>，全面</w:t>
      </w:r>
      <w:r>
        <w:rPr>
          <w:rFonts w:eastAsia="仿宋_GB2312"/>
          <w:color w:val="000000" w:themeColor="text1"/>
          <w:highlight w:val="none"/>
          <w14:textFill>
            <w14:solidFill>
              <w14:schemeClr w14:val="tx1"/>
            </w14:solidFill>
          </w14:textFill>
        </w:rPr>
        <w:t>提升</w:t>
      </w:r>
      <w:r>
        <w:rPr>
          <w:rFonts w:hint="eastAsia" w:eastAsia="仿宋_GB2312"/>
          <w:color w:val="000000" w:themeColor="text1"/>
          <w:highlight w:val="none"/>
          <w14:textFill>
            <w14:solidFill>
              <w14:schemeClr w14:val="tx1"/>
            </w14:solidFill>
          </w14:textFill>
        </w:rPr>
        <w:t>城乡生活圈公共服务水平</w:t>
      </w:r>
      <w:r>
        <w:rPr>
          <w:rFonts w:eastAsia="仿宋_GB2312"/>
          <w:color w:val="000000" w:themeColor="text1"/>
          <w:highlight w:val="none"/>
          <w14:textFill>
            <w14:solidFill>
              <w14:schemeClr w14:val="tx1"/>
            </w14:solidFill>
          </w14:textFill>
        </w:rPr>
        <w:t>。</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严格控制村庄建设用地规模</w:t>
      </w:r>
    </w:p>
    <w:p>
      <w:pPr>
        <w:pStyle w:val="13"/>
        <w:spacing w:before="0" w:beforeLines="0" w:line="360" w:lineRule="auto"/>
        <w:ind w:left="0" w:leftChars="0" w:right="110" w:firstLine="681" w:firstLineChars="213"/>
        <w:rPr>
          <w:rFonts w:eastAsia="仿宋_GB2312"/>
          <w:color w:val="000000" w:themeColor="text1"/>
          <w:highlight w:val="none"/>
          <w14:textFill>
            <w14:solidFill>
              <w14:schemeClr w14:val="tx1"/>
            </w14:solidFill>
          </w14:textFill>
        </w:rPr>
      </w:pPr>
      <w:r>
        <w:rPr>
          <w:rFonts w:eastAsia="仿宋_GB2312"/>
          <w:color w:val="000000" w:themeColor="text1"/>
          <w:highlight w:val="none"/>
          <w14:textFill>
            <w14:solidFill>
              <w14:schemeClr w14:val="tx1"/>
            </w14:solidFill>
          </w14:textFill>
        </w:rPr>
        <w:t>以上位国土空间总体规划确定的乡镇建设用地规模为依据，结合现状用地规模、乡镇发展目标、产业</w:t>
      </w:r>
      <w:r>
        <w:rPr>
          <w:rFonts w:hint="eastAsia" w:eastAsia="仿宋_GB2312"/>
          <w:color w:val="000000" w:themeColor="text1"/>
          <w:highlight w:val="none"/>
          <w14:textFill>
            <w14:solidFill>
              <w14:schemeClr w14:val="tx1"/>
            </w14:solidFill>
          </w14:textFill>
        </w:rPr>
        <w:t>用地需求</w:t>
      </w:r>
      <w:r>
        <w:rPr>
          <w:rFonts w:eastAsia="仿宋_GB2312"/>
          <w:color w:val="000000" w:themeColor="text1"/>
          <w:highlight w:val="none"/>
          <w14:textFill>
            <w14:solidFill>
              <w14:schemeClr w14:val="tx1"/>
            </w14:solidFill>
          </w14:textFill>
        </w:rPr>
        <w:t>，合理分解镇政府驻地、各行政村</w:t>
      </w:r>
      <w:r>
        <w:rPr>
          <w:rFonts w:hint="eastAsia" w:eastAsia="仿宋_GB2312"/>
          <w:color w:val="000000" w:themeColor="text1"/>
          <w:highlight w:val="none"/>
          <w14:textFill>
            <w14:solidFill>
              <w14:schemeClr w14:val="tx1"/>
            </w14:solidFill>
          </w14:textFill>
        </w:rPr>
        <w:t>村庄</w:t>
      </w:r>
      <w:r>
        <w:rPr>
          <w:rFonts w:eastAsia="仿宋_GB2312"/>
          <w:color w:val="000000" w:themeColor="text1"/>
          <w:highlight w:val="none"/>
          <w14:textFill>
            <w14:solidFill>
              <w14:schemeClr w14:val="tx1"/>
            </w14:solidFill>
          </w14:textFill>
        </w:rPr>
        <w:t>建设用地规模。</w:t>
      </w:r>
      <w:r>
        <w:rPr>
          <w:rFonts w:hint="eastAsia" w:eastAsia="仿宋_GB2312"/>
          <w:color w:val="000000" w:themeColor="text1"/>
          <w:highlight w:val="none"/>
          <w14:textFill>
            <w14:solidFill>
              <w14:schemeClr w14:val="tx1"/>
            </w14:solidFill>
          </w14:textFill>
        </w:rPr>
        <w:t>根据不同类型村庄发展用地需求，合理确定村庄建设用地增量和减量空间布局，科学划定村庄建设边界，合理分解确定村庄建设用地规模，做好建设和复垦等实施时序安排。</w:t>
      </w:r>
    </w:p>
    <w:p>
      <w:pPr>
        <w:pStyle w:val="13"/>
        <w:spacing w:before="0" w:beforeLines="0" w:line="360" w:lineRule="auto"/>
        <w:ind w:left="0" w:leftChars="0" w:right="110" w:firstLine="681" w:firstLineChars="213"/>
        <w:rPr>
          <w:rFonts w:eastAsia="仿宋_GB2312"/>
          <w:color w:val="000000" w:themeColor="text1"/>
          <w:highlight w:val="none"/>
          <w14:textFill>
            <w14:solidFill>
              <w14:schemeClr w14:val="tx1"/>
            </w14:solidFill>
          </w14:textFill>
        </w:rPr>
      </w:pPr>
      <w:r>
        <w:rPr>
          <w:rFonts w:hint="eastAsia" w:eastAsia="仿宋_GB2312"/>
          <w:color w:val="000000" w:themeColor="text1"/>
          <w:highlight w:val="none"/>
          <w14:textFill>
            <w14:solidFill>
              <w14:schemeClr w14:val="tx1"/>
            </w14:solidFill>
          </w14:textFill>
        </w:rPr>
        <w:t>村庄可预留不超过5%的建设用地机动指标，用于保障暂时难以精准落位的乡村建设需求，包括农民建房、农村公共公益设施、零星分散的文旅设施及农村新产业新业态等用地可申请使用。</w:t>
      </w:r>
      <w:r>
        <w:rPr>
          <w:rFonts w:hint="eastAsia" w:eastAsia="仿宋_GB2312"/>
          <w:color w:val="000000" w:themeColor="text1"/>
          <w:highlight w:val="none"/>
          <w:lang w:val="zh-TW"/>
          <w14:textFill>
            <w14:solidFill>
              <w14:schemeClr w14:val="tx1"/>
            </w14:solidFill>
          </w14:textFill>
        </w:rPr>
        <w:t>加强重点地块图则管控，</w:t>
      </w:r>
      <w:r>
        <w:rPr>
          <w:rFonts w:hint="eastAsia" w:eastAsia="仿宋_GB2312"/>
          <w:color w:val="000000" w:themeColor="text1"/>
          <w:highlight w:val="none"/>
          <w14:textFill>
            <w14:solidFill>
              <w14:schemeClr w14:val="tx1"/>
            </w14:solidFill>
          </w14:textFill>
        </w:rPr>
        <w:t>因公共服务设施、基础设施、文旅设施、农村一二三产业融合发展等需要使用机动指标的村庄，可采取编制重点地块图则的方式，对土地用途、用地规模、容积率等建设控制指标予以明确，切实加强对具体建设行为的指导约束。</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合理划定村庄建设边界</w:t>
      </w:r>
    </w:p>
    <w:p>
      <w:pPr>
        <w:pStyle w:val="13"/>
        <w:spacing w:before="0" w:beforeLines="0" w:line="360" w:lineRule="auto"/>
        <w:ind w:left="0" w:leftChars="0" w:right="110" w:firstLine="681" w:firstLineChars="213"/>
        <w:rPr>
          <w:rFonts w:hint="eastAsia" w:eastAsia="PMingLiU"/>
          <w:color w:val="000000" w:themeColor="text1"/>
          <w:highlight w:val="none"/>
          <w:u w:val="single"/>
          <w14:textFill>
            <w14:solidFill>
              <w14:schemeClr w14:val="tx1"/>
            </w14:solidFill>
          </w14:textFill>
        </w:rPr>
      </w:pPr>
      <w:r>
        <w:rPr>
          <w:rFonts w:eastAsia="仿宋_GB2312"/>
          <w:color w:val="000000" w:themeColor="text1"/>
          <w:highlight w:val="none"/>
          <w14:textFill>
            <w14:solidFill>
              <w14:schemeClr w14:val="tx1"/>
            </w14:solidFill>
          </w14:textFill>
        </w:rPr>
        <w:t>对位于城镇开发边界外，规划</w:t>
      </w:r>
      <w:r>
        <w:rPr>
          <w:rFonts w:hint="eastAsia" w:eastAsia="仿宋_GB2312"/>
          <w:color w:val="000000" w:themeColor="text1"/>
          <w:highlight w:val="none"/>
          <w:lang w:eastAsia="zh-CN"/>
          <w14:textFill>
            <w14:solidFill>
              <w14:schemeClr w14:val="tx1"/>
            </w14:solidFill>
          </w14:textFill>
        </w:rPr>
        <w:t>期内仍存在的村庄，</w:t>
      </w:r>
      <w:r>
        <w:rPr>
          <w:rFonts w:eastAsia="仿宋_GB2312"/>
          <w:color w:val="000000" w:themeColor="text1"/>
          <w:highlight w:val="none"/>
          <w14:textFill>
            <w14:solidFill>
              <w14:schemeClr w14:val="tx1"/>
            </w14:solidFill>
          </w14:textFill>
        </w:rPr>
        <w:t>划定村庄建设边界。村庄建设边界不得与耕地和永久基本农田保护红线、生态保护红线冲突。</w:t>
      </w:r>
    </w:p>
    <w:p>
      <w:pPr>
        <w:pStyle w:val="3"/>
        <w:numPr>
          <w:ilvl w:val="0"/>
          <w:numId w:val="8"/>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39" w:name="_Toc32096"/>
      <w:r>
        <w:rPr>
          <w:rFonts w:hint="eastAsia" w:ascii="黑体" w:hAnsi="黑体" w:eastAsia="黑体"/>
          <w:color w:val="000000" w:themeColor="text1"/>
          <w:highlight w:val="none"/>
          <w:lang w:eastAsia="zh-CN"/>
          <w14:textFill>
            <w14:solidFill>
              <w14:schemeClr w14:val="tx1"/>
            </w14:solidFill>
          </w14:textFill>
        </w:rPr>
        <w:t>优化城乡公共服务设施配置</w:t>
      </w:r>
      <w:bookmarkEnd w:id="39"/>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合理配置城乡</w:t>
      </w:r>
      <w:r>
        <w:rPr>
          <w:rFonts w:eastAsia="仿宋_GB2312"/>
          <w:color w:val="000000" w:themeColor="text1"/>
          <w:w w:val="105"/>
          <w:sz w:val="32"/>
          <w:highlight w:val="none"/>
          <w14:textFill>
            <w14:solidFill>
              <w14:schemeClr w14:val="tx1"/>
            </w14:solidFill>
          </w14:textFill>
        </w:rPr>
        <w:t>公共服务设施</w:t>
      </w:r>
    </w:p>
    <w:p>
      <w:pPr>
        <w:pStyle w:val="13"/>
        <w:spacing w:before="0" w:beforeLines="0" w:line="360" w:lineRule="auto"/>
        <w:ind w:left="0" w:leftChars="0" w:right="110" w:firstLine="681" w:firstLineChars="213"/>
        <w:rPr>
          <w:rFonts w:hint="eastAsia" w:eastAsia="仿宋_GB2312"/>
          <w:color w:val="000000" w:themeColor="text1"/>
          <w:highlight w:val="none"/>
          <w14:textFill>
            <w14:solidFill>
              <w14:schemeClr w14:val="tx1"/>
            </w14:solidFill>
          </w14:textFill>
        </w:rPr>
      </w:pPr>
      <w:r>
        <w:rPr>
          <w:rFonts w:eastAsia="仿宋_GB2312"/>
          <w:color w:val="000000" w:themeColor="text1"/>
          <w:highlight w:val="none"/>
          <w14:textFill>
            <w14:solidFill>
              <w14:schemeClr w14:val="tx1"/>
            </w14:solidFill>
          </w14:textFill>
        </w:rPr>
        <w:t>建立</w:t>
      </w:r>
      <w:r>
        <w:rPr>
          <w:rFonts w:hint="eastAsia" w:eastAsia="仿宋_GB2312"/>
          <w:color w:val="000000" w:themeColor="text1"/>
          <w:highlight w:val="none"/>
          <w14:textFill>
            <w14:solidFill>
              <w14:schemeClr w14:val="tx1"/>
            </w14:solidFill>
          </w14:textFill>
        </w:rPr>
        <w:t>“</w:t>
      </w:r>
      <w:r>
        <w:rPr>
          <w:rFonts w:hint="eastAsia" w:eastAsia="仿宋_GB2312"/>
          <w:color w:val="000000" w:themeColor="text1"/>
          <w:highlight w:val="none"/>
          <w:lang w:val="en-US" w:eastAsia="zh-CN"/>
          <w14:textFill>
            <w14:solidFill>
              <w14:schemeClr w14:val="tx1"/>
            </w14:solidFill>
          </w14:textFill>
        </w:rPr>
        <w:t>县城—乡镇</w:t>
      </w:r>
      <w:r>
        <w:rPr>
          <w:rFonts w:eastAsia="仿宋_GB2312"/>
          <w:color w:val="000000" w:themeColor="text1"/>
          <w:highlight w:val="none"/>
          <w14:textFill>
            <w14:solidFill>
              <w14:schemeClr w14:val="tx1"/>
            </w14:solidFill>
          </w14:textFill>
        </w:rPr>
        <w:t>—</w:t>
      </w:r>
      <w:r>
        <w:rPr>
          <w:rFonts w:hint="eastAsia" w:eastAsia="仿宋_GB2312"/>
          <w:color w:val="000000" w:themeColor="text1"/>
          <w:highlight w:val="none"/>
          <w:lang w:val="en-US" w:eastAsia="zh-CN"/>
          <w14:textFill>
            <w14:solidFill>
              <w14:schemeClr w14:val="tx1"/>
            </w14:solidFill>
          </w14:textFill>
        </w:rPr>
        <w:t>中心村—自然村</w:t>
      </w:r>
      <w:r>
        <w:rPr>
          <w:rFonts w:hint="eastAsia" w:eastAsia="仿宋_GB2312"/>
          <w:color w:val="000000" w:themeColor="text1"/>
          <w:highlight w:val="none"/>
          <w14:textFill>
            <w14:solidFill>
              <w14:schemeClr w14:val="tx1"/>
            </w14:solidFill>
          </w14:textFill>
        </w:rPr>
        <w:t>”</w:t>
      </w:r>
      <w:r>
        <w:rPr>
          <w:rFonts w:hint="eastAsia" w:eastAsia="仿宋_GB2312"/>
          <w:color w:val="000000" w:themeColor="text1"/>
          <w:highlight w:val="none"/>
          <w:lang w:val="en-US" w:eastAsia="zh-CN"/>
          <w14:textFill>
            <w14:solidFill>
              <w14:schemeClr w14:val="tx1"/>
            </w14:solidFill>
          </w14:textFill>
        </w:rPr>
        <w:t>四</w:t>
      </w:r>
      <w:r>
        <w:rPr>
          <w:rFonts w:eastAsia="仿宋_GB2312"/>
          <w:color w:val="000000" w:themeColor="text1"/>
          <w:highlight w:val="none"/>
          <w14:textFill>
            <w14:solidFill>
              <w14:schemeClr w14:val="tx1"/>
            </w14:solidFill>
          </w14:textFill>
        </w:rPr>
        <w:t>级公共服务体系，构建30—15</w:t>
      </w:r>
      <w:r>
        <w:rPr>
          <w:rFonts w:hint="eastAsia" w:eastAsia="仿宋_GB2312"/>
          <w:color w:val="000000" w:themeColor="text1"/>
          <w:highlight w:val="none"/>
          <w:lang w:eastAsia="zh-CN"/>
          <w14:textFill>
            <w14:solidFill>
              <w14:schemeClr w14:val="tx1"/>
            </w14:solidFill>
          </w14:textFill>
        </w:rPr>
        <w:t>—</w:t>
      </w:r>
      <w:r>
        <w:rPr>
          <w:rFonts w:eastAsia="仿宋_GB2312"/>
          <w:color w:val="000000" w:themeColor="text1"/>
          <w:highlight w:val="none"/>
          <w:lang w:val="en-US" w:eastAsia="zh-CN"/>
          <w14:textFill>
            <w14:solidFill>
              <w14:schemeClr w14:val="tx1"/>
            </w14:solidFill>
          </w14:textFill>
        </w:rPr>
        <w:t>5</w:t>
      </w:r>
      <w:r>
        <w:rPr>
          <w:rFonts w:eastAsia="仿宋_GB2312"/>
          <w:color w:val="000000" w:themeColor="text1"/>
          <w:highlight w:val="none"/>
          <w14:textFill>
            <w14:solidFill>
              <w14:schemeClr w14:val="tx1"/>
            </w14:solidFill>
          </w14:textFill>
        </w:rPr>
        <w:t>分钟生活圈，重点加强</w:t>
      </w:r>
      <w:r>
        <w:rPr>
          <w:rFonts w:hint="eastAsia" w:eastAsia="仿宋_GB2312"/>
          <w:color w:val="000000" w:themeColor="text1"/>
          <w:highlight w:val="none"/>
          <w:lang w:val="en-US" w:eastAsia="zh-CN"/>
          <w14:textFill>
            <w14:solidFill>
              <w14:schemeClr w14:val="tx1"/>
            </w14:solidFill>
          </w14:textFill>
        </w:rPr>
        <w:t>县</w:t>
      </w:r>
      <w:r>
        <w:rPr>
          <w:rFonts w:eastAsia="仿宋_GB2312"/>
          <w:color w:val="000000" w:themeColor="text1"/>
          <w:highlight w:val="none"/>
          <w14:textFill>
            <w14:solidFill>
              <w14:schemeClr w14:val="tx1"/>
            </w14:solidFill>
          </w14:textFill>
        </w:rPr>
        <w:t>级和社区级公共服务设施的建设，提高设施服务水平。公共设施</w:t>
      </w:r>
      <w:r>
        <w:rPr>
          <w:rFonts w:hint="eastAsia" w:eastAsia="仿宋_GB2312"/>
          <w:color w:val="000000" w:themeColor="text1"/>
          <w:highlight w:val="none"/>
          <w14:textFill>
            <w14:solidFill>
              <w14:schemeClr w14:val="tx1"/>
            </w14:solidFill>
          </w14:textFill>
        </w:rPr>
        <w:t>适度</w:t>
      </w:r>
      <w:r>
        <w:rPr>
          <w:rFonts w:eastAsia="仿宋_GB2312"/>
          <w:color w:val="000000" w:themeColor="text1"/>
          <w:highlight w:val="none"/>
          <w14:textFill>
            <w14:solidFill>
              <w14:schemeClr w14:val="tx1"/>
            </w14:solidFill>
          </w14:textFill>
        </w:rPr>
        <w:t>集中布局，功能混合，形成可识别的组团中心和</w:t>
      </w:r>
      <w:r>
        <w:rPr>
          <w:rFonts w:hint="eastAsia" w:eastAsia="仿宋_GB2312"/>
          <w:color w:val="000000" w:themeColor="text1"/>
          <w:highlight w:val="none"/>
          <w:lang w:val="en-US" w:eastAsia="zh-CN"/>
          <w14:textFill>
            <w14:solidFill>
              <w14:schemeClr w14:val="tx1"/>
            </w14:solidFill>
          </w14:textFill>
        </w:rPr>
        <w:t>社区中心</w:t>
      </w:r>
      <w:r>
        <w:rPr>
          <w:rFonts w:eastAsia="仿宋_GB2312"/>
          <w:color w:val="000000" w:themeColor="text1"/>
          <w:highlight w:val="none"/>
          <w14:textFill>
            <w14:solidFill>
              <w14:schemeClr w14:val="tx1"/>
            </w14:solidFill>
          </w14:textFill>
        </w:rPr>
        <w:t>，为居民提供一站式综合服务。满足日常生活需求，促进邻里交往，着力将</w:t>
      </w:r>
      <w:r>
        <w:rPr>
          <w:rFonts w:hint="eastAsia" w:eastAsia="仿宋_GB2312"/>
          <w:color w:val="000000" w:themeColor="text1"/>
          <w:highlight w:val="none"/>
          <w:lang w:eastAsia="zh-CN"/>
          <w14:textFill>
            <w14:solidFill>
              <w14:schemeClr w14:val="tx1"/>
            </w14:solidFill>
          </w14:textFill>
        </w:rPr>
        <w:t>县城</w:t>
      </w:r>
      <w:r>
        <w:rPr>
          <w:rFonts w:eastAsia="仿宋_GB2312"/>
          <w:color w:val="000000" w:themeColor="text1"/>
          <w:highlight w:val="none"/>
          <w14:textFill>
            <w14:solidFill>
              <w14:schemeClr w14:val="tx1"/>
            </w14:solidFill>
          </w14:textFill>
        </w:rPr>
        <w:t>、农村社区营造成为生活便利、温馨和谐的美丽家园。</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优化</w:t>
      </w:r>
      <w:r>
        <w:rPr>
          <w:rFonts w:eastAsia="仿宋_GB2312"/>
          <w:color w:val="000000" w:themeColor="text1"/>
          <w:w w:val="105"/>
          <w:sz w:val="32"/>
          <w:highlight w:val="none"/>
          <w14:textFill>
            <w14:solidFill>
              <w14:schemeClr w14:val="tx1"/>
            </w14:solidFill>
          </w14:textFill>
        </w:rPr>
        <w:t>各类公共服务设施布局</w:t>
      </w:r>
    </w:p>
    <w:p>
      <w:pPr>
        <w:pStyle w:val="13"/>
        <w:spacing w:before="0" w:beforeLines="0" w:line="360" w:lineRule="auto"/>
        <w:ind w:left="0" w:leftChars="0" w:right="110" w:firstLine="681" w:firstLineChars="213"/>
        <w:rPr>
          <w:rFonts w:hint="eastAsia" w:eastAsia="PMingLiU"/>
          <w:color w:val="000000" w:themeColor="text1"/>
          <w:highlight w:val="none"/>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1、</w:t>
      </w:r>
      <w:r>
        <w:rPr>
          <w:rFonts w:eastAsia="仿宋_GB2312"/>
          <w:color w:val="000000" w:themeColor="text1"/>
          <w:highlight w:val="none"/>
          <w14:textFill>
            <w14:solidFill>
              <w14:schemeClr w14:val="tx1"/>
            </w14:solidFill>
          </w14:textFill>
        </w:rPr>
        <w:t>教育服务设施</w:t>
      </w:r>
    </w:p>
    <w:p>
      <w:pPr>
        <w:pStyle w:val="13"/>
        <w:spacing w:before="0" w:beforeLines="0" w:line="360" w:lineRule="auto"/>
        <w:ind w:left="0" w:leftChars="0" w:right="110" w:firstLine="681" w:firstLineChars="213"/>
        <w:rPr>
          <w:rFonts w:hint="eastAsia" w:eastAsia="仿宋_GB2312"/>
          <w:highlight w:val="none"/>
        </w:rPr>
      </w:pPr>
      <w:r>
        <w:rPr>
          <w:rFonts w:eastAsia="仿宋_GB2312"/>
          <w:highlight w:val="none"/>
        </w:rPr>
        <w:t>普及学前三年教育，采用部门、集体、民办多种方式发展幼儿教育。合并改造现有小学，实现校校达标</w:t>
      </w:r>
      <w:r>
        <w:rPr>
          <w:rFonts w:hint="eastAsia" w:eastAsia="仿宋_GB2312"/>
          <w:highlight w:val="none"/>
        </w:rPr>
        <w:t>，</w:t>
      </w:r>
      <w:r>
        <w:rPr>
          <w:rFonts w:eastAsia="仿宋_GB2312"/>
          <w:highlight w:val="none"/>
        </w:rPr>
        <w:t>小学</w:t>
      </w:r>
      <w:r>
        <w:rPr>
          <w:rFonts w:hint="eastAsia" w:eastAsia="仿宋_GB2312"/>
          <w:highlight w:val="none"/>
        </w:rPr>
        <w:t>布局控制在合理半径内</w:t>
      </w:r>
      <w:r>
        <w:rPr>
          <w:rFonts w:eastAsia="仿宋_GB2312"/>
          <w:highlight w:val="none"/>
        </w:rPr>
        <w:t>，适当考虑规模效益，根据生源供给情况增</w:t>
      </w:r>
      <w:r>
        <w:rPr>
          <w:rFonts w:hint="eastAsia" w:eastAsia="仿宋_GB2312"/>
          <w:highlight w:val="none"/>
          <w:lang w:val="en-US" w:eastAsia="zh-CN"/>
        </w:rPr>
        <w:t>减</w:t>
      </w:r>
      <w:r>
        <w:rPr>
          <w:rFonts w:eastAsia="仿宋_GB2312"/>
          <w:highlight w:val="none"/>
        </w:rPr>
        <w:t>教学点。</w:t>
      </w:r>
      <w:r>
        <w:rPr>
          <w:rFonts w:hint="eastAsia" w:eastAsia="仿宋_GB2312"/>
          <w:highlight w:val="none"/>
          <w:lang w:eastAsia="zh-CN"/>
        </w:rPr>
        <w:t>县城</w:t>
      </w:r>
      <w:r>
        <w:rPr>
          <w:rFonts w:eastAsia="仿宋_GB2312"/>
          <w:highlight w:val="none"/>
        </w:rPr>
        <w:t>初中</w:t>
      </w:r>
      <w:r>
        <w:rPr>
          <w:rFonts w:hint="eastAsia" w:eastAsia="仿宋_GB2312"/>
          <w:highlight w:val="none"/>
          <w:lang w:eastAsia="zh-CN"/>
        </w:rPr>
        <w:t>、</w:t>
      </w:r>
      <w:r>
        <w:rPr>
          <w:rFonts w:hint="eastAsia" w:eastAsia="仿宋_GB2312"/>
          <w:highlight w:val="none"/>
          <w:lang w:val="en-US" w:eastAsia="zh-CN"/>
        </w:rPr>
        <w:t>高中</w:t>
      </w:r>
      <w:r>
        <w:rPr>
          <w:rFonts w:eastAsia="仿宋_GB2312"/>
          <w:highlight w:val="none"/>
        </w:rPr>
        <w:t>设置不仅考虑人口规模，而且要考虑服务本镇及</w:t>
      </w:r>
      <w:r>
        <w:rPr>
          <w:rFonts w:hint="eastAsia" w:eastAsia="仿宋_GB2312"/>
          <w:highlight w:val="none"/>
          <w:lang w:val="en-US" w:eastAsia="zh-CN"/>
        </w:rPr>
        <w:t>县域</w:t>
      </w:r>
      <w:r>
        <w:rPr>
          <w:rFonts w:eastAsia="仿宋_GB2312"/>
          <w:highlight w:val="none"/>
        </w:rPr>
        <w:t>，可以结合小学设置九年一贯制学校</w:t>
      </w:r>
      <w:r>
        <w:rPr>
          <w:rFonts w:hint="eastAsia" w:eastAsia="仿宋_GB2312"/>
          <w:highlight w:val="none"/>
        </w:rPr>
        <w:t>。</w:t>
      </w:r>
    </w:p>
    <w:p>
      <w:pPr>
        <w:pStyle w:val="13"/>
        <w:spacing w:before="0" w:beforeLines="0" w:line="360" w:lineRule="auto"/>
        <w:ind w:left="0" w:leftChars="0" w:right="110" w:firstLine="681" w:firstLineChars="213"/>
        <w:rPr>
          <w:rFonts w:hint="eastAsia" w:eastAsia="PMingLiU"/>
          <w:highlight w:val="none"/>
        </w:rPr>
      </w:pPr>
      <w:r>
        <w:rPr>
          <w:rFonts w:hint="eastAsia" w:eastAsia="仿宋_GB2312"/>
          <w:highlight w:val="none"/>
          <w:lang w:eastAsia="zh-CN"/>
        </w:rPr>
        <w:t>2、</w:t>
      </w:r>
      <w:r>
        <w:rPr>
          <w:rFonts w:eastAsia="仿宋_GB2312"/>
          <w:highlight w:val="none"/>
        </w:rPr>
        <w:t>文化娱乐设施</w:t>
      </w:r>
    </w:p>
    <w:p>
      <w:pPr>
        <w:pStyle w:val="13"/>
        <w:spacing w:before="0" w:beforeLines="0" w:line="360" w:lineRule="auto"/>
        <w:ind w:left="0" w:leftChars="0" w:right="110" w:firstLine="681" w:firstLineChars="213"/>
        <w:rPr>
          <w:rFonts w:hint="eastAsia" w:eastAsia="仿宋_GB2312"/>
          <w:highlight w:val="none"/>
        </w:rPr>
      </w:pPr>
      <w:r>
        <w:rPr>
          <w:rFonts w:eastAsia="仿宋_GB2312"/>
          <w:highlight w:val="none"/>
        </w:rPr>
        <w:t>建立健全</w:t>
      </w:r>
      <w:r>
        <w:rPr>
          <w:rFonts w:hint="eastAsia" w:eastAsia="仿宋_GB2312"/>
          <w:highlight w:val="none"/>
        </w:rPr>
        <w:t>“</w:t>
      </w:r>
      <w:r>
        <w:rPr>
          <w:rFonts w:hint="eastAsia" w:eastAsia="仿宋_GB2312"/>
          <w:highlight w:val="none"/>
          <w:lang w:val="en-US" w:eastAsia="zh-CN"/>
        </w:rPr>
        <w:t>县级—</w:t>
      </w:r>
      <w:r>
        <w:rPr>
          <w:rFonts w:eastAsia="仿宋_GB2312"/>
          <w:color w:val="000000" w:themeColor="text1"/>
          <w:highlight w:val="none"/>
          <w14:textFill>
            <w14:solidFill>
              <w14:schemeClr w14:val="tx1"/>
            </w14:solidFill>
          </w14:textFill>
        </w:rPr>
        <w:t>镇</w:t>
      </w:r>
      <w:r>
        <w:rPr>
          <w:rFonts w:hint="eastAsia" w:eastAsia="仿宋_GB2312"/>
          <w:highlight w:val="none"/>
        </w:rPr>
        <w:t>级</w:t>
      </w:r>
      <w:r>
        <w:rPr>
          <w:rFonts w:eastAsia="仿宋_GB2312"/>
          <w:highlight w:val="none"/>
        </w:rPr>
        <w:t>—</w:t>
      </w:r>
      <w:r>
        <w:rPr>
          <w:rFonts w:hint="eastAsia" w:eastAsia="仿宋_GB2312"/>
          <w:highlight w:val="none"/>
        </w:rPr>
        <w:t>（社区）</w:t>
      </w:r>
      <w:r>
        <w:rPr>
          <w:rFonts w:eastAsia="仿宋_GB2312"/>
          <w:highlight w:val="none"/>
        </w:rPr>
        <w:t>村</w:t>
      </w:r>
      <w:r>
        <w:rPr>
          <w:rFonts w:hint="eastAsia" w:eastAsia="仿宋_GB2312"/>
          <w:highlight w:val="none"/>
        </w:rPr>
        <w:t>级”</w:t>
      </w:r>
      <w:r>
        <w:rPr>
          <w:rFonts w:hint="eastAsia" w:eastAsia="仿宋_GB2312"/>
          <w:highlight w:val="none"/>
          <w:lang w:val="en-US" w:eastAsia="zh-CN"/>
        </w:rPr>
        <w:t>三</w:t>
      </w:r>
      <w:r>
        <w:rPr>
          <w:rFonts w:eastAsia="仿宋_GB2312"/>
          <w:highlight w:val="none"/>
        </w:rPr>
        <w:t>级城乡文化服务体系。</w:t>
      </w:r>
      <w:r>
        <w:rPr>
          <w:rFonts w:hint="eastAsia" w:eastAsia="仿宋_GB2312"/>
          <w:highlight w:val="none"/>
        </w:rPr>
        <w:t>社区</w:t>
      </w:r>
      <w:r>
        <w:rPr>
          <w:rFonts w:eastAsia="仿宋_GB2312"/>
          <w:highlight w:val="none"/>
        </w:rPr>
        <w:t>配置建筑面积不低于</w:t>
      </w:r>
      <w:r>
        <w:rPr>
          <w:rFonts w:eastAsia="PMingLiU"/>
          <w:highlight w:val="none"/>
        </w:rPr>
        <w:t>1500</w:t>
      </w:r>
      <w:r>
        <w:rPr>
          <w:rFonts w:eastAsia="仿宋_GB2312"/>
          <w:highlight w:val="none"/>
        </w:rPr>
        <w:t>㎡的综合文化站，中心村配置建筑面积不低于150㎡的</w:t>
      </w:r>
      <w:r>
        <w:rPr>
          <w:rFonts w:hint="eastAsia" w:eastAsia="仿宋_GB2312"/>
          <w:highlight w:val="none"/>
          <w:lang w:val="en-US" w:eastAsia="zh-CN"/>
        </w:rPr>
        <w:t>文化管理用房</w:t>
      </w:r>
      <w:r>
        <w:rPr>
          <w:rFonts w:eastAsia="仿宋_GB2312"/>
          <w:highlight w:val="none"/>
        </w:rPr>
        <w:t>。</w:t>
      </w:r>
    </w:p>
    <w:p>
      <w:pPr>
        <w:pStyle w:val="13"/>
        <w:spacing w:before="0" w:beforeLines="0" w:line="360" w:lineRule="auto"/>
        <w:ind w:left="0" w:leftChars="0" w:right="110" w:firstLine="681" w:firstLineChars="213"/>
        <w:rPr>
          <w:rFonts w:hint="eastAsia" w:eastAsia="PMingLiU"/>
          <w:color w:val="000000" w:themeColor="text1"/>
          <w:highlight w:val="none"/>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3、</w:t>
      </w:r>
      <w:r>
        <w:rPr>
          <w:rFonts w:eastAsia="仿宋_GB2312"/>
          <w:color w:val="000000" w:themeColor="text1"/>
          <w:highlight w:val="none"/>
          <w14:textFill>
            <w14:solidFill>
              <w14:schemeClr w14:val="tx1"/>
            </w14:solidFill>
          </w14:textFill>
        </w:rPr>
        <w:t>体育设施</w:t>
      </w:r>
    </w:p>
    <w:p>
      <w:pPr>
        <w:pStyle w:val="13"/>
        <w:spacing w:before="0" w:beforeLines="0" w:line="360" w:lineRule="auto"/>
        <w:ind w:left="0" w:leftChars="0" w:right="110" w:firstLine="681" w:firstLineChars="213"/>
        <w:rPr>
          <w:rFonts w:hint="eastAsia" w:eastAsia="PMingLiU"/>
          <w:highlight w:val="none"/>
        </w:rPr>
      </w:pPr>
      <w:r>
        <w:rPr>
          <w:rFonts w:eastAsia="仿宋_GB2312"/>
          <w:highlight w:val="none"/>
        </w:rPr>
        <w:t>构建完善的全民健身公共服务体系，构建</w:t>
      </w:r>
      <w:r>
        <w:rPr>
          <w:rFonts w:hint="eastAsia" w:eastAsia="仿宋_GB2312"/>
          <w:highlight w:val="none"/>
        </w:rPr>
        <w:t>“</w:t>
      </w:r>
      <w:r>
        <w:rPr>
          <w:rFonts w:hint="eastAsia" w:eastAsia="仿宋_GB2312"/>
          <w:highlight w:val="none"/>
          <w:lang w:val="en-US" w:eastAsia="zh-CN"/>
        </w:rPr>
        <w:t>县级—</w:t>
      </w:r>
      <w:r>
        <w:rPr>
          <w:rFonts w:eastAsia="仿宋_GB2312"/>
          <w:color w:val="000000" w:themeColor="text1"/>
          <w:highlight w:val="none"/>
          <w14:textFill>
            <w14:solidFill>
              <w14:schemeClr w14:val="tx1"/>
            </w14:solidFill>
          </w14:textFill>
        </w:rPr>
        <w:t>镇</w:t>
      </w:r>
      <w:r>
        <w:rPr>
          <w:rFonts w:hint="eastAsia" w:eastAsia="仿宋_GB2312"/>
          <w:highlight w:val="none"/>
        </w:rPr>
        <w:t>级</w:t>
      </w:r>
      <w:r>
        <w:rPr>
          <w:rFonts w:eastAsia="仿宋_GB2312"/>
          <w:highlight w:val="none"/>
        </w:rPr>
        <w:t>—社区（村）级</w:t>
      </w:r>
      <w:r>
        <w:rPr>
          <w:rFonts w:hint="eastAsia" w:eastAsia="仿宋_GB2312"/>
          <w:highlight w:val="none"/>
        </w:rPr>
        <w:t>”</w:t>
      </w:r>
      <w:r>
        <w:rPr>
          <w:rFonts w:hint="eastAsia" w:eastAsia="仿宋_GB2312"/>
          <w:highlight w:val="none"/>
          <w:lang w:val="en-US" w:eastAsia="zh-CN"/>
        </w:rPr>
        <w:t>三</w:t>
      </w:r>
      <w:r>
        <w:rPr>
          <w:rFonts w:eastAsia="仿宋_GB2312"/>
          <w:highlight w:val="none"/>
        </w:rPr>
        <w:t>级公共体育设施体系，形成层级完善、布局均衡的体育设施服务网络。</w:t>
      </w:r>
      <w:r>
        <w:rPr>
          <w:rFonts w:hint="eastAsia" w:eastAsia="仿宋_GB2312"/>
          <w:highlight w:val="none"/>
        </w:rPr>
        <w:t>结合社区公共绿地建设健身活动广场</w:t>
      </w:r>
      <w:r>
        <w:rPr>
          <w:rFonts w:hint="eastAsia" w:asciiTheme="minorEastAsia" w:hAnsiTheme="minorEastAsia" w:eastAsiaTheme="minorEastAsia"/>
          <w:highlight w:val="none"/>
        </w:rPr>
        <w:t>，</w:t>
      </w:r>
      <w:r>
        <w:rPr>
          <w:rFonts w:eastAsia="仿宋_GB2312"/>
          <w:highlight w:val="none"/>
        </w:rPr>
        <w:t>中心村配置占地面积不得小于500㎡的体育健身场地。</w:t>
      </w:r>
    </w:p>
    <w:p>
      <w:pPr>
        <w:pStyle w:val="13"/>
        <w:spacing w:before="0" w:beforeLines="0" w:line="360" w:lineRule="auto"/>
        <w:ind w:left="0" w:leftChars="0" w:right="110" w:firstLine="681" w:firstLineChars="213"/>
        <w:rPr>
          <w:rFonts w:hint="eastAsia" w:eastAsia="PMingLiU"/>
          <w:color w:val="000000" w:themeColor="text1"/>
          <w:highlight w:val="none"/>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4、医疗</w:t>
      </w:r>
      <w:r>
        <w:rPr>
          <w:rFonts w:eastAsia="仿宋_GB2312"/>
          <w:color w:val="000000" w:themeColor="text1"/>
          <w:highlight w:val="none"/>
          <w14:textFill>
            <w14:solidFill>
              <w14:schemeClr w14:val="tx1"/>
            </w14:solidFill>
          </w14:textFill>
        </w:rPr>
        <w:t>卫生设施</w:t>
      </w:r>
    </w:p>
    <w:p>
      <w:pPr>
        <w:pStyle w:val="13"/>
        <w:spacing w:before="0" w:beforeLines="0" w:line="360" w:lineRule="auto"/>
        <w:ind w:left="0" w:leftChars="0" w:right="110" w:firstLine="681" w:firstLineChars="213"/>
        <w:rPr>
          <w:rFonts w:hint="eastAsia" w:eastAsia="仿宋_GB2312"/>
          <w:color w:val="FF0000"/>
          <w:highlight w:val="none"/>
        </w:rPr>
      </w:pPr>
      <w:r>
        <w:rPr>
          <w:rFonts w:eastAsia="仿宋_GB2312"/>
          <w:highlight w:val="none"/>
        </w:rPr>
        <w:t>不断推进医疗卫生服务和管理方式创新，逐步形成医院提供急危重症诊疗服务，基层医疗卫生机构提供稳定期、康复期等非急性期患者健康管理、随访服务和健康教育等服务。规划建设“</w:t>
      </w:r>
      <w:r>
        <w:rPr>
          <w:rFonts w:hint="eastAsia" w:eastAsia="仿宋_GB2312"/>
          <w:highlight w:val="none"/>
          <w:lang w:val="en-US" w:eastAsia="zh-CN"/>
        </w:rPr>
        <w:t>县级—</w:t>
      </w:r>
      <w:r>
        <w:rPr>
          <w:rFonts w:eastAsia="仿宋_GB2312"/>
          <w:color w:val="000000" w:themeColor="text1"/>
          <w:highlight w:val="none"/>
          <w14:textFill>
            <w14:solidFill>
              <w14:schemeClr w14:val="tx1"/>
            </w14:solidFill>
          </w14:textFill>
        </w:rPr>
        <w:t>镇</w:t>
      </w:r>
      <w:r>
        <w:rPr>
          <w:rFonts w:hint="eastAsia" w:eastAsia="仿宋_GB2312"/>
          <w:highlight w:val="none"/>
        </w:rPr>
        <w:t>级</w:t>
      </w:r>
      <w:r>
        <w:rPr>
          <w:rFonts w:eastAsia="仿宋_GB2312"/>
          <w:highlight w:val="none"/>
        </w:rPr>
        <w:t>—</w:t>
      </w:r>
      <w:r>
        <w:rPr>
          <w:rFonts w:hint="eastAsia" w:eastAsia="仿宋_GB2312"/>
          <w:highlight w:val="none"/>
        </w:rPr>
        <w:t>社区（</w:t>
      </w:r>
      <w:r>
        <w:rPr>
          <w:rFonts w:eastAsia="仿宋_GB2312"/>
          <w:highlight w:val="none"/>
        </w:rPr>
        <w:t>村</w:t>
      </w:r>
      <w:r>
        <w:rPr>
          <w:rFonts w:hint="eastAsia" w:eastAsia="仿宋_GB2312"/>
          <w:highlight w:val="none"/>
        </w:rPr>
        <w:t>）级</w:t>
      </w:r>
      <w:r>
        <w:rPr>
          <w:rFonts w:eastAsia="仿宋_GB2312"/>
          <w:highlight w:val="none"/>
        </w:rPr>
        <w:t>”</w:t>
      </w:r>
      <w:r>
        <w:rPr>
          <w:rFonts w:hint="eastAsia" w:eastAsia="仿宋_GB2312"/>
          <w:highlight w:val="none"/>
          <w:lang w:val="en-US" w:eastAsia="zh-CN"/>
        </w:rPr>
        <w:t>三</w:t>
      </w:r>
      <w:r>
        <w:rPr>
          <w:rFonts w:eastAsia="仿宋_GB2312"/>
          <w:highlight w:val="none"/>
        </w:rPr>
        <w:t>级医疗卫生网络设施体系</w:t>
      </w:r>
      <w:r>
        <w:rPr>
          <w:rFonts w:hint="eastAsia" w:eastAsia="仿宋_GB2312"/>
          <w:highlight w:val="none"/>
        </w:rPr>
        <w:t>，</w:t>
      </w:r>
      <w:r>
        <w:rPr>
          <w:rFonts w:hint="eastAsia" w:eastAsia="仿宋_GB2312"/>
          <w:highlight w:val="none"/>
          <w:lang w:val="en-US" w:eastAsia="zh-CN"/>
        </w:rPr>
        <w:t>完善高等级综合医院建设，提高医疗服务水平；</w:t>
      </w:r>
      <w:r>
        <w:rPr>
          <w:rFonts w:eastAsia="仿宋_GB2312"/>
          <w:highlight w:val="none"/>
        </w:rPr>
        <w:t>发展农村社区卫生服务</w:t>
      </w:r>
      <w:r>
        <w:rPr>
          <w:rFonts w:hint="eastAsia" w:eastAsia="仿宋_GB2312"/>
          <w:highlight w:val="none"/>
        </w:rPr>
        <w:t>，持续推进</w:t>
      </w:r>
      <w:r>
        <w:rPr>
          <w:rFonts w:eastAsia="仿宋_GB2312"/>
          <w:highlight w:val="none"/>
        </w:rPr>
        <w:t>社区卫生服务中心、社区卫生站</w:t>
      </w:r>
      <w:r>
        <w:rPr>
          <w:rFonts w:hint="eastAsia" w:eastAsia="仿宋_GB2312"/>
          <w:highlight w:val="none"/>
        </w:rPr>
        <w:t>、</w:t>
      </w:r>
      <w:r>
        <w:rPr>
          <w:rFonts w:eastAsia="仿宋_GB2312"/>
          <w:highlight w:val="none"/>
        </w:rPr>
        <w:t>村卫生室建设</w:t>
      </w:r>
      <w:r>
        <w:rPr>
          <w:rFonts w:hint="eastAsia" w:eastAsia="仿宋_GB2312"/>
          <w:highlight w:val="none"/>
        </w:rPr>
        <w:t>，各中心村设置</w:t>
      </w:r>
      <w:r>
        <w:rPr>
          <w:rFonts w:eastAsia="仿宋_GB2312"/>
          <w:highlight w:val="none"/>
        </w:rPr>
        <w:t>面积不小于150</w:t>
      </w:r>
      <w:r>
        <w:rPr>
          <w:rFonts w:hint="eastAsia" w:eastAsia="仿宋_GB2312"/>
          <w:highlight w:val="none"/>
        </w:rPr>
        <w:t>m</w:t>
      </w:r>
      <w:r>
        <w:rPr>
          <w:rFonts w:ascii="Calibri" w:hAnsi="Calibri" w:eastAsia="仿宋_GB2312" w:cs="Calibri"/>
          <w:highlight w:val="none"/>
        </w:rPr>
        <w:t>²</w:t>
      </w:r>
      <w:r>
        <w:rPr>
          <w:rFonts w:hint="eastAsia" w:eastAsia="仿宋_GB2312"/>
          <w:highlight w:val="none"/>
        </w:rPr>
        <w:t>的村卫生室</w:t>
      </w:r>
      <w:r>
        <w:rPr>
          <w:rFonts w:eastAsia="仿宋_GB2312"/>
          <w:highlight w:val="none"/>
        </w:rPr>
        <w:t>。</w:t>
      </w:r>
    </w:p>
    <w:p>
      <w:pPr>
        <w:pStyle w:val="13"/>
        <w:spacing w:before="0" w:beforeLines="0" w:line="360" w:lineRule="auto"/>
        <w:ind w:left="0" w:leftChars="0" w:right="110" w:firstLine="681" w:firstLineChars="213"/>
        <w:rPr>
          <w:rFonts w:hint="eastAsia" w:eastAsia="PMingLiU"/>
          <w:color w:val="000000" w:themeColor="text1"/>
          <w:highlight w:val="none"/>
          <w14:textFill>
            <w14:solidFill>
              <w14:schemeClr w14:val="tx1"/>
            </w14:solidFill>
          </w14:textFill>
        </w:rPr>
      </w:pPr>
      <w:r>
        <w:rPr>
          <w:rFonts w:eastAsia="PMingLiU"/>
          <w:color w:val="000000" w:themeColor="text1"/>
          <w:highlight w:val="none"/>
          <w14:textFill>
            <w14:solidFill>
              <w14:schemeClr w14:val="tx1"/>
            </w14:solidFill>
          </w14:textFill>
        </w:rPr>
        <w:t>5</w:t>
      </w:r>
      <w:r>
        <w:rPr>
          <w:rFonts w:hint="eastAsia" w:asciiTheme="minorEastAsia" w:hAnsiTheme="minorEastAsia" w:eastAsiaTheme="minorEastAsia"/>
          <w:color w:val="000000" w:themeColor="text1"/>
          <w:highlight w:val="none"/>
          <w14:textFill>
            <w14:solidFill>
              <w14:schemeClr w14:val="tx1"/>
            </w14:solidFill>
          </w14:textFill>
        </w:rPr>
        <w:t>、</w:t>
      </w:r>
      <w:r>
        <w:rPr>
          <w:rFonts w:eastAsia="仿宋_GB2312"/>
          <w:color w:val="000000" w:themeColor="text1"/>
          <w:highlight w:val="none"/>
          <w14:textFill>
            <w14:solidFill>
              <w14:schemeClr w14:val="tx1"/>
            </w14:solidFill>
          </w14:textFill>
        </w:rPr>
        <w:t>社会福利和社会救助</w:t>
      </w:r>
      <w:r>
        <w:rPr>
          <w:rFonts w:hint="eastAsia" w:eastAsia="仿宋_GB2312"/>
          <w:color w:val="000000" w:themeColor="text1"/>
          <w:highlight w:val="none"/>
          <w14:textFill>
            <w14:solidFill>
              <w14:schemeClr w14:val="tx1"/>
            </w14:solidFill>
          </w14:textFill>
        </w:rPr>
        <w:t>设施</w:t>
      </w:r>
    </w:p>
    <w:p>
      <w:pPr>
        <w:pStyle w:val="13"/>
        <w:spacing w:before="0" w:beforeLines="0" w:line="360" w:lineRule="auto"/>
        <w:ind w:left="0" w:leftChars="0" w:right="110" w:firstLine="681" w:firstLineChars="213"/>
        <w:rPr>
          <w:rFonts w:hint="eastAsia" w:eastAsia="仿宋_GB2312"/>
          <w:highlight w:val="none"/>
        </w:rPr>
      </w:pPr>
      <w:r>
        <w:rPr>
          <w:rFonts w:eastAsia="仿宋_GB2312"/>
          <w:highlight w:val="none"/>
        </w:rPr>
        <w:t>完善社会救助和服务体系，健全困难群众救助体系，完善基本生活救助、临时救助和专项救助制度体系，健全救助标准动态调整机制，创新社会救助模式。为应对人口老龄化加剧的趋势，规划健全医疗保健及养老设施</w:t>
      </w:r>
      <w:r>
        <w:rPr>
          <w:rFonts w:hint="eastAsia" w:eastAsia="仿宋_GB2312"/>
          <w:highlight w:val="none"/>
        </w:rPr>
        <w:t>，</w:t>
      </w:r>
      <w:r>
        <w:rPr>
          <w:rFonts w:hint="eastAsia" w:eastAsia="仿宋_GB2312"/>
          <w:highlight w:val="none"/>
          <w:lang w:val="en-US" w:eastAsia="zh-CN"/>
        </w:rPr>
        <w:t>各</w:t>
      </w:r>
      <w:r>
        <w:rPr>
          <w:rFonts w:hint="eastAsia" w:eastAsia="仿宋_GB2312"/>
          <w:highlight w:val="none"/>
        </w:rPr>
        <w:t>中心村</w:t>
      </w:r>
      <w:r>
        <w:rPr>
          <w:rFonts w:eastAsia="仿宋_GB2312"/>
          <w:highlight w:val="none"/>
        </w:rPr>
        <w:t>配置</w:t>
      </w:r>
      <w:r>
        <w:rPr>
          <w:rFonts w:hint="eastAsia" w:eastAsia="仿宋_GB2312"/>
          <w:highlight w:val="none"/>
        </w:rPr>
        <w:t>面积不小于3</w:t>
      </w:r>
      <w:r>
        <w:rPr>
          <w:rFonts w:eastAsia="仿宋_GB2312"/>
          <w:highlight w:val="none"/>
        </w:rPr>
        <w:t>00</w:t>
      </w:r>
      <w:r>
        <w:rPr>
          <w:rFonts w:hint="eastAsia" w:eastAsia="仿宋_GB2312"/>
          <w:highlight w:val="none"/>
        </w:rPr>
        <w:t>㎡的老年人日间照料中心</w:t>
      </w:r>
      <w:r>
        <w:rPr>
          <w:rFonts w:eastAsia="仿宋_GB2312"/>
          <w:highlight w:val="none"/>
        </w:rPr>
        <w:t>。</w:t>
      </w:r>
    </w:p>
    <w:p>
      <w:pPr>
        <w:pStyle w:val="13"/>
        <w:spacing w:before="0" w:beforeLines="0" w:line="360" w:lineRule="auto"/>
        <w:ind w:left="0" w:leftChars="0" w:right="110" w:firstLine="681" w:firstLineChars="213"/>
        <w:rPr>
          <w:rFonts w:hint="eastAsia" w:eastAsia="PMingLiU"/>
          <w:color w:val="000000" w:themeColor="text1"/>
          <w:highlight w:val="none"/>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6、</w:t>
      </w:r>
      <w:r>
        <w:rPr>
          <w:rFonts w:eastAsia="仿宋_GB2312"/>
          <w:color w:val="000000" w:themeColor="text1"/>
          <w:highlight w:val="none"/>
          <w14:textFill>
            <w14:solidFill>
              <w14:schemeClr w14:val="tx1"/>
            </w14:solidFill>
          </w14:textFill>
        </w:rPr>
        <w:t>殡葬服务</w:t>
      </w:r>
      <w:r>
        <w:rPr>
          <w:rFonts w:hint="eastAsia" w:eastAsia="仿宋_GB2312"/>
          <w:color w:val="000000" w:themeColor="text1"/>
          <w:highlight w:val="none"/>
          <w14:textFill>
            <w14:solidFill>
              <w14:schemeClr w14:val="tx1"/>
            </w14:solidFill>
          </w14:textFill>
        </w:rPr>
        <w:t>设施</w:t>
      </w:r>
    </w:p>
    <w:p>
      <w:pPr>
        <w:pStyle w:val="13"/>
        <w:spacing w:before="0" w:beforeLines="0" w:line="360" w:lineRule="auto"/>
        <w:ind w:left="0" w:leftChars="0" w:right="110" w:firstLine="681" w:firstLineChars="213"/>
        <w:rPr>
          <w:rFonts w:hint="eastAsia" w:eastAsiaTheme="minorEastAsia"/>
          <w:color w:val="000000" w:themeColor="text1"/>
          <w:highlight w:val="none"/>
          <w:lang w:eastAsia="zh-CN"/>
          <w14:textFill>
            <w14:solidFill>
              <w14:schemeClr w14:val="tx1"/>
            </w14:solidFill>
          </w14:textFill>
        </w:rPr>
      </w:pPr>
      <w:r>
        <w:rPr>
          <w:rFonts w:eastAsia="仿宋_GB2312"/>
          <w:color w:val="000000" w:themeColor="text1"/>
          <w:highlight w:val="none"/>
          <w14:textFill>
            <w14:solidFill>
              <w14:schemeClr w14:val="tx1"/>
            </w14:solidFill>
          </w14:textFill>
        </w:rPr>
        <w:t>建设生态化、高品质殡葬设施。至2035年，镇域公益性公墓服务覆盖率达到100%；新增骨灰安置量中的生态节地化比例达到60%以上</w:t>
      </w:r>
      <w:r>
        <w:rPr>
          <w:rFonts w:hint="eastAsia" w:eastAsia="仿宋_GB2312"/>
          <w:color w:val="000000" w:themeColor="text1"/>
          <w:highlight w:val="none"/>
          <w14:textFill>
            <w14:solidFill>
              <w14:schemeClr w14:val="tx1"/>
            </w14:solidFill>
          </w14:textFill>
        </w:rPr>
        <w:t>，</w:t>
      </w:r>
      <w:r>
        <w:rPr>
          <w:rFonts w:eastAsia="仿宋_GB2312"/>
          <w:color w:val="000000" w:themeColor="text1"/>
          <w:highlight w:val="none"/>
          <w14:textFill>
            <w14:solidFill>
              <w14:schemeClr w14:val="tx1"/>
            </w14:solidFill>
          </w14:textFill>
        </w:rPr>
        <w:t>科学合理做好殡葬设施布局规划。</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合理布局镇村商业网点体系</w:t>
      </w:r>
    </w:p>
    <w:p>
      <w:pPr>
        <w:pStyle w:val="13"/>
        <w:spacing w:before="0" w:beforeLines="0" w:line="360" w:lineRule="auto"/>
        <w:ind w:left="0" w:leftChars="0" w:right="110" w:firstLine="681" w:firstLineChars="213"/>
        <w:rPr>
          <w:rFonts w:hint="eastAsia" w:eastAsia="仿宋_GB2312"/>
          <w:color w:val="000000" w:themeColor="text1"/>
          <w:highlight w:val="none"/>
          <w14:textFill>
            <w14:solidFill>
              <w14:schemeClr w14:val="tx1"/>
            </w14:solidFill>
          </w14:textFill>
        </w:rPr>
      </w:pPr>
      <w:r>
        <w:rPr>
          <w:rFonts w:eastAsia="仿宋_GB2312"/>
          <w:color w:val="000000" w:themeColor="text1"/>
          <w:highlight w:val="none"/>
          <w14:textFill>
            <w14:solidFill>
              <w14:schemeClr w14:val="tx1"/>
            </w14:solidFill>
          </w14:textFill>
        </w:rPr>
        <w:t>落实</w:t>
      </w:r>
      <w:r>
        <w:rPr>
          <w:rFonts w:hint="eastAsia" w:eastAsia="仿宋_GB2312"/>
          <w:color w:val="000000" w:themeColor="text1"/>
          <w:highlight w:val="none"/>
          <w14:textFill>
            <w14:solidFill>
              <w14:schemeClr w14:val="tx1"/>
            </w14:solidFill>
          </w14:textFill>
        </w:rPr>
        <w:t>上级</w:t>
      </w:r>
      <w:r>
        <w:rPr>
          <w:rFonts w:eastAsia="仿宋_GB2312"/>
          <w:color w:val="000000" w:themeColor="text1"/>
          <w:highlight w:val="none"/>
          <w14:textFill>
            <w14:solidFill>
              <w14:schemeClr w14:val="tx1"/>
            </w14:solidFill>
          </w14:textFill>
        </w:rPr>
        <w:t>商业体系建设要求，按照“乡镇商贸中心、村村通快递”的目标要求，立足实际，完善乡村商业网点和村级商业网点体系。</w:t>
      </w:r>
    </w:p>
    <w:p>
      <w:pPr>
        <w:pStyle w:val="3"/>
        <w:numPr>
          <w:ilvl w:val="0"/>
          <w:numId w:val="8"/>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40" w:name="_Toc12003"/>
      <w:bookmarkStart w:id="41" w:name="_Hlk150606426"/>
      <w:r>
        <w:rPr>
          <w:rFonts w:hint="eastAsia" w:ascii="黑体" w:hAnsi="黑体" w:eastAsia="黑体"/>
          <w:color w:val="000000" w:themeColor="text1"/>
          <w:highlight w:val="none"/>
          <w:lang w:eastAsia="zh-CN"/>
          <w14:textFill>
            <w14:solidFill>
              <w14:schemeClr w14:val="tx1"/>
            </w14:solidFill>
          </w14:textFill>
        </w:rPr>
        <w:t>构建区域协同的产业发展格局</w:t>
      </w:r>
      <w:bookmarkEnd w:id="40"/>
    </w:p>
    <w:bookmarkEnd w:id="41"/>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镇域产业空间总体格局</w:t>
      </w:r>
    </w:p>
    <w:p>
      <w:pPr>
        <w:pStyle w:val="13"/>
        <w:spacing w:before="0" w:beforeLines="0" w:line="360" w:lineRule="auto"/>
        <w:ind w:left="0" w:leftChars="0" w:right="110" w:firstLine="681" w:firstLineChars="213"/>
        <w:rPr>
          <w:rFonts w:hint="default" w:eastAsia="仿宋_GB2312"/>
          <w:color w:val="000000" w:themeColor="text1"/>
          <w:highlight w:val="none"/>
          <w:lang w:val="en-US" w:eastAsia="zh-CN"/>
          <w14:textFill>
            <w14:solidFill>
              <w14:schemeClr w14:val="tx1"/>
            </w14:solidFill>
          </w14:textFill>
        </w:rPr>
      </w:pPr>
      <w:r>
        <w:rPr>
          <w:rFonts w:hint="eastAsia" w:eastAsia="仿宋_GB2312"/>
          <w:color w:val="000000" w:themeColor="text1"/>
          <w:highlight w:val="none"/>
          <w14:textFill>
            <w14:solidFill>
              <w14:schemeClr w14:val="tx1"/>
            </w14:solidFill>
          </w14:textFill>
        </w:rPr>
        <w:t>构建“</w:t>
      </w:r>
      <w:r>
        <w:rPr>
          <w:rFonts w:hint="eastAsia" w:eastAsia="仿宋_GB2312"/>
          <w:color w:val="000000" w:themeColor="text1"/>
          <w:highlight w:val="none"/>
          <w:lang w:val="en-US" w:eastAsia="zh-CN"/>
          <w14:textFill>
            <w14:solidFill>
              <w14:schemeClr w14:val="tx1"/>
            </w14:solidFill>
          </w14:textFill>
        </w:rPr>
        <w:t>一城四园</w:t>
      </w:r>
      <w:r>
        <w:rPr>
          <w:rFonts w:hint="eastAsia" w:eastAsia="仿宋_GB2312"/>
          <w:color w:val="000000" w:themeColor="text1"/>
          <w:highlight w:val="none"/>
          <w14:textFill>
            <w14:solidFill>
              <w14:schemeClr w14:val="tx1"/>
            </w14:solidFill>
          </w14:textFill>
        </w:rPr>
        <w:t>”的镇域产业布局。</w:t>
      </w:r>
      <w:r>
        <w:rPr>
          <w:rFonts w:hint="eastAsia" w:eastAsia="仿宋_GB2312"/>
          <w:color w:val="000000" w:themeColor="text1"/>
          <w:highlight w:val="none"/>
          <w:lang w:val="en-US" w:eastAsia="zh-CN"/>
          <w14:textFill>
            <w14:solidFill>
              <w14:schemeClr w14:val="tx1"/>
            </w14:solidFill>
          </w14:textFill>
        </w:rPr>
        <w:t>以县城为载体，大力发展商贸服务产业，建设全县商贸中心；外围依托产业平台和山水田园资源，建设萧泉智能制造产业园、食品工业园、经济技术开发区电子物流产业园、农文旅融合发展的城市后花园。</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科技赋能农业发展</w:t>
      </w:r>
    </w:p>
    <w:p>
      <w:pPr>
        <w:pStyle w:val="13"/>
        <w:spacing w:before="0" w:beforeLines="0" w:line="360" w:lineRule="auto"/>
        <w:ind w:left="0" w:leftChars="0" w:right="110" w:firstLine="684" w:firstLineChars="213"/>
        <w:rPr>
          <w:rFonts w:hint="eastAsia" w:eastAsia="仿宋_GB2312"/>
          <w:color w:val="000000" w:themeColor="text1"/>
          <w:highlight w:val="none"/>
          <w14:textFill>
            <w14:solidFill>
              <w14:schemeClr w14:val="tx1"/>
            </w14:solidFill>
          </w14:textFill>
        </w:rPr>
      </w:pPr>
      <w:r>
        <w:rPr>
          <w:rFonts w:hint="eastAsia" w:eastAsia="仿宋_GB2312"/>
          <w:b/>
          <w:bCs/>
          <w:color w:val="000000" w:themeColor="text1"/>
          <w:highlight w:val="none"/>
          <w14:textFill>
            <w14:solidFill>
              <w14:schemeClr w14:val="tx1"/>
            </w14:solidFill>
          </w14:textFill>
        </w:rPr>
        <w:t>大力发展智慧农业</w:t>
      </w:r>
      <w:r>
        <w:rPr>
          <w:rFonts w:hint="eastAsia" w:eastAsia="仿宋_GB2312"/>
          <w:b/>
          <w:bCs/>
          <w:color w:val="000000" w:themeColor="text1"/>
          <w:highlight w:val="none"/>
          <w:lang w:eastAsia="zh-CN"/>
          <w14:textFill>
            <w14:solidFill>
              <w14:schemeClr w14:val="tx1"/>
            </w14:solidFill>
          </w14:textFill>
        </w:rPr>
        <w:t>。</w:t>
      </w:r>
      <w:r>
        <w:rPr>
          <w:rFonts w:hint="eastAsia" w:eastAsia="仿宋_GB2312"/>
          <w:color w:val="000000" w:themeColor="text1"/>
          <w:highlight w:val="none"/>
          <w14:textFill>
            <w14:solidFill>
              <w14:schemeClr w14:val="tx1"/>
            </w14:solidFill>
          </w14:textFill>
        </w:rPr>
        <w:t>以科技赋能传统农耕农业、现代绿色农业、生态有机农业，以</w:t>
      </w:r>
      <w:r>
        <w:rPr>
          <w:rFonts w:hint="eastAsia" w:eastAsia="仿宋_GB2312"/>
          <w:color w:val="000000" w:themeColor="text1"/>
          <w:highlight w:val="none"/>
          <w:lang w:val="en-US" w:eastAsia="zh-CN"/>
          <w14:textFill>
            <w14:solidFill>
              <w14:schemeClr w14:val="tx1"/>
            </w14:solidFill>
          </w14:textFill>
        </w:rPr>
        <w:t>葡萄主题公园国家级标准化栽培示范区等</w:t>
      </w:r>
      <w:r>
        <w:rPr>
          <w:rFonts w:hint="eastAsia" w:eastAsia="仿宋_GB2312"/>
          <w:color w:val="000000" w:themeColor="text1"/>
          <w:highlight w:val="none"/>
          <w14:textFill>
            <w14:solidFill>
              <w14:schemeClr w14:val="tx1"/>
            </w14:solidFill>
          </w14:textFill>
        </w:rPr>
        <w:t>为载体，发展都市休闲农业，以农事体验、采摘、休闲等，丰富公共活动体验，打造乡村振兴示范。</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支持建设</w:t>
      </w:r>
      <w:r>
        <w:rPr>
          <w:rFonts w:hint="eastAsia" w:eastAsia="仿宋_GB2312"/>
          <w:color w:val="000000" w:themeColor="text1"/>
          <w:w w:val="105"/>
          <w:sz w:val="32"/>
          <w:highlight w:val="none"/>
          <w:lang w:eastAsia="zh-CN"/>
          <w14:textFill>
            <w14:solidFill>
              <w14:schemeClr w14:val="tx1"/>
            </w14:solidFill>
          </w14:textFill>
        </w:rPr>
        <w:t>康养</w:t>
      </w:r>
      <w:r>
        <w:rPr>
          <w:rFonts w:hint="eastAsia" w:eastAsia="仿宋_GB2312"/>
          <w:color w:val="000000" w:themeColor="text1"/>
          <w:w w:val="105"/>
          <w:sz w:val="32"/>
          <w:highlight w:val="none"/>
          <w:lang w:val="en-US" w:eastAsia="zh-CN"/>
          <w14:textFill>
            <w14:solidFill>
              <w14:schemeClr w14:val="tx1"/>
            </w14:solidFill>
          </w14:textFill>
        </w:rPr>
        <w:t>文旅</w:t>
      </w:r>
      <w:r>
        <w:rPr>
          <w:rFonts w:hint="eastAsia" w:eastAsia="仿宋_GB2312"/>
          <w:color w:val="000000" w:themeColor="text1"/>
          <w:w w:val="105"/>
          <w:sz w:val="32"/>
          <w:highlight w:val="none"/>
          <w14:textFill>
            <w14:solidFill>
              <w14:schemeClr w14:val="tx1"/>
            </w14:solidFill>
          </w14:textFill>
        </w:rPr>
        <w:t>目的地</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依托凤山森林公园、植物园等，支持康养文旅产业配套项目建设</w:t>
      </w:r>
      <w:r>
        <w:rPr>
          <w:rFonts w:hint="eastAsia" w:eastAsia="仿宋_GB2312"/>
          <w:color w:val="000000" w:themeColor="text1"/>
          <w:highlight w:val="none"/>
          <w14:textFill>
            <w14:solidFill>
              <w14:schemeClr w14:val="tx1"/>
            </w14:solidFill>
          </w14:textFill>
        </w:rPr>
        <w:t>。</w:t>
      </w:r>
      <w:r>
        <w:rPr>
          <w:rFonts w:hint="eastAsia" w:eastAsia="仿宋_GB2312"/>
          <w:color w:val="000000" w:themeColor="text1"/>
          <w:highlight w:val="none"/>
          <w:lang w:val="en-US" w:eastAsia="zh-CN"/>
          <w14:textFill>
            <w14:solidFill>
              <w14:schemeClr w14:val="tx1"/>
            </w14:solidFill>
          </w14:textFill>
        </w:rPr>
        <w:t>结合</w:t>
      </w:r>
      <w:r>
        <w:rPr>
          <w:rFonts w:hint="eastAsia" w:eastAsia="仿宋_GB2312"/>
          <w:color w:val="000000" w:themeColor="text1"/>
          <w:highlight w:val="none"/>
          <w14:textFill>
            <w14:solidFill>
              <w14:schemeClr w14:val="tx1"/>
            </w14:solidFill>
          </w14:textFill>
        </w:rPr>
        <w:t>周边区域居民需求，联动</w:t>
      </w:r>
      <w:r>
        <w:rPr>
          <w:rFonts w:hint="eastAsia" w:eastAsia="仿宋_GB2312"/>
          <w:color w:val="000000" w:themeColor="text1"/>
          <w:highlight w:val="none"/>
          <w:lang w:val="en-US" w:eastAsia="zh-CN"/>
          <w14:textFill>
            <w14:solidFill>
              <w14:schemeClr w14:val="tx1"/>
            </w14:solidFill>
          </w14:textFill>
        </w:rPr>
        <w:t>徐州市铜山区</w:t>
      </w:r>
      <w:r>
        <w:rPr>
          <w:rFonts w:hint="eastAsia" w:eastAsia="仿宋_GB2312"/>
          <w:color w:val="000000" w:themeColor="text1"/>
          <w:highlight w:val="none"/>
          <w14:textFill>
            <w14:solidFill>
              <w14:schemeClr w14:val="tx1"/>
            </w14:solidFill>
          </w14:textFill>
        </w:rPr>
        <w:t>等周边区域，策划康养</w:t>
      </w:r>
      <w:r>
        <w:rPr>
          <w:rFonts w:hint="eastAsia" w:eastAsia="仿宋_GB2312"/>
          <w:color w:val="000000" w:themeColor="text1"/>
          <w:highlight w:val="none"/>
          <w:lang w:val="en-US" w:eastAsia="zh-CN"/>
          <w14:textFill>
            <w14:solidFill>
              <w14:schemeClr w14:val="tx1"/>
            </w14:solidFill>
          </w14:textFill>
        </w:rPr>
        <w:t>度假</w:t>
      </w:r>
      <w:r>
        <w:rPr>
          <w:rFonts w:hint="eastAsia" w:eastAsia="仿宋_GB2312"/>
          <w:color w:val="000000" w:themeColor="text1"/>
          <w:highlight w:val="none"/>
          <w14:textFill>
            <w14:solidFill>
              <w14:schemeClr w14:val="tx1"/>
            </w14:solidFill>
          </w14:textFill>
        </w:rPr>
        <w:t>、生态观光、科普研学、文创体验等一系列活动。打造集生态、康养、文化为一体的旅游目的地，策划科普研学游线、文化康养游线、农耕特色游线等特色游览线路</w:t>
      </w:r>
      <w:r>
        <w:rPr>
          <w:rFonts w:hint="eastAsia" w:eastAsia="仿宋_GB2312"/>
          <w:color w:val="000000" w:themeColor="text1"/>
          <w:highlight w:val="none"/>
          <w:lang w:eastAsia="zh-CN"/>
          <w14:textFill>
            <w14:solidFill>
              <w14:schemeClr w14:val="tx1"/>
            </w14:solidFill>
          </w14:textFill>
        </w:rPr>
        <w:t>。</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保障</w:t>
      </w:r>
      <w:r>
        <w:rPr>
          <w:rFonts w:hint="eastAsia" w:eastAsia="仿宋_GB2312"/>
          <w:color w:val="000000" w:themeColor="text1"/>
          <w:w w:val="105"/>
          <w:sz w:val="32"/>
          <w:highlight w:val="none"/>
          <w:lang w:val="en-US" w:eastAsia="zh-CN"/>
          <w14:textFill>
            <w14:solidFill>
              <w14:schemeClr w14:val="tx1"/>
            </w14:solidFill>
          </w14:textFill>
        </w:rPr>
        <w:t>乡村一二三产业融合</w:t>
      </w:r>
      <w:r>
        <w:rPr>
          <w:rFonts w:hint="eastAsia" w:eastAsia="仿宋_GB2312"/>
          <w:color w:val="000000" w:themeColor="text1"/>
          <w:w w:val="105"/>
          <w:sz w:val="32"/>
          <w:highlight w:val="none"/>
          <w14:textFill>
            <w14:solidFill>
              <w14:schemeClr w14:val="tx1"/>
            </w14:solidFill>
          </w14:textFill>
        </w:rPr>
        <w:t>发展用地空间</w:t>
      </w:r>
    </w:p>
    <w:bookmarkEnd w:id="20"/>
    <w:p>
      <w:pPr>
        <w:pStyle w:val="13"/>
        <w:spacing w:before="0" w:beforeLines="0" w:line="360" w:lineRule="auto"/>
        <w:ind w:left="0" w:leftChars="0" w:right="110" w:firstLine="681" w:firstLineChars="213"/>
        <w:rPr>
          <w:rFonts w:hint="eastAsia" w:eastAsia="仿宋_GB2312"/>
          <w:color w:val="000000" w:themeColor="text1"/>
          <w:highlight w:val="none"/>
          <w:lang w:val="en-US" w:eastAsia="zh-CN"/>
          <w14:textFill>
            <w14:solidFill>
              <w14:schemeClr w14:val="tx1"/>
            </w14:solidFill>
          </w14:textFill>
        </w:rPr>
      </w:pPr>
      <w:bookmarkStart w:id="42" w:name="_bookmark18"/>
      <w:bookmarkEnd w:id="42"/>
      <w:r>
        <w:rPr>
          <w:rFonts w:hint="eastAsia" w:eastAsia="仿宋_GB2312"/>
          <w:color w:val="000000" w:themeColor="text1"/>
          <w:highlight w:val="none"/>
          <w:lang w:val="zh-TW" w:eastAsia="zh-CN"/>
          <w14:textFill>
            <w14:solidFill>
              <w14:schemeClr w14:val="tx1"/>
            </w14:solidFill>
          </w14:textFill>
        </w:rPr>
        <w:t>规划安排一定的建设用地指标重点保障乡村振兴产业发展用地，对暂时无法明确具体用途的地块留白，预留一定的建设用地规模。积极盘活农村老旧房屋与闲置宅基地，支撑乡村文旅文创、电子商务、冷链物流等新业态发展，引导不适宜农村产业发展的零散工业用地退出或向城镇集聚。鼓励集体经营性建设用地以出让、出租等方式兴办乡村企业，零星、分散的乡村产业项目及其配套的基础设施和公共服务设施建设的，按照“用多少、转（征）多少、供多少”的原则，实施点状供地。</w:t>
      </w:r>
    </w:p>
    <w:p>
      <w:pPr>
        <w:widowControl/>
        <w:autoSpaceDE/>
        <w:autoSpaceDN/>
        <w:spacing w:line="360" w:lineRule="auto"/>
        <w:ind w:firstLine="468" w:firstLineChars="213"/>
        <w:rPr>
          <w:rFonts w:hint="eastAsia" w:ascii="黑体" w:hAnsi="黑体" w:eastAsia="黑体" w:cs="黑体"/>
          <w:b/>
          <w:color w:val="000000" w:themeColor="text1"/>
          <w:sz w:val="36"/>
          <w:szCs w:val="36"/>
          <w:highlight w:val="none"/>
          <w14:textFill>
            <w14:solidFill>
              <w14:schemeClr w14:val="tx1"/>
            </w14:solidFill>
          </w14:textFill>
        </w:rPr>
      </w:pPr>
      <w:r>
        <w:rPr>
          <w:rFonts w:eastAsia="仿宋_GB2312"/>
          <w:color w:val="000000" w:themeColor="text1"/>
          <w:highlight w:val="none"/>
          <w14:textFill>
            <w14:solidFill>
              <w14:schemeClr w14:val="tx1"/>
            </w14:solidFill>
          </w14:textFill>
        </w:rPr>
        <w:br w:type="page"/>
      </w:r>
    </w:p>
    <w:p>
      <w:pPr>
        <w:pStyle w:val="2"/>
        <w:spacing w:before="0" w:line="360" w:lineRule="auto"/>
        <w:ind w:left="0" w:firstLine="0"/>
        <w:jc w:val="center"/>
        <w:rPr>
          <w:rFonts w:hint="eastAsia" w:ascii="华光小标宋_CNKI" w:hAnsi="华光小标宋_CNKI" w:eastAsia="华光小标宋_CNKI"/>
          <w:color w:val="000000" w:themeColor="text1"/>
          <w:spacing w:val="5"/>
          <w:highlight w:val="none"/>
          <w14:textFill>
            <w14:solidFill>
              <w14:schemeClr w14:val="tx1"/>
            </w14:solidFill>
          </w14:textFill>
        </w:rPr>
      </w:pPr>
      <w:bookmarkStart w:id="43" w:name="_Toc166340624"/>
      <w:bookmarkStart w:id="44" w:name="_Toc26855"/>
      <w:r>
        <w:rPr>
          <w:rFonts w:hint="eastAsia" w:ascii="华光小标宋_CNKI" w:hAnsi="华光小标宋_CNKI" w:eastAsia="华光小标宋_CNKI"/>
          <w:spacing w:val="5"/>
          <w:highlight w:val="none"/>
        </w:rPr>
        <w:t>统筹基础设施布局，</w:t>
      </w:r>
      <w:bookmarkEnd w:id="43"/>
      <w:r>
        <w:rPr>
          <w:rFonts w:hint="eastAsia" w:ascii="华光小标宋_CNKI" w:hAnsi="华光小标宋_CNKI" w:eastAsia="华光小标宋_CNKI"/>
          <w:spacing w:val="5"/>
          <w:highlight w:val="none"/>
        </w:rPr>
        <w:t>提升设施保障能力</w:t>
      </w:r>
      <w:bookmarkEnd w:id="44"/>
      <w:r>
        <w:rPr>
          <w:rFonts w:hint="eastAsia" w:ascii="华光小标宋_CNKI" w:hAnsi="华光小标宋_CNKI" w:eastAsia="华光小标宋_CNKI"/>
          <w:color w:val="000000" w:themeColor="text1"/>
          <w:spacing w:val="5"/>
          <w:highlight w:val="none"/>
          <w14:textFill>
            <w14:solidFill>
              <w14:schemeClr w14:val="tx1"/>
            </w14:solidFill>
          </w14:textFill>
        </w:rPr>
        <w:t xml:space="preserve"> </w:t>
      </w:r>
    </w:p>
    <w:p>
      <w:pPr>
        <w:pStyle w:val="13"/>
        <w:spacing w:before="0" w:beforeLines="0" w:line="360" w:lineRule="auto"/>
        <w:ind w:left="110" w:right="110" w:firstLine="640"/>
        <w:rPr>
          <w:rFonts w:hint="eastAsia" w:eastAsia="仿宋_GB2312"/>
          <w:color w:val="000000" w:themeColor="text1"/>
          <w:highlight w:val="none"/>
          <w:lang w:eastAsia="zh-CN"/>
          <w14:textFill>
            <w14:solidFill>
              <w14:schemeClr w14:val="tx1"/>
            </w14:solidFill>
          </w14:textFill>
        </w:rPr>
      </w:pPr>
      <w:bookmarkStart w:id="45" w:name="_bookmark22"/>
      <w:bookmarkEnd w:id="45"/>
      <w:r>
        <w:rPr>
          <w:rFonts w:eastAsia="仿宋_GB2312"/>
          <w:highlight w:val="none"/>
        </w:rPr>
        <w:t>构建</w:t>
      </w:r>
      <w:r>
        <w:rPr>
          <w:rFonts w:hint="eastAsia" w:eastAsia="仿宋_GB2312"/>
          <w:highlight w:val="none"/>
        </w:rPr>
        <w:t>“外通内联、快速畅通、绿色智慧、安全便捷”的现代化综合交通运输体系</w:t>
      </w:r>
      <w:r>
        <w:rPr>
          <w:rFonts w:eastAsia="仿宋_GB2312"/>
          <w:highlight w:val="none"/>
        </w:rPr>
        <w:t>。坚持生态优先、绿色发展，建设更高水平、更有效率的基础设施系统。</w:t>
      </w:r>
      <w:r>
        <w:rPr>
          <w:rFonts w:hint="eastAsia" w:eastAsia="仿宋_GB2312"/>
          <w:highlight w:val="none"/>
        </w:rPr>
        <w:t>鼓励</w:t>
      </w:r>
      <w:r>
        <w:rPr>
          <w:rFonts w:eastAsia="仿宋_GB2312"/>
          <w:highlight w:val="none"/>
        </w:rPr>
        <w:t>提升安全保障能力，提高城镇综合应急保障水平。</w:t>
      </w:r>
    </w:p>
    <w:p>
      <w:pPr>
        <w:pStyle w:val="3"/>
        <w:numPr>
          <w:ilvl w:val="0"/>
          <w:numId w:val="9"/>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46" w:name="_bookmark19"/>
      <w:bookmarkEnd w:id="46"/>
      <w:bookmarkStart w:id="47" w:name="_Toc19233"/>
      <w:bookmarkStart w:id="48" w:name="_Toc152782109"/>
      <w:r>
        <w:rPr>
          <w:rFonts w:hint="eastAsia" w:ascii="黑体" w:hAnsi="黑体" w:eastAsia="黑体"/>
          <w:color w:val="000000" w:themeColor="text1"/>
          <w:highlight w:val="none"/>
          <w:lang w:eastAsia="zh-CN"/>
          <w14:textFill>
            <w14:solidFill>
              <w14:schemeClr w14:val="tx1"/>
            </w14:solidFill>
          </w14:textFill>
        </w:rPr>
        <w:t>发展绿色低碳智慧交通</w:t>
      </w:r>
      <w:bookmarkEnd w:id="47"/>
      <w:bookmarkEnd w:id="48"/>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bookmarkStart w:id="49" w:name="_Hlk150612789"/>
      <w:r>
        <w:rPr>
          <w:rFonts w:hint="eastAsia" w:eastAsia="仿宋_GB2312"/>
          <w:color w:val="000000" w:themeColor="text1"/>
          <w:w w:val="105"/>
          <w:sz w:val="32"/>
          <w:highlight w:val="none"/>
          <w14:textFill>
            <w14:solidFill>
              <w14:schemeClr w14:val="tx1"/>
            </w14:solidFill>
          </w14:textFill>
        </w:rPr>
        <w:t>落实区域性交通设施线</w:t>
      </w:r>
    </w:p>
    <w:bookmarkEnd w:id="49"/>
    <w:p>
      <w:pPr>
        <w:pStyle w:val="13"/>
        <w:spacing w:before="0" w:beforeLines="0" w:line="360" w:lineRule="auto"/>
        <w:ind w:left="110" w:right="110" w:firstLine="640"/>
        <w:rPr>
          <w:rFonts w:hint="eastAsia" w:eastAsiaTheme="minorEastAsia"/>
          <w:highlight w:val="none"/>
          <w:lang w:eastAsia="zh-CN"/>
        </w:rPr>
      </w:pPr>
      <w:r>
        <w:rPr>
          <w:rFonts w:eastAsia="仿宋_GB2312"/>
          <w:highlight w:val="none"/>
        </w:rPr>
        <w:t>依托高速公路、国道、省道、城镇快速路打造多通道复合快速衔接系统，提升镇域干线公路服务水平</w:t>
      </w:r>
      <w:r>
        <w:rPr>
          <w:rFonts w:hint="eastAsia" w:eastAsia="仿宋_GB2312"/>
          <w:highlight w:val="none"/>
        </w:rPr>
        <w:t>，</w:t>
      </w:r>
      <w:r>
        <w:rPr>
          <w:rFonts w:eastAsia="仿宋_GB2312"/>
          <w:highlight w:val="none"/>
        </w:rPr>
        <w:t>构建便捷通畅的乡村骨干公路网络和普惠公平的乡村基础公路网络</w:t>
      </w:r>
      <w:r>
        <w:rPr>
          <w:rFonts w:hint="eastAsia" w:eastAsia="仿宋_GB2312"/>
          <w:highlight w:val="none"/>
          <w:lang w:eastAsia="zh-CN"/>
        </w:rPr>
        <w:t>。</w:t>
      </w:r>
    </w:p>
    <w:p>
      <w:pPr>
        <w:pStyle w:val="13"/>
        <w:spacing w:before="0" w:beforeLines="0" w:line="360" w:lineRule="auto"/>
        <w:ind w:left="110" w:right="110" w:firstLine="80"/>
        <w:rPr>
          <w:rFonts w:hint="eastAsia" w:eastAsia="仿宋_GB2312"/>
          <w:color w:val="000000" w:themeColor="text1"/>
          <w:sz w:val="4"/>
          <w:highlight w:val="none"/>
          <w14:textFill>
            <w14:solidFill>
              <w14:schemeClr w14:val="tx1"/>
            </w14:solidFill>
          </w14:textFill>
        </w:rPr>
      </w:pP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完善城乡道路交通系统</w:t>
      </w:r>
    </w:p>
    <w:p>
      <w:pPr>
        <w:pStyle w:val="13"/>
        <w:spacing w:before="0" w:beforeLines="0" w:line="360" w:lineRule="auto"/>
        <w:ind w:left="110" w:right="110" w:firstLine="640"/>
        <w:rPr>
          <w:rFonts w:hint="eastAsia" w:eastAsia="仿宋_GB2312"/>
          <w:highlight w:val="none"/>
          <w:lang w:eastAsia="zh-CN"/>
        </w:rPr>
      </w:pPr>
      <w:r>
        <w:rPr>
          <w:rFonts w:hint="eastAsia" w:eastAsia="仿宋_GB2312"/>
          <w:highlight w:val="none"/>
        </w:rPr>
        <w:t>在镇域范围内构建“</w:t>
      </w:r>
      <w:r>
        <w:rPr>
          <w:rFonts w:hint="eastAsia" w:eastAsia="仿宋_GB2312"/>
          <w:highlight w:val="none"/>
          <w:lang w:val="en-US" w:eastAsia="zh-CN"/>
        </w:rPr>
        <w:t>环形+放射形</w:t>
      </w:r>
      <w:r>
        <w:rPr>
          <w:rFonts w:hint="eastAsia" w:eastAsia="仿宋_GB2312"/>
          <w:highlight w:val="none"/>
        </w:rPr>
        <w:t>”的主干</w:t>
      </w:r>
      <w:r>
        <w:rPr>
          <w:rFonts w:hint="eastAsia" w:eastAsia="仿宋_GB2312"/>
          <w:highlight w:val="none"/>
          <w:lang w:val="en-US" w:eastAsia="zh-CN"/>
        </w:rPr>
        <w:t>路网</w:t>
      </w:r>
      <w:r>
        <w:rPr>
          <w:rFonts w:hint="eastAsia" w:eastAsia="仿宋_GB2312"/>
          <w:highlight w:val="none"/>
        </w:rPr>
        <w:t>体系。</w:t>
      </w:r>
      <w:r>
        <w:rPr>
          <w:rFonts w:hint="eastAsia" w:eastAsia="仿宋_GB2312"/>
          <w:highlight w:val="none"/>
          <w:lang w:val="en-US" w:eastAsia="zh-CN"/>
        </w:rPr>
        <w:t>依托南环路－东环路构建城区快速环线，以G311、S302、X221、X101强化中心城区对外围乡镇的辐射带动能力</w:t>
      </w:r>
      <w:r>
        <w:rPr>
          <w:rFonts w:hint="eastAsia" w:eastAsia="仿宋_GB2312"/>
          <w:highlight w:val="none"/>
        </w:rPr>
        <w:t>。</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优化镇域公共交通系统</w:t>
      </w:r>
    </w:p>
    <w:p>
      <w:pPr>
        <w:pStyle w:val="13"/>
        <w:spacing w:before="0" w:beforeLines="0" w:line="360" w:lineRule="auto"/>
        <w:ind w:left="110" w:right="110" w:firstLine="640"/>
        <w:rPr>
          <w:rFonts w:hint="eastAsia" w:eastAsia="仿宋_GB2312"/>
          <w:color w:val="000000" w:themeColor="text1"/>
          <w:highlight w:val="none"/>
          <w:lang w:eastAsia="zh-CN"/>
          <w14:textFill>
            <w14:solidFill>
              <w14:schemeClr w14:val="tx1"/>
            </w14:solidFill>
          </w14:textFill>
        </w:rPr>
      </w:pPr>
      <w:r>
        <w:rPr>
          <w:rFonts w:hint="eastAsia" w:eastAsia="仿宋_GB2312"/>
          <w:highlight w:val="none"/>
        </w:rPr>
        <w:t>打造“枢纽站--首末站--普通站”三级公交服务站点，结合枢纽站和首末站设置慢行接驳设施</w:t>
      </w:r>
      <w:r>
        <w:rPr>
          <w:rFonts w:eastAsia="仿宋_GB2312"/>
          <w:highlight w:val="none"/>
        </w:rPr>
        <w:t>。规划加强公交枢纽站与下辖各社区的交通联系，在镇域范围内补充完善各社区的停靠站点，方便居民出行。</w:t>
      </w:r>
    </w:p>
    <w:p>
      <w:pPr>
        <w:pStyle w:val="3"/>
        <w:numPr>
          <w:ilvl w:val="0"/>
          <w:numId w:val="9"/>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50" w:name="_bookmark21"/>
      <w:bookmarkEnd w:id="50"/>
      <w:bookmarkStart w:id="51" w:name="_bookmark20"/>
      <w:bookmarkEnd w:id="51"/>
      <w:bookmarkStart w:id="52" w:name="_Toc16340"/>
      <w:bookmarkStart w:id="53" w:name="_Toc152782110"/>
      <w:r>
        <w:rPr>
          <w:rFonts w:hint="eastAsia" w:ascii="黑体" w:hAnsi="黑体" w:eastAsia="黑体"/>
          <w:color w:val="000000" w:themeColor="text1"/>
          <w:highlight w:val="none"/>
          <w:lang w:eastAsia="zh-CN"/>
          <w14:textFill>
            <w14:solidFill>
              <w14:schemeClr w14:val="tx1"/>
            </w14:solidFill>
          </w14:textFill>
        </w:rPr>
        <w:t>建设绿色韧性市政基础设施</w:t>
      </w:r>
      <w:bookmarkEnd w:id="52"/>
      <w:bookmarkEnd w:id="53"/>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打造全域覆盖的供水网络</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hint="eastAsia" w:eastAsia="仿宋_GB2312"/>
          <w:color w:val="000000" w:themeColor="text1"/>
          <w:highlight w:val="none"/>
          <w14:textFill>
            <w14:solidFill>
              <w14:schemeClr w14:val="tx1"/>
            </w14:solidFill>
          </w14:textFill>
        </w:rPr>
        <w:t>坚持以水定城、以水定地、以水定人、以水定产，实行最严格水资源管理制度，优化农业用水结构，</w:t>
      </w:r>
      <w:r>
        <w:rPr>
          <w:rFonts w:eastAsia="仿宋_GB2312"/>
          <w:color w:val="000000" w:themeColor="text1"/>
          <w:highlight w:val="none"/>
          <w14:textFill>
            <w14:solidFill>
              <w14:schemeClr w14:val="tx1"/>
            </w14:solidFill>
          </w14:textFill>
        </w:rPr>
        <w:t>完善更新供水设施，公共供水普及率达到</w:t>
      </w:r>
      <w:r>
        <w:rPr>
          <w:rFonts w:hint="eastAsia" w:eastAsia="仿宋_GB2312"/>
          <w:color w:val="000000" w:themeColor="text1"/>
          <w:highlight w:val="none"/>
          <w14:textFill>
            <w14:solidFill>
              <w14:schemeClr w14:val="tx1"/>
            </w14:solidFill>
          </w14:textFill>
        </w:rPr>
        <w:t>100%</w:t>
      </w:r>
      <w:r>
        <w:rPr>
          <w:rFonts w:eastAsia="仿宋_GB2312"/>
          <w:color w:val="000000" w:themeColor="text1"/>
          <w:highlight w:val="none"/>
          <w14:textFill>
            <w14:solidFill>
              <w14:schemeClr w14:val="tx1"/>
            </w14:solidFill>
          </w14:textFill>
        </w:rPr>
        <w:t>，逐步提高再生水、雨洪水等非常规水源的利用水平，构建安全、稳定、高效的供水系统。</w:t>
      </w:r>
    </w:p>
    <w:p>
      <w:pPr>
        <w:pStyle w:val="13"/>
        <w:spacing w:before="0" w:beforeLines="0" w:line="360" w:lineRule="auto"/>
        <w:ind w:left="110" w:right="110" w:firstLine="643"/>
        <w:rPr>
          <w:rFonts w:hint="eastAsia" w:eastAsia="PMingLiU"/>
          <w:highlight w:val="none"/>
        </w:rPr>
      </w:pPr>
      <w:r>
        <w:rPr>
          <w:rFonts w:hint="eastAsia" w:eastAsia="仿宋_GB2312"/>
          <w:b/>
          <w:bCs/>
          <w:highlight w:val="none"/>
        </w:rPr>
        <w:t>建设互联互通的供水网络。</w:t>
      </w:r>
      <w:r>
        <w:rPr>
          <w:rFonts w:hint="eastAsia" w:eastAsia="仿宋_GB2312"/>
          <w:highlight w:val="none"/>
          <w:lang w:val="en-US" w:eastAsia="zh-CN"/>
        </w:rPr>
        <w:t>落实城乡供水一体化工程、地下水源置换工程，</w:t>
      </w:r>
      <w:r>
        <w:rPr>
          <w:rFonts w:hint="eastAsia" w:eastAsia="仿宋_GB2312"/>
          <w:highlight w:val="none"/>
        </w:rPr>
        <w:t>水源由</w:t>
      </w:r>
      <w:r>
        <w:rPr>
          <w:rFonts w:ascii="Times New Roman" w:hAnsi="Times New Roman" w:eastAsia="仿宋_GB2312"/>
          <w:bCs/>
          <w:szCs w:val="22"/>
          <w:highlight w:val="none"/>
        </w:rPr>
        <w:t>新庄水厂</w:t>
      </w:r>
      <w:r>
        <w:rPr>
          <w:rFonts w:hint="eastAsia" w:eastAsia="仿宋_GB2312"/>
          <w:highlight w:val="none"/>
        </w:rPr>
        <w:t>提供，</w:t>
      </w:r>
      <w:r>
        <w:rPr>
          <w:rFonts w:hint="eastAsia" w:eastAsia="仿宋_GB2312"/>
          <w:highlight w:val="none"/>
          <w:lang w:val="en-US" w:eastAsia="zh-CN"/>
        </w:rPr>
        <w:t>经</w:t>
      </w:r>
      <w:r>
        <w:rPr>
          <w:rFonts w:hint="eastAsia" w:eastAsia="仿宋_GB2312"/>
          <w:sz w:val="32"/>
          <w:szCs w:val="32"/>
          <w:highlight w:val="none"/>
        </w:rPr>
        <w:t>凤北新区增压站</w:t>
      </w:r>
      <w:r>
        <w:rPr>
          <w:rFonts w:hint="eastAsia" w:eastAsia="仿宋_GB2312"/>
          <w:sz w:val="32"/>
          <w:szCs w:val="32"/>
          <w:highlight w:val="none"/>
          <w:lang w:eastAsia="zh-CN"/>
        </w:rPr>
        <w:t>、</w:t>
      </w:r>
      <w:r>
        <w:rPr>
          <w:rFonts w:hint="eastAsia" w:eastAsia="仿宋_GB2312"/>
          <w:sz w:val="32"/>
          <w:szCs w:val="32"/>
          <w:highlight w:val="none"/>
        </w:rPr>
        <w:t>城南增压站</w:t>
      </w:r>
      <w:r>
        <w:rPr>
          <w:rFonts w:hint="eastAsia" w:eastAsia="仿宋_GB2312"/>
          <w:sz w:val="32"/>
          <w:szCs w:val="32"/>
          <w:highlight w:val="none"/>
          <w:lang w:eastAsia="zh-CN"/>
        </w:rPr>
        <w:t>、</w:t>
      </w:r>
      <w:r>
        <w:rPr>
          <w:rFonts w:hint="eastAsia" w:eastAsia="仿宋_GB2312"/>
          <w:sz w:val="32"/>
          <w:szCs w:val="32"/>
          <w:highlight w:val="none"/>
          <w:lang w:val="en-US" w:eastAsia="zh-CN"/>
        </w:rPr>
        <w:t>开发区</w:t>
      </w:r>
      <w:r>
        <w:rPr>
          <w:rFonts w:hint="eastAsia" w:eastAsia="仿宋_GB2312"/>
          <w:sz w:val="32"/>
          <w:szCs w:val="32"/>
          <w:highlight w:val="none"/>
        </w:rPr>
        <w:t>增压站</w:t>
      </w:r>
      <w:r>
        <w:rPr>
          <w:rFonts w:hint="eastAsia" w:eastAsia="仿宋_GB2312"/>
          <w:sz w:val="32"/>
          <w:szCs w:val="32"/>
          <w:highlight w:val="none"/>
          <w:lang w:val="en-US" w:eastAsia="zh-CN"/>
        </w:rPr>
        <w:t>输送至城区供水干管</w:t>
      </w:r>
      <w:r>
        <w:rPr>
          <w:rFonts w:hint="eastAsia" w:eastAsia="仿宋_GB2312"/>
          <w:highlight w:val="none"/>
        </w:rPr>
        <w:t>，保障</w:t>
      </w:r>
      <w:r>
        <w:rPr>
          <w:rFonts w:hint="eastAsia" w:eastAsia="仿宋_GB2312"/>
          <w:highlight w:val="none"/>
          <w:lang w:val="en-US" w:eastAsia="zh-CN"/>
        </w:rPr>
        <w:t>城乡</w:t>
      </w:r>
      <w:r>
        <w:rPr>
          <w:rFonts w:hint="eastAsia" w:eastAsia="仿宋_GB2312"/>
          <w:highlight w:val="none"/>
        </w:rPr>
        <w:t>生活用水。</w:t>
      </w:r>
    </w:p>
    <w:p>
      <w:pPr>
        <w:pStyle w:val="13"/>
        <w:spacing w:before="0" w:beforeLines="0" w:line="360" w:lineRule="auto"/>
        <w:ind w:left="110" w:right="110" w:firstLine="643"/>
        <w:rPr>
          <w:rFonts w:hint="eastAsia" w:eastAsia="仿宋_GB2312"/>
          <w:color w:val="000000" w:themeColor="text1"/>
          <w:highlight w:val="none"/>
          <w:lang w:eastAsia="zh-CN"/>
          <w14:textFill>
            <w14:solidFill>
              <w14:schemeClr w14:val="tx1"/>
            </w14:solidFill>
          </w14:textFill>
        </w:rPr>
      </w:pPr>
      <w:r>
        <w:rPr>
          <w:rFonts w:hint="eastAsia" w:eastAsia="仿宋_GB2312"/>
          <w:b/>
          <w:bCs/>
          <w:highlight w:val="none"/>
        </w:rPr>
        <w:t>完善</w:t>
      </w:r>
      <w:r>
        <w:rPr>
          <w:rFonts w:eastAsia="仿宋_GB2312"/>
          <w:b/>
          <w:bCs/>
          <w:highlight w:val="none"/>
        </w:rPr>
        <w:t>供水管网</w:t>
      </w:r>
      <w:r>
        <w:rPr>
          <w:rFonts w:hint="eastAsia" w:eastAsia="仿宋_GB2312"/>
          <w:b/>
          <w:bCs/>
          <w:highlight w:val="none"/>
        </w:rPr>
        <w:t>建设。</w:t>
      </w:r>
      <w:r>
        <w:rPr>
          <w:rFonts w:eastAsia="仿宋_GB2312"/>
          <w:highlight w:val="none"/>
        </w:rPr>
        <w:t>按照城乡统筹、资源共享的规划原则，随着新型农村社区建设的深入，村庄规模的集聚，将逐步实现全镇统一供水。</w:t>
      </w:r>
    </w:p>
    <w:p>
      <w:pPr>
        <w:pStyle w:val="46"/>
        <w:spacing w:before="0" w:line="360" w:lineRule="auto"/>
        <w:ind w:left="0" w:right="108" w:firstLine="675" w:firstLineChars="200"/>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建设完善雨污排放系统</w:t>
      </w:r>
    </w:p>
    <w:p>
      <w:pPr>
        <w:pStyle w:val="13"/>
        <w:spacing w:before="0" w:beforeLines="0" w:line="360" w:lineRule="auto"/>
        <w:ind w:left="110" w:right="110" w:firstLine="640"/>
        <w:rPr>
          <w:rFonts w:hint="eastAsia" w:eastAsia="仿宋_GB2312"/>
          <w:highlight w:val="none"/>
        </w:rPr>
      </w:pPr>
      <w:r>
        <w:rPr>
          <w:rFonts w:hint="eastAsia" w:eastAsia="仿宋_GB2312"/>
          <w:highlight w:val="none"/>
        </w:rPr>
        <w:t>加快污水处理设施及配套管网建设，提高再生水利用率，污水处理率达到</w:t>
      </w:r>
      <w:r>
        <w:rPr>
          <w:rFonts w:eastAsia="仿宋_GB2312"/>
          <w:highlight w:val="none"/>
        </w:rPr>
        <w:t>99%</w:t>
      </w:r>
      <w:r>
        <w:rPr>
          <w:rFonts w:hint="eastAsia" w:eastAsia="仿宋_GB2312"/>
          <w:highlight w:val="none"/>
        </w:rPr>
        <w:t>以上，污水管网覆盖率达到</w:t>
      </w:r>
      <w:r>
        <w:rPr>
          <w:rFonts w:eastAsia="仿宋_GB2312"/>
          <w:highlight w:val="none"/>
        </w:rPr>
        <w:t>100%</w:t>
      </w:r>
      <w:r>
        <w:rPr>
          <w:rFonts w:hint="eastAsia" w:eastAsia="仿宋_GB2312"/>
          <w:highlight w:val="none"/>
        </w:rPr>
        <w:t>。</w:t>
      </w:r>
    </w:p>
    <w:p>
      <w:pPr>
        <w:pStyle w:val="13"/>
        <w:spacing w:before="0" w:beforeLines="0" w:line="360" w:lineRule="auto"/>
        <w:ind w:left="110" w:right="110" w:firstLine="640"/>
        <w:rPr>
          <w:rFonts w:hint="eastAsia" w:eastAsia="仿宋_GB2312"/>
          <w:color w:val="000000" w:themeColor="text1"/>
          <w:highlight w:val="none"/>
          <w:lang w:eastAsia="zh-CN"/>
          <w14:textFill>
            <w14:solidFill>
              <w14:schemeClr w14:val="tx1"/>
            </w14:solidFill>
          </w14:textFill>
        </w:rPr>
      </w:pPr>
      <w:r>
        <w:rPr>
          <w:rFonts w:eastAsia="仿宋_GB2312"/>
          <w:highlight w:val="none"/>
        </w:rPr>
        <w:t>靠近</w:t>
      </w:r>
      <w:r>
        <w:rPr>
          <w:rFonts w:hint="eastAsia" w:eastAsia="仿宋_GB2312"/>
          <w:highlight w:val="none"/>
          <w:lang w:eastAsia="zh-CN"/>
        </w:rPr>
        <w:t>县城</w:t>
      </w:r>
      <w:r>
        <w:rPr>
          <w:rFonts w:eastAsia="仿宋_GB2312"/>
          <w:highlight w:val="none"/>
        </w:rPr>
        <w:t>的中心村和基层村的生活污水，可一并纳入城镇污水处理系统。远离</w:t>
      </w:r>
      <w:r>
        <w:rPr>
          <w:rFonts w:hint="eastAsia" w:eastAsia="仿宋_GB2312"/>
          <w:highlight w:val="none"/>
          <w:lang w:eastAsia="zh-CN"/>
        </w:rPr>
        <w:t>县城</w:t>
      </w:r>
      <w:r>
        <w:rPr>
          <w:rFonts w:eastAsia="仿宋_GB2312"/>
          <w:highlight w:val="none"/>
        </w:rPr>
        <w:t>的中心</w:t>
      </w:r>
      <w:r>
        <w:rPr>
          <w:rFonts w:hint="eastAsia" w:eastAsia="仿宋_GB2312"/>
          <w:highlight w:val="none"/>
          <w:lang w:eastAsia="zh-CN"/>
        </w:rPr>
        <w:t>村</w:t>
      </w:r>
      <w:r>
        <w:rPr>
          <w:rFonts w:eastAsia="仿宋_GB2312"/>
          <w:highlight w:val="none"/>
        </w:rPr>
        <w:t>和基层村，应尽可能集中分片地解决污水处理问题。</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构建全域覆盖的</w:t>
      </w:r>
      <w:r>
        <w:rPr>
          <w:rFonts w:hint="eastAsia" w:eastAsia="仿宋_GB2312"/>
          <w:color w:val="000000" w:themeColor="text1"/>
          <w:w w:val="105"/>
          <w:sz w:val="32"/>
          <w:highlight w:val="none"/>
          <w14:textFill>
            <w14:solidFill>
              <w14:schemeClr w14:val="tx1"/>
            </w14:solidFill>
          </w14:textFill>
        </w:rPr>
        <w:t>环卫系统</w:t>
      </w:r>
    </w:p>
    <w:p>
      <w:pPr>
        <w:pStyle w:val="13"/>
        <w:spacing w:before="0" w:beforeLines="0" w:line="360" w:lineRule="auto"/>
        <w:ind w:left="110" w:right="110" w:firstLine="640"/>
        <w:rPr>
          <w:rFonts w:hint="eastAsia" w:eastAsia="仿宋_GB2312"/>
          <w:highlight w:val="none"/>
        </w:rPr>
      </w:pPr>
      <w:r>
        <w:rPr>
          <w:rFonts w:eastAsia="仿宋_GB2312"/>
          <w:highlight w:val="none"/>
        </w:rPr>
        <w:t>到2035年，</w:t>
      </w:r>
      <w:r>
        <w:rPr>
          <w:rFonts w:hint="eastAsia" w:eastAsia="仿宋_GB2312"/>
          <w:highlight w:val="none"/>
        </w:rPr>
        <w:t>全镇</w:t>
      </w:r>
      <w:r>
        <w:rPr>
          <w:rFonts w:eastAsia="仿宋_GB2312"/>
          <w:highlight w:val="none"/>
        </w:rPr>
        <w:t>垃圾无害化处理率达到100%，垃圾资源化回收利用率大于4</w:t>
      </w:r>
      <w:r>
        <w:rPr>
          <w:rFonts w:hint="eastAsia" w:eastAsia="仿宋_GB2312"/>
          <w:highlight w:val="none"/>
        </w:rPr>
        <w:t>0</w:t>
      </w:r>
      <w:r>
        <w:rPr>
          <w:rFonts w:eastAsia="仿宋_GB2312"/>
          <w:highlight w:val="none"/>
        </w:rPr>
        <w:t>%。生活垃圾实行源头分类收集，可回收垃圾应进行资源化利用，不可回收垃圾经</w:t>
      </w:r>
      <w:r>
        <w:rPr>
          <w:rFonts w:hint="eastAsia" w:eastAsia="仿宋_GB2312"/>
          <w:highlight w:val="none"/>
          <w:lang w:val="en-US" w:eastAsia="zh-CN"/>
        </w:rPr>
        <w:t>统一收集后，</w:t>
      </w:r>
      <w:r>
        <w:rPr>
          <w:rFonts w:eastAsia="仿宋_GB2312"/>
          <w:highlight w:val="none"/>
        </w:rPr>
        <w:t>转运至</w:t>
      </w:r>
      <w:r>
        <w:rPr>
          <w:rFonts w:hint="eastAsia" w:eastAsia="仿宋_GB2312"/>
          <w:highlight w:val="none"/>
          <w:lang w:val="en-US" w:eastAsia="zh-CN"/>
        </w:rPr>
        <w:t>县垃圾焚烧厂</w:t>
      </w:r>
      <w:r>
        <w:rPr>
          <w:rFonts w:eastAsia="仿宋_GB2312"/>
          <w:highlight w:val="none"/>
        </w:rPr>
        <w:t>统一处理。</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eastAsia="仿宋_GB2312"/>
          <w:highlight w:val="none"/>
        </w:rPr>
        <w:t>厨余垃圾和有害垃圾统</w:t>
      </w:r>
      <w:r>
        <w:rPr>
          <w:rFonts w:eastAsia="仿宋_GB2312"/>
          <w:b/>
          <w:bCs/>
          <w:highlight w:val="none"/>
        </w:rPr>
        <w:t>一</w:t>
      </w:r>
      <w:r>
        <w:rPr>
          <w:rFonts w:eastAsia="仿宋_GB2312"/>
          <w:highlight w:val="none"/>
        </w:rPr>
        <w:t>进行无害化处理。结合城镇功能布局合理设置转运站、基层环卫机构、环卫车队等环卫设施。农村居民点按60</w:t>
      </w:r>
      <w:r>
        <w:rPr>
          <w:rFonts w:hint="eastAsia" w:eastAsia="仿宋_GB2312"/>
          <w:highlight w:val="none"/>
        </w:rPr>
        <w:t>～</w:t>
      </w:r>
      <w:r>
        <w:rPr>
          <w:rFonts w:eastAsia="仿宋_GB2312"/>
          <w:highlight w:val="none"/>
        </w:rPr>
        <w:t>100m的服务半径布置垃圾收集点</w:t>
      </w:r>
      <w:r>
        <w:rPr>
          <w:rFonts w:eastAsia="仿宋_GB2312"/>
          <w:color w:val="000000" w:themeColor="text1"/>
          <w:highlight w:val="none"/>
          <w14:textFill>
            <w14:solidFill>
              <w14:schemeClr w14:val="tx1"/>
            </w14:solidFill>
          </w14:textFill>
        </w:rPr>
        <w:t>。</w:t>
      </w:r>
    </w:p>
    <w:p>
      <w:pPr>
        <w:pStyle w:val="46"/>
        <w:spacing w:before="0" w:line="360" w:lineRule="auto"/>
        <w:ind w:left="0" w:right="108" w:firstLine="675" w:firstLineChars="200"/>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建设多源保障的供电网络</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eastAsia="仿宋_GB2312"/>
          <w:highlight w:val="none"/>
        </w:rPr>
        <w:t>聚焦“新基建”，拉高标杆，构建多元多向、坚强可靠、调度灵活、运行经济的高质量绿色智能电网系统，构建“多能互补”的电力供给新格局。</w:t>
      </w:r>
      <w:r>
        <w:rPr>
          <w:rFonts w:hint="eastAsia" w:eastAsia="仿宋_GB2312"/>
          <w:highlight w:val="none"/>
        </w:rPr>
        <w:t>新增</w:t>
      </w:r>
      <w:r>
        <w:rPr>
          <w:rFonts w:eastAsia="仿宋_GB2312"/>
          <w:highlight w:val="none"/>
        </w:rPr>
        <w:t>110kV变电站</w:t>
      </w:r>
      <w:r>
        <w:rPr>
          <w:rFonts w:hint="eastAsia" w:eastAsia="仿宋_GB2312"/>
          <w:highlight w:val="none"/>
          <w:lang w:val="en-US" w:eastAsia="zh-CN"/>
        </w:rPr>
        <w:t>4</w:t>
      </w:r>
      <w:r>
        <w:rPr>
          <w:rFonts w:eastAsia="仿宋_GB2312"/>
          <w:highlight w:val="none"/>
        </w:rPr>
        <w:t>座，110kV高压廊道</w:t>
      </w:r>
      <w:r>
        <w:rPr>
          <w:rFonts w:hint="eastAsia" w:eastAsia="仿宋_GB2312"/>
          <w:highlight w:val="none"/>
          <w:lang w:val="en-US" w:eastAsia="zh-CN"/>
        </w:rPr>
        <w:t>4</w:t>
      </w:r>
      <w:r>
        <w:rPr>
          <w:rFonts w:eastAsia="仿宋_GB2312"/>
          <w:highlight w:val="none"/>
        </w:rPr>
        <w:t>条</w:t>
      </w:r>
      <w:r>
        <w:rPr>
          <w:rFonts w:hint="eastAsia" w:eastAsia="仿宋_GB2312"/>
          <w:highlight w:val="none"/>
          <w:lang w:eastAsia="zh-CN"/>
        </w:rPr>
        <w:t>，</w:t>
      </w:r>
      <w:r>
        <w:rPr>
          <w:rFonts w:eastAsia="仿宋_GB2312"/>
          <w:highlight w:val="none"/>
        </w:rPr>
        <w:t>以保证</w:t>
      </w:r>
      <w:r>
        <w:rPr>
          <w:rFonts w:hint="eastAsia" w:eastAsia="仿宋_GB2312"/>
          <w:highlight w:val="none"/>
        </w:rPr>
        <w:t>乡镇、</w:t>
      </w:r>
      <w:r>
        <w:rPr>
          <w:rFonts w:eastAsia="仿宋_GB2312"/>
          <w:highlight w:val="none"/>
        </w:rPr>
        <w:t>中心村及各基层村的电力供给。各中心村设10千伏开闭所，基层村设变配电房，以减少线损，并保证</w:t>
      </w:r>
      <w:r>
        <w:rPr>
          <w:rFonts w:hint="eastAsia" w:eastAsia="仿宋_GB2312"/>
          <w:highlight w:val="none"/>
          <w:lang w:val="en-US" w:eastAsia="zh-CN"/>
        </w:rPr>
        <w:t>产业</w:t>
      </w:r>
      <w:r>
        <w:rPr>
          <w:rFonts w:eastAsia="仿宋_GB2312"/>
          <w:highlight w:val="none"/>
        </w:rPr>
        <w:t>生产</w:t>
      </w:r>
      <w:r>
        <w:rPr>
          <w:rFonts w:hint="eastAsia" w:eastAsia="仿宋_GB2312"/>
          <w:highlight w:val="none"/>
          <w:lang w:eastAsia="zh-CN"/>
        </w:rPr>
        <w:t>、</w:t>
      </w:r>
      <w:r>
        <w:rPr>
          <w:rFonts w:hint="eastAsia" w:eastAsia="仿宋_GB2312"/>
          <w:highlight w:val="none"/>
          <w:lang w:val="en-US" w:eastAsia="zh-CN"/>
        </w:rPr>
        <w:t>居民</w:t>
      </w:r>
      <w:r>
        <w:rPr>
          <w:rFonts w:eastAsia="仿宋_GB2312"/>
          <w:highlight w:val="none"/>
        </w:rPr>
        <w:t>生活和抗旱排涝的需要</w:t>
      </w:r>
      <w:r>
        <w:rPr>
          <w:rFonts w:eastAsia="仿宋_GB2312"/>
          <w:color w:val="000000" w:themeColor="text1"/>
          <w:highlight w:val="none"/>
          <w14:textFill>
            <w14:solidFill>
              <w14:schemeClr w14:val="tx1"/>
            </w14:solidFill>
          </w14:textFill>
        </w:rPr>
        <w:t>。</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eastAsia="仿宋_GB2312"/>
          <w:color w:val="000000" w:themeColor="text1"/>
          <w:highlight w:val="none"/>
          <w14:textFill>
            <w14:solidFill>
              <w14:schemeClr w14:val="tx1"/>
            </w14:solidFill>
          </w14:textFill>
        </w:rPr>
        <w:t>进一步加强电力建设和电网改造，保持电力线沿主要公路架线的方式，在部分路段对现有电力线进行改造或增设，使电网布局更加合理可靠，进一步提高供电能力。</w:t>
      </w:r>
    </w:p>
    <w:p>
      <w:pPr>
        <w:pStyle w:val="13"/>
        <w:spacing w:before="0" w:beforeLines="0" w:line="360" w:lineRule="auto"/>
        <w:ind w:left="110" w:right="110" w:firstLine="640"/>
        <w:rPr>
          <w:rFonts w:hint="eastAsia" w:eastAsia="仿宋_GB2312"/>
          <w:highlight w:val="none"/>
          <w:lang w:eastAsia="zh-CN"/>
        </w:rPr>
      </w:pPr>
      <w:r>
        <w:rPr>
          <w:rFonts w:hint="eastAsia" w:eastAsia="仿宋_GB2312"/>
          <w:highlight w:val="none"/>
          <w:lang w:val="en-US" w:eastAsia="zh-CN"/>
        </w:rPr>
        <w:t>加强高压廊道建设与管控。新建高压线路宜结合现状高压线路并廊建设，对镇域内500kV、220kV和110kV线路廊道进行控制，边导线防护距离分别不小于20米、15米和10米。</w:t>
      </w:r>
      <w:r>
        <w:rPr>
          <w:rFonts w:hint="eastAsia" w:eastAsia="仿宋_GB2312"/>
          <w:highlight w:val="none"/>
          <w:lang w:eastAsia="zh-CN"/>
        </w:rPr>
        <w:t>县城</w:t>
      </w:r>
      <w:r>
        <w:rPr>
          <w:rFonts w:eastAsia="仿宋_GB2312"/>
          <w:highlight w:val="none"/>
        </w:rPr>
        <w:t>线路沿</w:t>
      </w:r>
      <w:r>
        <w:rPr>
          <w:rFonts w:hint="eastAsia" w:eastAsia="仿宋_GB2312"/>
          <w:highlight w:val="none"/>
          <w:lang w:eastAsia="zh-CN"/>
        </w:rPr>
        <w:t>县城</w:t>
      </w:r>
      <w:r>
        <w:rPr>
          <w:rFonts w:eastAsia="仿宋_GB2312"/>
          <w:highlight w:val="none"/>
        </w:rPr>
        <w:t>内主次</w:t>
      </w:r>
      <w:r>
        <w:rPr>
          <w:rFonts w:hint="eastAsia" w:eastAsia="仿宋_GB2312"/>
          <w:highlight w:val="none"/>
          <w:lang w:val="en-US" w:eastAsia="zh-CN"/>
        </w:rPr>
        <w:t>干</w:t>
      </w:r>
      <w:r>
        <w:rPr>
          <w:rFonts w:eastAsia="仿宋_GB2312"/>
          <w:highlight w:val="none"/>
        </w:rPr>
        <w:t>路布置，村供电线路沿公路、村庄道路布置，采用同杆并架的架设方式，减少交叉、跨越、避免对弱电的干扰。</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构建区域一体的天然气供应保障体系</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eastAsia="仿宋_GB2312"/>
          <w:highlight w:val="none"/>
        </w:rPr>
        <w:t>贯彻“多站连线，各线成环，多环并网”策略，</w:t>
      </w:r>
      <w:r>
        <w:rPr>
          <w:rFonts w:hint="eastAsia" w:eastAsia="仿宋_GB2312"/>
          <w:highlight w:val="none"/>
          <w:lang w:val="en-US" w:eastAsia="zh-CN"/>
        </w:rPr>
        <w:t>落实区域</w:t>
      </w:r>
      <w:r>
        <w:rPr>
          <w:rFonts w:eastAsia="仿宋_GB2312"/>
          <w:highlight w:val="none"/>
        </w:rPr>
        <w:t>高压集输管网“一张网”、气源“资源共享”</w:t>
      </w:r>
      <w:r>
        <w:rPr>
          <w:rFonts w:hint="eastAsia" w:eastAsia="仿宋_GB2312"/>
          <w:highlight w:val="none"/>
          <w:lang w:val="en-US" w:eastAsia="zh-CN"/>
        </w:rPr>
        <w:t>理念</w:t>
      </w:r>
      <w:r>
        <w:rPr>
          <w:rFonts w:eastAsia="仿宋_GB2312"/>
          <w:highlight w:val="none"/>
        </w:rPr>
        <w:t>，形成以天然气为主，液化石油气为补充的多气源格局，提</w:t>
      </w:r>
      <w:r>
        <w:rPr>
          <w:rFonts w:hint="eastAsia" w:eastAsia="仿宋_GB2312"/>
          <w:highlight w:val="none"/>
          <w:lang w:eastAsia="zh-CN"/>
        </w:rPr>
        <w:t>高天</w:t>
      </w:r>
      <w:r>
        <w:rPr>
          <w:rFonts w:eastAsia="仿宋_GB2312"/>
          <w:highlight w:val="none"/>
        </w:rPr>
        <w:t>然气供应保障能力。农村居民点积极推广使用罐装液化石油气，加强对液化石油气</w:t>
      </w:r>
      <w:r>
        <w:rPr>
          <w:rFonts w:hint="eastAsia" w:eastAsia="仿宋_GB2312"/>
          <w:highlight w:val="none"/>
          <w:lang w:val="en-US" w:eastAsia="zh-CN"/>
        </w:rPr>
        <w:t>储存、</w:t>
      </w:r>
      <w:r>
        <w:rPr>
          <w:rFonts w:eastAsia="仿宋_GB2312"/>
          <w:highlight w:val="none"/>
        </w:rPr>
        <w:t>充装、运输过程中的管理，规范操作，消除安全隐患</w:t>
      </w:r>
      <w:r>
        <w:rPr>
          <w:rFonts w:eastAsia="仿宋_GB2312"/>
          <w:color w:val="000000" w:themeColor="text1"/>
          <w:highlight w:val="none"/>
          <w14:textFill>
            <w14:solidFill>
              <w14:schemeClr w14:val="tx1"/>
            </w14:solidFill>
          </w14:textFill>
        </w:rPr>
        <w:t>。</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支持智慧高效的</w:t>
      </w:r>
      <w:r>
        <w:rPr>
          <w:rFonts w:hint="eastAsia" w:eastAsia="仿宋_GB2312"/>
          <w:color w:val="000000" w:themeColor="text1"/>
          <w:w w:val="105"/>
          <w:sz w:val="32"/>
          <w:highlight w:val="none"/>
          <w14:textFill>
            <w14:solidFill>
              <w14:schemeClr w14:val="tx1"/>
            </w14:solidFill>
          </w14:textFill>
        </w:rPr>
        <w:t>通</w:t>
      </w:r>
      <w:r>
        <w:rPr>
          <w:rFonts w:hint="eastAsia" w:eastAsia="仿宋_GB2312"/>
          <w:color w:val="000000" w:themeColor="text1"/>
          <w:w w:val="105"/>
          <w:sz w:val="32"/>
          <w:highlight w:val="none"/>
          <w:lang w:val="en-US" w:eastAsia="zh-CN"/>
          <w14:textFill>
            <w14:solidFill>
              <w14:schemeClr w14:val="tx1"/>
            </w14:solidFill>
          </w14:textFill>
        </w:rPr>
        <w:t>讯设施建设</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eastAsia="仿宋_GB2312"/>
          <w:color w:val="000000" w:themeColor="text1"/>
          <w:highlight w:val="none"/>
          <w14:textFill>
            <w14:solidFill>
              <w14:schemeClr w14:val="tx1"/>
            </w14:solidFill>
          </w14:textFill>
        </w:rPr>
        <w:t>规划采取“高起点、高层次”的建设方针，扩大</w:t>
      </w:r>
      <w:r>
        <w:rPr>
          <w:rFonts w:hint="eastAsia" w:eastAsia="仿宋_GB2312"/>
          <w:color w:val="000000" w:themeColor="text1"/>
          <w:highlight w:val="none"/>
          <w:lang w:eastAsia="zh-CN"/>
          <w14:textFill>
            <w14:solidFill>
              <w14:schemeClr w14:val="tx1"/>
            </w14:solidFill>
          </w14:textFill>
        </w:rPr>
        <w:t>县城</w:t>
      </w:r>
      <w:r>
        <w:rPr>
          <w:rFonts w:eastAsia="仿宋_GB2312"/>
          <w:color w:val="000000" w:themeColor="text1"/>
          <w:highlight w:val="none"/>
          <w14:textFill>
            <w14:solidFill>
              <w14:schemeClr w14:val="tx1"/>
            </w14:solidFill>
          </w14:textFill>
        </w:rPr>
        <w:t>电信支局规模和服务能力，以适应社会和经济发展。加强邮政设施建设，逐步采用先进的邮政处理手段。</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完善邮政网点设施布局。</w:t>
      </w:r>
      <w:r>
        <w:rPr>
          <w:rFonts w:eastAsia="仿宋_GB2312"/>
          <w:color w:val="000000" w:themeColor="text1"/>
          <w:highlight w:val="none"/>
          <w14:textFill>
            <w14:solidFill>
              <w14:schemeClr w14:val="tx1"/>
            </w14:solidFill>
          </w14:textFill>
        </w:rPr>
        <w:t>在</w:t>
      </w:r>
      <w:r>
        <w:rPr>
          <w:rFonts w:hint="eastAsia" w:eastAsia="仿宋_GB2312"/>
          <w:color w:val="000000" w:themeColor="text1"/>
          <w:highlight w:val="none"/>
          <w:lang w:eastAsia="zh-CN"/>
          <w14:textFill>
            <w14:solidFill>
              <w14:schemeClr w14:val="tx1"/>
            </w14:solidFill>
          </w14:textFill>
        </w:rPr>
        <w:t>县城</w:t>
      </w:r>
      <w:r>
        <w:rPr>
          <w:rFonts w:eastAsia="仿宋_GB2312"/>
          <w:color w:val="000000" w:themeColor="text1"/>
          <w:highlight w:val="none"/>
          <w14:textFill>
            <w14:solidFill>
              <w14:schemeClr w14:val="tx1"/>
            </w14:solidFill>
          </w14:textFill>
        </w:rPr>
        <w:t>设邮政所，在中心村设邮政代办点，保证服务覆盖整个镇域。</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eastAsia="仿宋_GB2312"/>
          <w:color w:val="000000" w:themeColor="text1"/>
          <w:highlight w:val="none"/>
          <w14:textFill>
            <w14:solidFill>
              <w14:schemeClr w14:val="tx1"/>
            </w14:solidFill>
          </w14:textFill>
        </w:rPr>
        <w:t>推进5G和宽带网络建设，加快新一代光传输网、新一代小（微）基站建设，增加5G基站布局，实现重点区域5</w:t>
      </w:r>
      <w:r>
        <w:rPr>
          <w:rFonts w:hint="eastAsia" w:eastAsia="仿宋_GB2312"/>
          <w:color w:val="000000" w:themeColor="text1"/>
          <w:highlight w:val="none"/>
          <w:lang w:eastAsia="zh-CN"/>
          <w14:textFill>
            <w14:solidFill>
              <w14:schemeClr w14:val="tx1"/>
            </w14:solidFill>
          </w14:textFill>
        </w:rPr>
        <w:t>G</w:t>
      </w:r>
      <w:r>
        <w:rPr>
          <w:rFonts w:eastAsia="仿宋_GB2312"/>
          <w:color w:val="000000" w:themeColor="text1"/>
          <w:highlight w:val="none"/>
          <w14:textFill>
            <w14:solidFill>
              <w14:schemeClr w14:val="tx1"/>
            </w14:solidFill>
          </w14:textFill>
        </w:rPr>
        <w:t>网络全覆盖，到2035年，家庭千兆光纤网络覆盖率达到100%。</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eastAsia="仿宋_GB2312"/>
          <w:color w:val="000000" w:themeColor="text1"/>
          <w:highlight w:val="none"/>
          <w14:textFill>
            <w14:solidFill>
              <w14:schemeClr w14:val="tx1"/>
            </w14:solidFill>
          </w14:textFill>
        </w:rPr>
        <w:t>加快有线电视的建设，同时实现村村通有线电视，拓宽农民获取致富信息的渠道，为广大群众提供全方位、多层次信息服务。</w:t>
      </w:r>
    </w:p>
    <w:p>
      <w:pPr>
        <w:pStyle w:val="3"/>
        <w:numPr>
          <w:ilvl w:val="0"/>
          <w:numId w:val="9"/>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54" w:name="_bookmark23"/>
      <w:bookmarkEnd w:id="54"/>
      <w:bookmarkStart w:id="55" w:name="_Toc27403"/>
      <w:bookmarkStart w:id="56" w:name="_Toc152782111"/>
      <w:r>
        <w:rPr>
          <w:rFonts w:hint="eastAsia" w:ascii="黑体" w:hAnsi="黑体" w:eastAsia="黑体"/>
          <w:color w:val="000000" w:themeColor="text1"/>
          <w:highlight w:val="none"/>
          <w:lang w:eastAsia="zh-CN"/>
          <w14:textFill>
            <w14:solidFill>
              <w14:schemeClr w14:val="tx1"/>
            </w14:solidFill>
          </w14:textFill>
        </w:rPr>
        <w:t>构建综合防灾设施体系</w:t>
      </w:r>
      <w:bookmarkEnd w:id="55"/>
      <w:bookmarkEnd w:id="56"/>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建设综合应急管理体系</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eastAsia="仿宋_GB2312"/>
          <w:color w:val="000000" w:themeColor="text1"/>
          <w:highlight w:val="none"/>
          <w14:textFill>
            <w14:solidFill>
              <w14:schemeClr w14:val="tx1"/>
            </w14:solidFill>
          </w14:textFill>
        </w:rPr>
        <w:t>坚持政府主导与社会参与相结合，坚持以防为主、防抗救相结合，坚持常态减灾和非常态救灾相统一，针对自然灾害和城镇运行安全、公共安全领域的突发事件，高标准规划建设重大防灾减灾基础设施，全面提升监测预警、预防救援、应急处置、危机管理等综合防范能力，形成全天候、系统性、现代化的城镇安全保障体系。</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加强抗震设防体系建设</w:t>
      </w:r>
    </w:p>
    <w:p>
      <w:pPr>
        <w:pStyle w:val="13"/>
        <w:spacing w:before="0" w:beforeLines="0" w:line="360" w:lineRule="auto"/>
        <w:ind w:left="110" w:right="110" w:firstLine="640"/>
        <w:rPr>
          <w:rFonts w:hint="eastAsia" w:eastAsia="仿宋_GB2312"/>
          <w:highlight w:val="none"/>
        </w:rPr>
      </w:pPr>
      <w:r>
        <w:rPr>
          <w:rFonts w:eastAsia="仿宋_GB2312"/>
          <w:highlight w:val="none"/>
          <w:u w:val="single"/>
        </w:rPr>
        <w:t>按地震基本烈度7度要求设防。</w:t>
      </w:r>
      <w:r>
        <w:rPr>
          <w:rFonts w:hint="eastAsia" w:eastAsia="仿宋_GB2312"/>
          <w:highlight w:val="none"/>
        </w:rPr>
        <w:t>新建、改建、扩建工程严格执行抗震设防标准。重大建设工程、可能发生严重次生灾害的建设工程，应当进行地震安全性评价，并按照经审定的地震安全性评价报告确定的抗震设防要求进行抗震设防。重点科研单位、学校、医院、生命线系统等关键设施以及避难建筑、应急指挥中心等城市要害系统，应当在本地抗震设防标准的基础上提高一档进行抗震设防。</w:t>
      </w:r>
    </w:p>
    <w:p>
      <w:pPr>
        <w:pStyle w:val="13"/>
        <w:spacing w:before="0" w:beforeLines="0" w:line="360" w:lineRule="auto"/>
        <w:ind w:left="110" w:right="110" w:firstLine="640"/>
        <w:rPr>
          <w:rFonts w:hint="eastAsia" w:eastAsia="仿宋_GB2312"/>
          <w:highlight w:val="none"/>
        </w:rPr>
      </w:pPr>
      <w:r>
        <w:rPr>
          <w:rFonts w:hint="eastAsia" w:eastAsia="仿宋_GB2312"/>
          <w:highlight w:val="none"/>
        </w:rPr>
        <w:t>逐步开展对现状尚未采取抗震设防措施或抗震设防措施未达到抗震设防要求的建设工程的抗震性能鉴定，对老城区抗震性能不达标建筑逐步进行抗震加固，采取措施提高抗震能力。</w:t>
      </w:r>
    </w:p>
    <w:p>
      <w:pPr>
        <w:pStyle w:val="13"/>
        <w:spacing w:before="0" w:beforeLines="0" w:line="360" w:lineRule="auto"/>
        <w:ind w:left="110" w:right="110" w:firstLine="640"/>
        <w:rPr>
          <w:rFonts w:hint="eastAsia" w:eastAsia="仿宋_GB2312"/>
          <w:color w:val="000000" w:themeColor="text1"/>
          <w:highlight w:val="none"/>
          <w:lang w:eastAsia="zh-CN"/>
          <w14:textFill>
            <w14:solidFill>
              <w14:schemeClr w14:val="tx1"/>
            </w14:solidFill>
          </w14:textFill>
        </w:rPr>
      </w:pPr>
      <w:r>
        <w:rPr>
          <w:rFonts w:hint="eastAsia" w:eastAsia="仿宋_GB2312"/>
          <w:highlight w:val="none"/>
        </w:rPr>
        <w:t>应急避难场所</w:t>
      </w:r>
      <w:r>
        <w:rPr>
          <w:rFonts w:hint="eastAsia" w:eastAsia="仿宋_GB2312"/>
          <w:highlight w:val="none"/>
          <w:lang w:eastAsia="zh-CN"/>
        </w:rPr>
        <w:t>。</w:t>
      </w:r>
      <w:r>
        <w:rPr>
          <w:rFonts w:eastAsia="仿宋_GB2312"/>
          <w:highlight w:val="none"/>
        </w:rPr>
        <w:t>绿地、广场、学校的开敞地带、较宽的道路应作为灾害时期的疏散场地。集中成片的居住区，规划建设中应留出一定的小区绿地，以作为</w:t>
      </w:r>
      <w:r>
        <w:rPr>
          <w:rFonts w:hint="eastAsia" w:eastAsia="仿宋_GB2312"/>
          <w:highlight w:val="none"/>
        </w:rPr>
        <w:t>应急避难场所</w:t>
      </w:r>
      <w:r>
        <w:rPr>
          <w:rFonts w:eastAsia="仿宋_GB2312"/>
          <w:highlight w:val="none"/>
        </w:rPr>
        <w:t>。</w:t>
      </w:r>
    </w:p>
    <w:p>
      <w:pPr>
        <w:pStyle w:val="46"/>
        <w:spacing w:before="0" w:line="360" w:lineRule="auto"/>
        <w:ind w:left="0" w:right="108" w:firstLine="675" w:firstLineChars="200"/>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区域统筹防洪设施建设</w:t>
      </w:r>
    </w:p>
    <w:p>
      <w:pPr>
        <w:pStyle w:val="13"/>
        <w:spacing w:before="0" w:beforeLines="0" w:line="360" w:lineRule="auto"/>
        <w:ind w:left="110" w:right="110" w:firstLine="640"/>
        <w:rPr>
          <w:rFonts w:hint="eastAsia" w:eastAsia="仿宋_GB2312"/>
          <w:color w:val="000000" w:themeColor="text1"/>
          <w:highlight w:val="none"/>
          <w:lang w:eastAsia="zh-CN"/>
          <w14:textFill>
            <w14:solidFill>
              <w14:schemeClr w14:val="tx1"/>
            </w14:solidFill>
          </w14:textFill>
        </w:rPr>
      </w:pPr>
      <w:r>
        <w:rPr>
          <w:rFonts w:hint="eastAsia" w:eastAsia="仿宋_GB2312"/>
          <w:highlight w:val="none"/>
          <w:u w:val="single"/>
          <w:lang w:val="en-US" w:eastAsia="zh-CN"/>
        </w:rPr>
        <w:t>龙</w:t>
      </w:r>
      <w:r>
        <w:rPr>
          <w:rFonts w:hint="eastAsia" w:eastAsia="仿宋_GB2312"/>
          <w:highlight w:val="none"/>
          <w:u w:val="single"/>
        </w:rPr>
        <w:t>河</w:t>
      </w:r>
      <w:r>
        <w:rPr>
          <w:rFonts w:hint="eastAsia" w:eastAsia="仿宋_GB2312"/>
          <w:highlight w:val="none"/>
          <w:u w:val="single"/>
          <w:lang w:eastAsia="zh-CN"/>
        </w:rPr>
        <w:t>、</w:t>
      </w:r>
      <w:r>
        <w:rPr>
          <w:rFonts w:hint="eastAsia" w:eastAsia="仿宋_GB2312"/>
          <w:highlight w:val="none"/>
          <w:u w:val="single"/>
          <w:lang w:val="en-US" w:eastAsia="zh-CN"/>
        </w:rPr>
        <w:t>闸河</w:t>
      </w:r>
      <w:r>
        <w:rPr>
          <w:rFonts w:hint="eastAsia" w:eastAsia="仿宋_GB2312"/>
          <w:highlight w:val="none"/>
          <w:u w:val="single"/>
        </w:rPr>
        <w:t>防洪标准为</w:t>
      </w:r>
      <w:r>
        <w:rPr>
          <w:rFonts w:hint="eastAsia" w:eastAsia="仿宋_GB2312"/>
          <w:highlight w:val="none"/>
          <w:u w:val="single"/>
          <w:lang w:val="en-US" w:eastAsia="zh-CN"/>
        </w:rPr>
        <w:t>5</w:t>
      </w:r>
      <w:r>
        <w:rPr>
          <w:rFonts w:eastAsia="仿宋_GB2312"/>
          <w:highlight w:val="none"/>
          <w:u w:val="single"/>
        </w:rPr>
        <w:t>0年一遇设防。</w:t>
      </w:r>
      <w:r>
        <w:rPr>
          <w:rFonts w:eastAsia="仿宋_GB2312"/>
          <w:highlight w:val="none"/>
        </w:rPr>
        <w:t>在河道水系基本保持现状的情况下，对骨干河道进行梳理和整治，使镇域内河道疏通，并按近期防洪要求进行加固</w:t>
      </w:r>
      <w:r>
        <w:rPr>
          <w:rFonts w:hint="eastAsia" w:asciiTheme="minorEastAsia" w:hAnsiTheme="minorEastAsia" w:eastAsiaTheme="minorEastAsia"/>
          <w:highlight w:val="none"/>
        </w:rPr>
        <w:t>。</w:t>
      </w:r>
      <w:r>
        <w:rPr>
          <w:rFonts w:eastAsia="仿宋_GB2312"/>
          <w:highlight w:val="none"/>
        </w:rPr>
        <w:t>河道</w:t>
      </w:r>
      <w:r>
        <w:rPr>
          <w:rFonts w:hint="eastAsia" w:eastAsia="仿宋_GB2312"/>
          <w:highlight w:val="none"/>
          <w:lang w:val="en-US" w:eastAsia="zh-CN"/>
        </w:rPr>
        <w:t>按照内河湖水库管理范围线进行管控</w:t>
      </w:r>
      <w:r>
        <w:rPr>
          <w:rFonts w:eastAsia="仿宋_GB2312"/>
          <w:highlight w:val="none"/>
        </w:rPr>
        <w:t>，防洪堤的设计可以与防护绿廊相结合，以美化环境。定期</w:t>
      </w:r>
      <w:r>
        <w:rPr>
          <w:rFonts w:hint="eastAsia" w:eastAsia="仿宋_GB2312"/>
          <w:highlight w:val="none"/>
          <w:lang w:eastAsia="zh-CN"/>
        </w:rPr>
        <w:t>疏浚</w:t>
      </w:r>
      <w:r>
        <w:rPr>
          <w:rFonts w:eastAsia="仿宋_GB2312"/>
          <w:highlight w:val="none"/>
        </w:rPr>
        <w:t>河道，提高河道蓄洪和排涝能力。</w:t>
      </w:r>
    </w:p>
    <w:p>
      <w:pPr>
        <w:pStyle w:val="46"/>
        <w:spacing w:before="0" w:line="360" w:lineRule="auto"/>
        <w:ind w:left="0" w:right="108" w:firstLine="675" w:firstLineChars="200"/>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打造全域覆盖的消防体系</w:t>
      </w:r>
    </w:p>
    <w:p>
      <w:pPr>
        <w:pStyle w:val="13"/>
        <w:spacing w:before="0" w:beforeLines="0" w:line="360" w:lineRule="auto"/>
        <w:ind w:left="110" w:right="110" w:firstLine="640"/>
        <w:rPr>
          <w:rFonts w:hint="eastAsia" w:eastAsia="仿宋_GB2312"/>
          <w:highlight w:val="none"/>
          <w:lang w:val="en-US" w:eastAsia="zh-CN"/>
        </w:rPr>
      </w:pPr>
      <w:r>
        <w:rPr>
          <w:rFonts w:hint="eastAsia" w:eastAsia="仿宋_GB2312"/>
          <w:highlight w:val="none"/>
          <w:lang w:val="en-US" w:eastAsia="zh-CN"/>
        </w:rPr>
        <w:t>贯彻预防为主、防消结合的方针，构建“立体综合、覆盖全域”的消防安全体系和应急救援体系。提升区域消防安全和应急救援保障能力，加强消防供水、消防通信等消防公共基础设施建设，并依托消防部门成立综合应急救援队伍，提高公众消防安全素质，营造高质量的消防安全环境。</w:t>
      </w:r>
    </w:p>
    <w:p>
      <w:pPr>
        <w:pStyle w:val="3"/>
        <w:numPr>
          <w:ilvl w:val="0"/>
          <w:numId w:val="9"/>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57" w:name="_Toc31526"/>
      <w:r>
        <w:rPr>
          <w:rFonts w:hint="eastAsia" w:ascii="黑体" w:hAnsi="黑体" w:eastAsia="黑体"/>
          <w:color w:val="000000" w:themeColor="text1"/>
          <w:highlight w:val="none"/>
          <w:lang w:eastAsia="zh-CN"/>
          <w14:textFill>
            <w14:solidFill>
              <w14:schemeClr w14:val="tx1"/>
            </w14:solidFill>
          </w14:textFill>
        </w:rPr>
        <w:t>提升应对重大疫情风险能力</w:t>
      </w:r>
      <w:bookmarkEnd w:id="57"/>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eastAsia="zh-CN"/>
          <w14:textFill>
            <w14:solidFill>
              <w14:schemeClr w14:val="tx1"/>
            </w14:solidFill>
          </w14:textFill>
        </w:rPr>
        <w:t>完善</w:t>
      </w:r>
      <w:r>
        <w:rPr>
          <w:rFonts w:hint="eastAsia" w:eastAsia="仿宋_GB2312"/>
          <w:color w:val="000000" w:themeColor="text1"/>
          <w:w w:val="105"/>
          <w:sz w:val="32"/>
          <w:highlight w:val="none"/>
          <w14:textFill>
            <w14:solidFill>
              <w14:schemeClr w14:val="tx1"/>
            </w14:solidFill>
          </w14:textFill>
        </w:rPr>
        <w:t>疾病预防控制体系</w:t>
      </w:r>
    </w:p>
    <w:p>
      <w:pPr>
        <w:pStyle w:val="13"/>
        <w:spacing w:before="0" w:beforeLines="0" w:line="360" w:lineRule="auto"/>
        <w:ind w:left="0" w:leftChars="0" w:right="110" w:firstLine="681" w:firstLineChars="213"/>
        <w:rPr>
          <w:rFonts w:hint="eastAsia" w:eastAsia="仿宋_GB2312"/>
          <w:color w:val="000000" w:themeColor="text1"/>
          <w:highlight w:val="none"/>
          <w14:textFill>
            <w14:solidFill>
              <w14:schemeClr w14:val="tx1"/>
            </w14:solidFill>
          </w14:textFill>
        </w:rPr>
      </w:pPr>
      <w:r>
        <w:rPr>
          <w:rFonts w:hint="eastAsia" w:eastAsia="仿宋_GB2312"/>
          <w:highlight w:val="none"/>
        </w:rPr>
        <w:t>在现有社会治理、医疗和公共卫生设施布局基础上，依托</w:t>
      </w:r>
      <w:r>
        <w:rPr>
          <w:rFonts w:hint="eastAsia" w:eastAsia="仿宋_GB2312"/>
          <w:highlight w:val="none"/>
          <w:lang w:eastAsia="zh-CN"/>
        </w:rPr>
        <w:t>县城</w:t>
      </w:r>
      <w:r>
        <w:rPr>
          <w:rFonts w:hint="eastAsia" w:eastAsia="仿宋_GB2312"/>
          <w:highlight w:val="none"/>
        </w:rPr>
        <w:t>和社区网格化管理，参照防灾分区和行政管理单元，结合公共卫生风险和健康影响评估，科学划定防疫分区和防疫单元，分区分级分类统筹资源配置</w:t>
      </w:r>
      <w:r>
        <w:rPr>
          <w:rFonts w:hint="eastAsia" w:eastAsia="仿宋_GB2312"/>
          <w:color w:val="000000" w:themeColor="text1"/>
          <w:highlight w:val="none"/>
          <w14:textFill>
            <w14:solidFill>
              <w14:schemeClr w14:val="tx1"/>
            </w14:solidFill>
          </w14:textFill>
        </w:rPr>
        <w:t>。</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提升重大疫情救治能力</w:t>
      </w:r>
    </w:p>
    <w:p>
      <w:pPr>
        <w:pStyle w:val="13"/>
        <w:spacing w:before="0" w:beforeLines="0" w:line="360" w:lineRule="auto"/>
        <w:ind w:left="0" w:leftChars="0" w:right="110" w:firstLine="681" w:firstLineChars="213"/>
        <w:rPr>
          <w:rFonts w:hint="eastAsia" w:eastAsia="仿宋_GB2312"/>
          <w:highlight w:val="none"/>
          <w:lang w:eastAsia="zh-CN"/>
        </w:rPr>
      </w:pPr>
      <w:r>
        <w:rPr>
          <w:rFonts w:hint="eastAsia" w:eastAsia="仿宋_GB2312"/>
          <w:highlight w:val="none"/>
        </w:rPr>
        <w:t>夯实网底，提升基层卫生机构防治能力。按照人口规模，查漏补缺，补齐基层卫生机构缺口。通过加强标准化建设等方式，在加强防控能力前提下，提高基层卫生机构的救治能力。</w:t>
      </w:r>
    </w:p>
    <w:p>
      <w:pPr>
        <w:pStyle w:val="46"/>
        <w:spacing w:before="0" w:line="360" w:lineRule="auto"/>
        <w:ind w:left="0" w:right="108" w:firstLine="675" w:firstLineChars="200"/>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科学谋划重大“平急两用”设施布局</w:t>
      </w:r>
    </w:p>
    <w:p>
      <w:pPr>
        <w:pStyle w:val="13"/>
        <w:spacing w:before="0" w:beforeLines="0" w:line="360" w:lineRule="auto"/>
        <w:ind w:left="0" w:leftChars="0" w:right="110" w:firstLine="681" w:firstLineChars="213"/>
        <w:rPr>
          <w:rFonts w:hint="eastAsia" w:eastAsiaTheme="minorEastAsia"/>
          <w:highlight w:val="none"/>
          <w:lang w:eastAsia="zh-CN"/>
        </w:rPr>
      </w:pPr>
      <w:r>
        <w:rPr>
          <w:rFonts w:hint="eastAsia" w:eastAsia="仿宋_GB2312"/>
          <w:highlight w:val="none"/>
          <w:lang w:val="en-US" w:eastAsia="zh-CN"/>
        </w:rPr>
        <w:t>依托社区服务中心、广场、公园、文旅设施和党群服务中心组成平急应急空间。</w:t>
      </w:r>
      <w:r>
        <w:rPr>
          <w:rFonts w:eastAsia="仿宋_GB2312"/>
          <w:highlight w:val="none"/>
        </w:rPr>
        <w:t>根据不同响应等级、在不同空间范围内配置不同规模的设施，同时考虑设施的平灾结合性、个体可达性与共享性。</w:t>
      </w:r>
    </w:p>
    <w:p>
      <w:pPr>
        <w:pStyle w:val="46"/>
        <w:spacing w:before="0" w:line="360" w:lineRule="auto"/>
        <w:ind w:left="0" w:right="108" w:firstLine="675" w:firstLineChars="200"/>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完善大型公共设施平灾转换和平疫转换能力</w:t>
      </w:r>
    </w:p>
    <w:p>
      <w:pPr>
        <w:pStyle w:val="13"/>
        <w:spacing w:before="0" w:beforeLines="0" w:line="360" w:lineRule="auto"/>
        <w:ind w:left="0" w:leftChars="0" w:right="110" w:firstLine="681" w:firstLineChars="213"/>
        <w:rPr>
          <w:rFonts w:hint="eastAsia" w:eastAsia="PMingLiU"/>
          <w:color w:val="000000" w:themeColor="text1"/>
          <w:highlight w:val="none"/>
          <w14:textFill>
            <w14:solidFill>
              <w14:schemeClr w14:val="tx1"/>
            </w14:solidFill>
          </w14:textFill>
        </w:rPr>
      </w:pPr>
      <w:r>
        <w:rPr>
          <w:rFonts w:hint="eastAsia" w:eastAsia="仿宋_GB2312"/>
          <w:highlight w:val="none"/>
        </w:rPr>
        <w:t>做好集中隔离观察点和定点隔离治疗设施预留与场地预留，明确定点隔离治疗设施的平疫转换要求，完善电力电讯、给水排水、供热等市政设施接口安排，做好“冷启动”准备，避免被动选址对城市造成负面影响。</w:t>
      </w:r>
    </w:p>
    <w:p>
      <w:pPr>
        <w:spacing w:line="360" w:lineRule="auto"/>
        <w:ind w:firstLine="468" w:firstLineChars="213"/>
        <w:jc w:val="both"/>
        <w:rPr>
          <w:rFonts w:hint="eastAsia" w:eastAsia="PMingLiU"/>
          <w:color w:val="000000" w:themeColor="text1"/>
          <w:highlight w:val="none"/>
          <w14:textFill>
            <w14:solidFill>
              <w14:schemeClr w14:val="tx1"/>
            </w14:solidFill>
          </w14:textFill>
        </w:rPr>
        <w:sectPr>
          <w:pgSz w:w="11910" w:h="16850"/>
          <w:pgMar w:top="1360" w:right="1380" w:bottom="1640" w:left="1560" w:header="645" w:footer="1443" w:gutter="0"/>
          <w:cols w:space="720" w:num="1"/>
        </w:sectPr>
      </w:pPr>
    </w:p>
    <w:p>
      <w:pPr>
        <w:pStyle w:val="2"/>
        <w:spacing w:before="0" w:line="360" w:lineRule="auto"/>
        <w:ind w:left="0" w:firstLine="0"/>
        <w:jc w:val="center"/>
        <w:rPr>
          <w:rFonts w:hint="eastAsia" w:ascii="华光小标宋_CNKI" w:hAnsi="华光小标宋_CNKI" w:eastAsia="华光小标宋_CNKI"/>
          <w:spacing w:val="5"/>
          <w:highlight w:val="none"/>
          <w:lang w:eastAsia="zh-CN"/>
        </w:rPr>
      </w:pPr>
      <w:bookmarkStart w:id="58" w:name="_bookmark25"/>
      <w:bookmarkEnd w:id="58"/>
      <w:bookmarkStart w:id="59" w:name="_Toc19585"/>
      <w:r>
        <w:rPr>
          <w:rFonts w:hint="eastAsia" w:ascii="华光小标宋_CNKI" w:hAnsi="华光小标宋_CNKI" w:eastAsia="华光小标宋_CNKI"/>
          <w:spacing w:val="5"/>
          <w:highlight w:val="none"/>
        </w:rPr>
        <w:t>传承历史文化</w:t>
      </w:r>
      <w:r>
        <w:rPr>
          <w:rFonts w:ascii="华光小标宋_CNKI" w:hAnsi="华光小标宋_CNKI" w:eastAsia="华光小标宋_CNKI"/>
          <w:spacing w:val="5"/>
          <w:highlight w:val="none"/>
        </w:rPr>
        <w:t>，塑造特色风貌</w:t>
      </w:r>
      <w:bookmarkEnd w:id="59"/>
    </w:p>
    <w:p>
      <w:pPr>
        <w:pStyle w:val="13"/>
        <w:spacing w:before="0" w:beforeLines="0" w:line="360" w:lineRule="auto"/>
        <w:ind w:left="0" w:leftChars="0" w:right="110" w:firstLine="681" w:firstLineChars="213"/>
        <w:rPr>
          <w:rFonts w:hint="eastAsia" w:eastAsia="PMingLiU" w:cs="宋体"/>
          <w:highlight w:val="none"/>
          <w:lang w:eastAsia="zh-CN"/>
        </w:rPr>
      </w:pPr>
      <w:r>
        <w:rPr>
          <w:rFonts w:hint="eastAsia" w:eastAsia="仿宋_GB2312"/>
          <w:highlight w:val="none"/>
        </w:rPr>
        <w:t>加大</w:t>
      </w:r>
      <w:r>
        <w:rPr>
          <w:rFonts w:hint="eastAsia" w:eastAsia="仿宋_GB2312"/>
          <w:highlight w:val="none"/>
          <w:lang w:eastAsia="zh-CN"/>
        </w:rPr>
        <w:t>龙城镇</w:t>
      </w:r>
      <w:r>
        <w:rPr>
          <w:rFonts w:hint="eastAsia" w:eastAsia="仿宋_GB2312"/>
          <w:highlight w:val="none"/>
        </w:rPr>
        <w:t>文物和文化遗产保护力度，加强历史文化保护传承，构建覆盖全域的历史文化保护体系。</w:t>
      </w:r>
    </w:p>
    <w:p>
      <w:pPr>
        <w:pStyle w:val="3"/>
        <w:numPr>
          <w:ilvl w:val="0"/>
          <w:numId w:val="10"/>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60" w:name="_Toc28314"/>
      <w:r>
        <w:rPr>
          <w:rFonts w:hint="eastAsia" w:ascii="黑体" w:hAnsi="黑体" w:eastAsia="黑体"/>
          <w:color w:val="000000" w:themeColor="text1"/>
          <w:highlight w:val="none"/>
          <w:lang w:eastAsia="zh-CN"/>
          <w14:textFill>
            <w14:solidFill>
              <w14:schemeClr w14:val="tx1"/>
            </w14:solidFill>
          </w14:textFill>
        </w:rPr>
        <w:t>保护利用历史文化遗产</w:t>
      </w:r>
      <w:bookmarkEnd w:id="60"/>
    </w:p>
    <w:p>
      <w:pPr>
        <w:pStyle w:val="46"/>
        <w:spacing w:before="0" w:line="360" w:lineRule="auto"/>
        <w:ind w:left="0" w:right="108" w:firstLine="675" w:firstLineChars="200"/>
        <w:rPr>
          <w:rFonts w:hint="eastAsia" w:eastAsia="仿宋_GB2312"/>
          <w:color w:val="000000" w:themeColor="text1"/>
          <w:w w:val="105"/>
          <w:sz w:val="32"/>
          <w:highlight w:val="none"/>
          <w:lang w:val="en-US" w:eastAsia="zh-CN"/>
          <w14:textFill>
            <w14:solidFill>
              <w14:schemeClr w14:val="tx1"/>
            </w14:solidFill>
          </w14:textFill>
        </w:rPr>
      </w:pPr>
      <w:bookmarkStart w:id="61" w:name="_Hlk171686827"/>
      <w:r>
        <w:rPr>
          <w:rFonts w:hint="eastAsia" w:eastAsia="仿宋_GB2312"/>
          <w:color w:val="000000" w:themeColor="text1"/>
          <w:w w:val="105"/>
          <w:sz w:val="32"/>
          <w:highlight w:val="none"/>
          <w:lang w:val="en-US" w:eastAsia="zh-CN"/>
          <w14:textFill>
            <w14:solidFill>
              <w14:schemeClr w14:val="tx1"/>
            </w14:solidFill>
          </w14:textFill>
        </w:rPr>
        <w:t>完善城乡历史文化保护传承体系</w:t>
      </w:r>
    </w:p>
    <w:p>
      <w:pPr>
        <w:pStyle w:val="13"/>
        <w:spacing w:before="0" w:beforeLines="0" w:line="360" w:lineRule="auto"/>
        <w:ind w:left="0" w:leftChars="0" w:right="110" w:firstLine="681" w:firstLineChars="213"/>
        <w:rPr>
          <w:rFonts w:hint="eastAsia" w:eastAsia="仿宋_GB2312"/>
          <w:highlight w:val="none"/>
        </w:rPr>
      </w:pPr>
      <w:r>
        <w:rPr>
          <w:rFonts w:hint="eastAsia" w:eastAsia="仿宋_GB2312"/>
          <w:highlight w:val="none"/>
        </w:rPr>
        <w:t>尊重历史文化要素分布规律，全面保护镇域文物保护单位、历史建筑等历史文化遗产，建立各类历史文化保护对象全域普查、定期评估机制，加快认定公布保护对象，编制城乡历史文化保护传承方案和管理办法，划定保护范围，明确建设控制要求。构建以文物保护单位、历史建筑、一般文物保护点为核心的历史文化保护传承体系，系统保护和活化利用好历史文化遗产、自然遗产和丰富多样的景观资源，保障文化产业发展空间，在保证历史文化遗存的真实性和完整性</w:t>
      </w:r>
      <w:r>
        <w:rPr>
          <w:rFonts w:hint="eastAsia" w:eastAsia="仿宋_GB2312"/>
          <w:highlight w:val="none"/>
          <w:lang w:eastAsia="zh-CN"/>
        </w:rPr>
        <w:t>的前提下</w:t>
      </w:r>
      <w:r>
        <w:rPr>
          <w:rFonts w:hint="eastAsia" w:eastAsia="仿宋_GB2312"/>
          <w:highlight w:val="none"/>
        </w:rPr>
        <w:t>适当发展文化旅游功能。</w:t>
      </w:r>
    </w:p>
    <w:bookmarkEnd w:id="61"/>
    <w:p>
      <w:pPr>
        <w:pStyle w:val="46"/>
        <w:spacing w:before="0" w:line="360" w:lineRule="auto"/>
        <w:ind w:left="0" w:right="108" w:firstLine="675" w:firstLineChars="200"/>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划定历史文化保护线</w:t>
      </w:r>
    </w:p>
    <w:p>
      <w:pPr>
        <w:pStyle w:val="13"/>
        <w:spacing w:before="120" w:line="360" w:lineRule="auto"/>
        <w:ind w:left="110" w:right="110" w:firstLine="681" w:firstLineChars="213"/>
        <w:rPr>
          <w:rFonts w:hint="eastAsia" w:eastAsia="仿宋_GB2312"/>
          <w:highlight w:val="none"/>
          <w:lang w:val="en-US" w:eastAsia="zh-CN"/>
        </w:rPr>
      </w:pPr>
      <w:r>
        <w:rPr>
          <w:rFonts w:hint="eastAsia" w:eastAsia="仿宋_GB2312"/>
          <w:highlight w:val="none"/>
          <w:lang w:val="en-US"/>
        </w:rPr>
        <w:t>目前</w:t>
      </w:r>
      <w:r>
        <w:rPr>
          <w:rFonts w:hint="eastAsia" w:eastAsia="仿宋_GB2312"/>
          <w:highlight w:val="none"/>
          <w:lang w:val="en-US" w:eastAsia="zh-CN"/>
        </w:rPr>
        <w:t>龙城镇</w:t>
      </w:r>
      <w:r>
        <w:rPr>
          <w:rFonts w:hint="eastAsia" w:eastAsia="仿宋_GB2312"/>
          <w:highlight w:val="none"/>
          <w:lang w:val="en-US"/>
        </w:rPr>
        <w:t>已公布省级文物保护单位1处、市级文物保护单位1处、二级历史建筑1处。夯实历史文化遗产保护空间基础，将已编制保护规划且划定保护范围的省级文物保护单位，及历史建筑划入历史文化保护线。规划期限内公布且划定保护范围的文物保护单位、历史建筑，逐步纳入历史文化保护线。落实保护责任主体，明确管理保护要求，对各类保护对象进行定期体检，同时对历史名录进行长期动态维护，对保护范围和建设控制地带进行严格管理。</w:t>
      </w:r>
    </w:p>
    <w:p>
      <w:pPr>
        <w:pStyle w:val="3"/>
        <w:numPr>
          <w:ilvl w:val="0"/>
          <w:numId w:val="10"/>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62" w:name="_Toc166340631"/>
      <w:bookmarkStart w:id="63" w:name="_Hlk171686868"/>
      <w:bookmarkStart w:id="64" w:name="_Toc13379"/>
      <w:r>
        <w:rPr>
          <w:rFonts w:hint="eastAsia" w:ascii="黑体" w:hAnsi="黑体" w:eastAsia="黑体"/>
          <w:color w:val="000000" w:themeColor="text1"/>
          <w:highlight w:val="none"/>
          <w:lang w:eastAsia="zh-CN"/>
          <w14:textFill>
            <w14:solidFill>
              <w14:schemeClr w14:val="tx1"/>
            </w14:solidFill>
          </w14:textFill>
        </w:rPr>
        <w:t>塑造</w:t>
      </w:r>
      <w:bookmarkEnd w:id="62"/>
      <w:r>
        <w:rPr>
          <w:rFonts w:hint="eastAsia" w:ascii="黑体" w:hAnsi="黑体" w:eastAsia="黑体"/>
          <w:color w:val="000000" w:themeColor="text1"/>
          <w:highlight w:val="none"/>
          <w:lang w:eastAsia="zh-CN"/>
          <w14:textFill>
            <w14:solidFill>
              <w14:schemeClr w14:val="tx1"/>
            </w14:solidFill>
          </w14:textFill>
        </w:rPr>
        <w:t>自然生态魅力城镇</w:t>
      </w:r>
      <w:bookmarkEnd w:id="63"/>
      <w:bookmarkEnd w:id="64"/>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塑造城乡特色风貌</w:t>
      </w:r>
    </w:p>
    <w:p>
      <w:pPr>
        <w:pStyle w:val="13"/>
        <w:spacing w:before="0" w:beforeLines="0" w:line="360" w:lineRule="auto"/>
        <w:ind w:left="0" w:leftChars="0" w:right="110" w:firstLine="681" w:firstLineChars="213"/>
        <w:rPr>
          <w:rFonts w:hint="eastAsia" w:eastAsiaTheme="minorEastAsia"/>
          <w:highlight w:val="none"/>
          <w:lang w:eastAsia="zh-CN"/>
        </w:rPr>
      </w:pPr>
      <w:r>
        <w:rPr>
          <w:rFonts w:hint="eastAsia" w:eastAsia="仿宋_GB2312"/>
          <w:highlight w:val="none"/>
        </w:rPr>
        <w:t>结合</w:t>
      </w:r>
      <w:r>
        <w:rPr>
          <w:rFonts w:hint="eastAsia" w:eastAsia="仿宋_GB2312"/>
          <w:highlight w:val="none"/>
          <w:lang w:val="en-US" w:eastAsia="zh-CN"/>
        </w:rPr>
        <w:t>龙城</w:t>
      </w:r>
      <w:r>
        <w:rPr>
          <w:rFonts w:hint="eastAsia" w:eastAsia="仿宋_GB2312"/>
          <w:highlight w:val="none"/>
        </w:rPr>
        <w:t>风貌特征，挖掘特色产业发展与自身资源本底，依托自然本底要素，构筑蓝绿生态骨架，强化自然生态格局，构建历史风貌区</w:t>
      </w:r>
      <w:r>
        <w:rPr>
          <w:rFonts w:hint="eastAsia" w:eastAsia="仿宋_GB2312"/>
          <w:highlight w:val="none"/>
          <w:lang w:eastAsia="zh-CN"/>
        </w:rPr>
        <w:t>、龙城综合风貌区、姬村产业风貌区、产城创新风貌区</w:t>
      </w:r>
      <w:r>
        <w:rPr>
          <w:rFonts w:hint="eastAsia" w:eastAsia="仿宋_GB2312"/>
          <w:highlight w:val="none"/>
          <w:lang w:val="en-US" w:eastAsia="zh-CN"/>
        </w:rPr>
        <w:t>和田园风貌区相融合的具有“汉风古韵、多彩萧城”特色的城镇风貌</w:t>
      </w:r>
      <w:r>
        <w:rPr>
          <w:rFonts w:hint="eastAsia" w:eastAsia="仿宋_GB2312"/>
          <w:highlight w:val="none"/>
        </w:rPr>
        <w:t>。</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保护自然田园格局</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hint="eastAsia" w:eastAsia="仿宋_GB2312"/>
          <w:highlight w:val="none"/>
        </w:rPr>
        <w:t>强化水网交错、林田交织的自然生态格局，塑造多样化的自然景观特色。依托区域生态格局划定生态廊道与景观轴线。梳理和构建蓝绿资源、生态廊道、绿地系统和开放空间组成的城市生态网络，严格保护多样化的生态环境</w:t>
      </w:r>
      <w:r>
        <w:rPr>
          <w:rFonts w:hint="eastAsia" w:eastAsia="仿宋_GB2312"/>
          <w:color w:val="000000" w:themeColor="text1"/>
          <w:highlight w:val="none"/>
          <w14:textFill>
            <w14:solidFill>
              <w14:schemeClr w14:val="tx1"/>
            </w14:solidFill>
          </w14:textFill>
        </w:rPr>
        <w:t>。</w:t>
      </w:r>
    </w:p>
    <w:p>
      <w:pPr>
        <w:pStyle w:val="3"/>
        <w:numPr>
          <w:ilvl w:val="0"/>
          <w:numId w:val="10"/>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65" w:name="_Toc21530"/>
      <w:r>
        <w:rPr>
          <w:rFonts w:hint="eastAsia" w:ascii="黑体" w:hAnsi="黑体" w:eastAsia="黑体"/>
          <w:color w:val="000000" w:themeColor="text1"/>
          <w:highlight w:val="none"/>
          <w:lang w:eastAsia="zh-CN"/>
          <w14:textFill>
            <w14:solidFill>
              <w14:schemeClr w14:val="tx1"/>
            </w14:solidFill>
          </w14:textFill>
        </w:rPr>
        <w:t>凸显田园风光镇村特色</w:t>
      </w:r>
      <w:bookmarkEnd w:id="65"/>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强化镇村高度管控</w:t>
      </w:r>
    </w:p>
    <w:p>
      <w:pPr>
        <w:pStyle w:val="13"/>
        <w:spacing w:before="0" w:beforeLines="0" w:line="360" w:lineRule="auto"/>
        <w:ind w:left="0" w:leftChars="0" w:right="110" w:firstLine="681" w:firstLineChars="213"/>
        <w:rPr>
          <w:rFonts w:hint="eastAsia" w:eastAsia="仿宋_GB2312"/>
          <w:color w:val="000000" w:themeColor="text1"/>
          <w:highlight w:val="none"/>
          <w14:textFill>
            <w14:solidFill>
              <w14:schemeClr w14:val="tx1"/>
            </w14:solidFill>
          </w14:textFill>
        </w:rPr>
      </w:pPr>
      <w:r>
        <w:rPr>
          <w:rFonts w:hint="eastAsia" w:eastAsia="仿宋_GB2312"/>
          <w:highlight w:val="none"/>
        </w:rPr>
        <w:t>统筹考虑城乡空间管控的刚性要求，协调好新建建筑与生态环境、现状建筑的和谐关系，确保生态景观、人文景观视线通畅，科学引导高层建筑集中布局。</w:t>
      </w:r>
      <w:r>
        <w:rPr>
          <w:rFonts w:hint="eastAsia" w:eastAsia="仿宋_GB2312"/>
          <w:highlight w:val="none"/>
          <w:lang w:eastAsia="zh-CN"/>
        </w:rPr>
        <w:t>县城</w:t>
      </w:r>
      <w:r>
        <w:rPr>
          <w:rFonts w:hint="eastAsia" w:eastAsia="仿宋_GB2312"/>
          <w:highlight w:val="none"/>
        </w:rPr>
        <w:t>范围内建筑高度控制在</w:t>
      </w:r>
      <w:r>
        <w:rPr>
          <w:rFonts w:eastAsia="仿宋_GB2312"/>
          <w:highlight w:val="none"/>
        </w:rPr>
        <w:t>80米以内，结合公共空间、骨架轴线、交通站点等重点区域，引导高层建筑集中布局，重要节点建筑高度结合城市设计方案具体研究确定；</w:t>
      </w:r>
      <w:r>
        <w:rPr>
          <w:rFonts w:hint="eastAsia" w:eastAsia="仿宋_GB2312"/>
          <w:highlight w:val="none"/>
          <w:lang w:eastAsia="zh-CN"/>
        </w:rPr>
        <w:t>县城</w:t>
      </w:r>
      <w:r>
        <w:rPr>
          <w:rFonts w:eastAsia="仿宋_GB2312"/>
          <w:highlight w:val="none"/>
        </w:rPr>
        <w:t>外的村庄建筑高度控制在12米以内</w:t>
      </w:r>
      <w:r>
        <w:rPr>
          <w:rFonts w:hint="eastAsia" w:eastAsia="仿宋_GB2312"/>
          <w:color w:val="000000" w:themeColor="text1"/>
          <w:highlight w:val="none"/>
          <w14:textFill>
            <w14:solidFill>
              <w14:schemeClr w14:val="tx1"/>
            </w14:solidFill>
          </w14:textFill>
        </w:rPr>
        <w:t>。</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保护乡村田园风光</w:t>
      </w:r>
    </w:p>
    <w:p>
      <w:pPr>
        <w:pStyle w:val="13"/>
        <w:spacing w:before="0" w:beforeLines="0" w:line="360" w:lineRule="auto"/>
        <w:ind w:left="0" w:leftChars="0" w:right="110" w:firstLine="681" w:firstLineChars="213"/>
        <w:jc w:val="left"/>
        <w:rPr>
          <w:rFonts w:hint="eastAsia" w:eastAsia="仿宋_GB2312"/>
          <w:highlight w:val="none"/>
        </w:rPr>
      </w:pPr>
      <w:bookmarkStart w:id="66" w:name="_Hlk152692932"/>
      <w:r>
        <w:rPr>
          <w:rFonts w:hint="eastAsia" w:eastAsia="仿宋_GB2312"/>
          <w:highlight w:val="none"/>
        </w:rPr>
        <w:t>保护村庄聚落特征，尊重“水林田湖草渠”交融的村庄格局，融合新时代精神的同时注重历史氛围的营造，促进村庄建设与历史文化、生态本底相融合，塑造</w:t>
      </w:r>
      <w:r>
        <w:rPr>
          <w:rFonts w:hint="eastAsia" w:eastAsia="仿宋_GB2312"/>
          <w:highlight w:val="none"/>
          <w:lang w:eastAsia="zh-CN"/>
        </w:rPr>
        <w:t>龙城镇</w:t>
      </w:r>
      <w:r>
        <w:rPr>
          <w:rFonts w:hint="eastAsia" w:eastAsia="仿宋_GB2312"/>
          <w:highlight w:val="none"/>
        </w:rPr>
        <w:t>整体乡村特色风貌。结合乡村地域文化本底与现代农业特色，营造与生态环境及传统文化内涵相得益彰的乡村田园生活风光，体现皖北韵味。</w:t>
      </w:r>
    </w:p>
    <w:p>
      <w:pPr>
        <w:rPr>
          <w:rFonts w:hint="eastAsia" w:eastAsia="仿宋_GB2312"/>
          <w:highlight w:val="none"/>
        </w:rPr>
      </w:pPr>
    </w:p>
    <w:p>
      <w:pPr>
        <w:pStyle w:val="13"/>
        <w:spacing w:before="0" w:beforeLines="0" w:line="360" w:lineRule="auto"/>
        <w:ind w:left="0" w:leftChars="0" w:right="110" w:firstLine="681" w:firstLineChars="213"/>
        <w:jc w:val="left"/>
        <w:rPr>
          <w:rFonts w:hint="eastAsia" w:eastAsia="PMingLiU"/>
          <w:color w:val="000000" w:themeColor="text1"/>
          <w:highlight w:val="none"/>
          <w:lang w:eastAsia="zh-CN"/>
          <w14:textFill>
            <w14:solidFill>
              <w14:schemeClr w14:val="tx1"/>
            </w14:solidFill>
          </w14:textFill>
        </w:rPr>
        <w:sectPr>
          <w:pgSz w:w="11906" w:h="16838"/>
          <w:pgMar w:top="1440" w:right="1800" w:bottom="1440" w:left="1800" w:header="720" w:footer="720" w:gutter="0"/>
          <w:cols w:space="720" w:num="1"/>
          <w:docGrid w:linePitch="299" w:charSpace="0"/>
        </w:sectPr>
      </w:pPr>
    </w:p>
    <w:bookmarkEnd w:id="66"/>
    <w:p>
      <w:pPr>
        <w:pStyle w:val="2"/>
        <w:spacing w:before="0" w:line="360" w:lineRule="auto"/>
        <w:ind w:left="0" w:firstLine="0"/>
        <w:jc w:val="center"/>
        <w:rPr>
          <w:rFonts w:hint="eastAsia" w:ascii="华光小标宋_CNKI" w:hAnsi="华光小标宋_CNKI" w:eastAsia="PMingLiU"/>
          <w:color w:val="000000" w:themeColor="text1"/>
          <w:spacing w:val="5"/>
          <w:highlight w:val="none"/>
          <w14:textFill>
            <w14:solidFill>
              <w14:schemeClr w14:val="tx1"/>
            </w14:solidFill>
          </w14:textFill>
        </w:rPr>
      </w:pPr>
      <w:bookmarkStart w:id="67" w:name="_bookmark31"/>
      <w:bookmarkEnd w:id="67"/>
      <w:bookmarkStart w:id="68" w:name="_Toc1044"/>
      <w:r>
        <w:rPr>
          <w:rFonts w:hint="eastAsia" w:ascii="华光小标宋_CNKI" w:hAnsi="华光小标宋_CNKI" w:eastAsia="华光小标宋_CNKI"/>
          <w:color w:val="000000" w:themeColor="text1"/>
          <w:spacing w:val="5"/>
          <w:highlight w:val="none"/>
          <w14:textFill>
            <w14:solidFill>
              <w14:schemeClr w14:val="tx1"/>
            </w14:solidFill>
          </w14:textFill>
        </w:rPr>
        <w:t>优化</w:t>
      </w:r>
      <w:r>
        <w:rPr>
          <w:rFonts w:hint="eastAsia" w:ascii="华光小标宋_CNKI" w:hAnsi="华光小标宋_CNKI" w:eastAsia="华光小标宋_CNKI"/>
          <w:color w:val="000000" w:themeColor="text1"/>
          <w:spacing w:val="5"/>
          <w:highlight w:val="none"/>
          <w:lang w:eastAsia="zh-CN"/>
          <w14:textFill>
            <w14:solidFill>
              <w14:schemeClr w14:val="tx1"/>
            </w14:solidFill>
          </w14:textFill>
        </w:rPr>
        <w:t>县城</w:t>
      </w:r>
      <w:r>
        <w:rPr>
          <w:rFonts w:ascii="华光小标宋_CNKI" w:hAnsi="华光小标宋_CNKI" w:eastAsia="华光小标宋_CNKI"/>
          <w:color w:val="000000" w:themeColor="text1"/>
          <w:spacing w:val="5"/>
          <w:highlight w:val="none"/>
          <w14:textFill>
            <w14:solidFill>
              <w14:schemeClr w14:val="tx1"/>
            </w14:solidFill>
          </w14:textFill>
        </w:rPr>
        <w:t>空间布局，提升乡镇宜居品质</w:t>
      </w:r>
      <w:bookmarkEnd w:id="68"/>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14:textFill>
            <w14:solidFill>
              <w14:schemeClr w14:val="tx1"/>
            </w14:solidFill>
          </w14:textFill>
        </w:rPr>
        <w:t>传承</w:t>
      </w:r>
      <w:r>
        <w:rPr>
          <w:rFonts w:hint="eastAsia" w:eastAsia="仿宋_GB2312"/>
          <w:color w:val="000000" w:themeColor="text1"/>
          <w:highlight w:val="none"/>
          <w:lang w:val="en-US" w:eastAsia="zh-CN"/>
          <w14:textFill>
            <w14:solidFill>
              <w14:schemeClr w14:val="tx1"/>
            </w14:solidFill>
          </w14:textFill>
        </w:rPr>
        <w:t>山水交融</w:t>
      </w:r>
      <w:r>
        <w:rPr>
          <w:rFonts w:hint="eastAsia" w:eastAsia="仿宋_GB2312"/>
          <w:color w:val="000000" w:themeColor="text1"/>
          <w:highlight w:val="none"/>
          <w14:textFill>
            <w14:solidFill>
              <w14:schemeClr w14:val="tx1"/>
            </w14:solidFill>
          </w14:textFill>
        </w:rPr>
        <w:t>、蓝绿交织的空间形态，彰显以水为魂、以绿为核的空间特色，构建“多中心、组团式、网络化”的空间结构。面向新时期人民对美好生活的向往，优化城市用地布局，完善公共服务设施配置，优化市政基础设施布局，加强</w:t>
      </w:r>
      <w:r>
        <w:rPr>
          <w:rFonts w:hint="eastAsia" w:eastAsia="仿宋_GB2312"/>
          <w:color w:val="000000" w:themeColor="text1"/>
          <w:highlight w:val="none"/>
          <w:lang w:eastAsia="zh-CN"/>
          <w14:textFill>
            <w14:solidFill>
              <w14:schemeClr w14:val="tx1"/>
            </w14:solidFill>
          </w14:textFill>
        </w:rPr>
        <w:t>县城</w:t>
      </w:r>
      <w:r>
        <w:rPr>
          <w:rFonts w:hint="eastAsia" w:eastAsia="仿宋_GB2312"/>
          <w:color w:val="000000" w:themeColor="text1"/>
          <w:highlight w:val="none"/>
          <w14:textFill>
            <w14:solidFill>
              <w14:schemeClr w14:val="tx1"/>
            </w14:solidFill>
          </w14:textFill>
        </w:rPr>
        <w:t>空间形态管控，推动区域协同发展。</w:t>
      </w:r>
    </w:p>
    <w:p>
      <w:pPr>
        <w:pStyle w:val="3"/>
        <w:numPr>
          <w:ilvl w:val="0"/>
          <w:numId w:val="11"/>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69" w:name="_bookmark32"/>
      <w:bookmarkEnd w:id="69"/>
      <w:bookmarkStart w:id="70" w:name="_Toc24531"/>
      <w:r>
        <w:rPr>
          <w:rFonts w:hint="eastAsia" w:ascii="黑体" w:hAnsi="黑体" w:eastAsia="黑体"/>
          <w:color w:val="000000" w:themeColor="text1"/>
          <w:highlight w:val="none"/>
          <w:lang w:eastAsia="zh-CN"/>
          <w14:textFill>
            <w14:solidFill>
              <w14:schemeClr w14:val="tx1"/>
            </w14:solidFill>
          </w14:textFill>
        </w:rPr>
        <w:t>优化县城用地布局</w:t>
      </w:r>
      <w:bookmarkEnd w:id="70"/>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构建“一</w:t>
      </w:r>
      <w:r>
        <w:rPr>
          <w:rFonts w:hint="eastAsia" w:eastAsia="仿宋_GB2312"/>
          <w:color w:val="000000" w:themeColor="text1"/>
          <w:w w:val="105"/>
          <w:sz w:val="32"/>
          <w:highlight w:val="none"/>
          <w:lang w:val="en-US" w:eastAsia="zh-CN"/>
          <w14:textFill>
            <w14:solidFill>
              <w14:schemeClr w14:val="tx1"/>
            </w14:solidFill>
          </w14:textFill>
        </w:rPr>
        <w:t>山一城两河三区</w:t>
      </w:r>
      <w:r>
        <w:rPr>
          <w:rFonts w:hint="eastAsia" w:eastAsia="仿宋_GB2312"/>
          <w:color w:val="000000" w:themeColor="text1"/>
          <w:w w:val="105"/>
          <w:sz w:val="32"/>
          <w:highlight w:val="none"/>
          <w14:textFill>
            <w14:solidFill>
              <w14:schemeClr w14:val="tx1"/>
            </w14:solidFill>
          </w14:textFill>
        </w:rPr>
        <w:t>”的空间格局</w:t>
      </w:r>
    </w:p>
    <w:p>
      <w:pPr>
        <w:pStyle w:val="13"/>
        <w:spacing w:before="0" w:beforeLines="0" w:line="360" w:lineRule="auto"/>
        <w:ind w:left="0" w:leftChars="0" w:right="110" w:firstLine="681" w:firstLineChars="213"/>
        <w:rPr>
          <w:rFonts w:hint="eastAsia" w:eastAsia="PMingLiU"/>
          <w:color w:val="000000" w:themeColor="text1"/>
          <w:highlight w:val="none"/>
          <w14:textFill>
            <w14:solidFill>
              <w14:schemeClr w14:val="tx1"/>
            </w14:solidFill>
          </w14:textFill>
        </w:rPr>
      </w:pPr>
      <w:r>
        <w:rPr>
          <w:rFonts w:hint="eastAsia" w:eastAsia="仿宋_GB2312"/>
          <w:color w:val="000000" w:themeColor="text1"/>
          <w:highlight w:val="none"/>
          <w14:textFill>
            <w14:solidFill>
              <w14:schemeClr w14:val="tx1"/>
            </w14:solidFill>
          </w14:textFill>
        </w:rPr>
        <w:t>推进</w:t>
      </w:r>
      <w:r>
        <w:rPr>
          <w:rFonts w:hint="eastAsia" w:eastAsia="仿宋_GB2312"/>
          <w:color w:val="000000" w:themeColor="text1"/>
          <w:highlight w:val="none"/>
          <w:lang w:eastAsia="zh-CN"/>
          <w14:textFill>
            <w14:solidFill>
              <w14:schemeClr w14:val="tx1"/>
            </w14:solidFill>
          </w14:textFill>
        </w:rPr>
        <w:t>龙城镇</w:t>
      </w:r>
      <w:r>
        <w:rPr>
          <w:rFonts w:hint="eastAsia" w:eastAsia="仿宋_GB2312"/>
          <w:color w:val="000000" w:themeColor="text1"/>
          <w:highlight w:val="none"/>
          <w:lang w:val="en-US" w:eastAsia="zh-CN"/>
          <w14:textFill>
            <w14:solidFill>
              <w14:schemeClr w14:val="tx1"/>
            </w14:solidFill>
          </w14:textFill>
        </w:rPr>
        <w:t>中心优化，组团拓展</w:t>
      </w:r>
      <w:r>
        <w:rPr>
          <w:rFonts w:hint="eastAsia" w:eastAsia="仿宋_GB2312"/>
          <w:color w:val="000000" w:themeColor="text1"/>
          <w:highlight w:val="none"/>
          <w14:textFill>
            <w14:solidFill>
              <w14:schemeClr w14:val="tx1"/>
            </w14:solidFill>
          </w14:textFill>
        </w:rPr>
        <w:t>，构建“</w:t>
      </w:r>
      <w:r>
        <w:rPr>
          <w:rFonts w:hint="eastAsia" w:eastAsia="仿宋_GB2312"/>
          <w:color w:val="000000" w:themeColor="text1"/>
          <w:w w:val="105"/>
          <w:sz w:val="32"/>
          <w:highlight w:val="none"/>
          <w14:textFill>
            <w14:solidFill>
              <w14:schemeClr w14:val="tx1"/>
            </w14:solidFill>
          </w14:textFill>
        </w:rPr>
        <w:t>一</w:t>
      </w:r>
      <w:r>
        <w:rPr>
          <w:rFonts w:hint="eastAsia" w:eastAsia="仿宋_GB2312"/>
          <w:color w:val="000000" w:themeColor="text1"/>
          <w:w w:val="105"/>
          <w:sz w:val="32"/>
          <w:highlight w:val="none"/>
          <w:lang w:val="en-US" w:eastAsia="zh-CN"/>
          <w14:textFill>
            <w14:solidFill>
              <w14:schemeClr w14:val="tx1"/>
            </w14:solidFill>
          </w14:textFill>
        </w:rPr>
        <w:t>山一城两河三区</w:t>
      </w:r>
      <w:r>
        <w:rPr>
          <w:rFonts w:hint="eastAsia" w:eastAsia="仿宋_GB2312"/>
          <w:color w:val="000000" w:themeColor="text1"/>
          <w:highlight w:val="none"/>
          <w14:textFill>
            <w14:solidFill>
              <w14:schemeClr w14:val="tx1"/>
            </w14:solidFill>
          </w14:textFill>
        </w:rPr>
        <w:t>”的城镇空间结构。</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eastAsia="仿宋_GB2312"/>
          <w:color w:val="000000" w:themeColor="text1"/>
          <w:w w:val="105"/>
          <w:sz w:val="32"/>
          <w:highlight w:val="none"/>
          <w14:textFill>
            <w14:solidFill>
              <w14:schemeClr w14:val="tx1"/>
            </w14:solidFill>
          </w14:textFill>
        </w:rPr>
        <w:t>优化</w:t>
      </w:r>
      <w:r>
        <w:rPr>
          <w:rFonts w:hint="eastAsia" w:eastAsia="仿宋_GB2312"/>
          <w:color w:val="000000" w:themeColor="text1"/>
          <w:w w:val="105"/>
          <w:sz w:val="32"/>
          <w:highlight w:val="none"/>
          <w:lang w:eastAsia="zh-CN"/>
          <w14:textFill>
            <w14:solidFill>
              <w14:schemeClr w14:val="tx1"/>
            </w14:solidFill>
          </w14:textFill>
        </w:rPr>
        <w:t>县城</w:t>
      </w:r>
      <w:r>
        <w:rPr>
          <w:rFonts w:eastAsia="仿宋_GB2312"/>
          <w:color w:val="000000" w:themeColor="text1"/>
          <w:w w:val="105"/>
          <w:sz w:val="32"/>
          <w:highlight w:val="none"/>
          <w14:textFill>
            <w14:solidFill>
              <w14:schemeClr w14:val="tx1"/>
            </w14:solidFill>
          </w14:textFill>
        </w:rPr>
        <w:t>组团布局</w:t>
      </w:r>
    </w:p>
    <w:p>
      <w:pPr>
        <w:pStyle w:val="13"/>
        <w:spacing w:before="0" w:beforeLines="0" w:line="360" w:lineRule="auto"/>
        <w:ind w:left="0" w:leftChars="0" w:right="110" w:firstLine="681" w:firstLineChars="213"/>
        <w:rPr>
          <w:rFonts w:hint="eastAsia" w:eastAsia="仿宋_GB2312"/>
          <w:color w:val="000000" w:themeColor="text1"/>
          <w:highlight w:val="none"/>
          <w14:textFill>
            <w14:solidFill>
              <w14:schemeClr w14:val="tx1"/>
            </w14:solidFill>
          </w14:textFill>
        </w:rPr>
      </w:pPr>
      <w:r>
        <w:rPr>
          <w:rFonts w:hint="eastAsia" w:eastAsia="仿宋_GB2312"/>
          <w:color w:val="000000" w:themeColor="text1"/>
          <w:highlight w:val="none"/>
          <w14:textFill>
            <w14:solidFill>
              <w14:schemeClr w14:val="tx1"/>
            </w14:solidFill>
          </w14:textFill>
        </w:rPr>
        <w:t>合理确定组团规模，将</w:t>
      </w:r>
      <w:r>
        <w:rPr>
          <w:rFonts w:hint="eastAsia" w:eastAsia="仿宋_GB2312"/>
          <w:color w:val="000000" w:themeColor="text1"/>
          <w:highlight w:val="none"/>
          <w:lang w:eastAsia="zh-CN"/>
          <w14:textFill>
            <w14:solidFill>
              <w14:schemeClr w14:val="tx1"/>
            </w14:solidFill>
          </w14:textFill>
        </w:rPr>
        <w:t>县城</w:t>
      </w:r>
      <w:r>
        <w:rPr>
          <w:rFonts w:hint="eastAsia" w:eastAsia="仿宋_GB2312"/>
          <w:color w:val="000000" w:themeColor="text1"/>
          <w:highlight w:val="none"/>
          <w14:textFill>
            <w14:solidFill>
              <w14:schemeClr w14:val="tx1"/>
            </w14:solidFill>
          </w14:textFill>
        </w:rPr>
        <w:t>划分为</w:t>
      </w:r>
      <w:r>
        <w:rPr>
          <w:rFonts w:hint="eastAsia" w:eastAsia="仿宋_GB2312"/>
          <w:color w:val="000000" w:themeColor="text1"/>
          <w:highlight w:val="none"/>
          <w:lang w:val="en-US" w:eastAsia="zh-CN"/>
          <w14:textFill>
            <w14:solidFill>
              <w14:schemeClr w14:val="tx1"/>
            </w14:solidFill>
          </w14:textFill>
        </w:rPr>
        <w:t>多个</w:t>
      </w:r>
      <w:r>
        <w:rPr>
          <w:rFonts w:hint="eastAsia" w:eastAsia="仿宋_GB2312"/>
          <w:color w:val="000000" w:themeColor="text1"/>
          <w:highlight w:val="none"/>
          <w14:textFill>
            <w14:solidFill>
              <w14:schemeClr w14:val="tx1"/>
            </w14:solidFill>
          </w14:textFill>
        </w:rPr>
        <w:t>现代宜居</w:t>
      </w:r>
      <w:r>
        <w:rPr>
          <w:rFonts w:hint="eastAsia" w:eastAsia="仿宋_GB2312"/>
          <w:color w:val="000000" w:themeColor="text1"/>
          <w:highlight w:val="none"/>
          <w:lang w:eastAsia="zh-CN"/>
          <w14:textFill>
            <w14:solidFill>
              <w14:schemeClr w14:val="tx1"/>
            </w14:solidFill>
          </w14:textFill>
        </w:rPr>
        <w:t>组团</w:t>
      </w:r>
      <w:r>
        <w:rPr>
          <w:rFonts w:hint="eastAsia" w:eastAsia="仿宋_GB2312"/>
          <w:color w:val="000000" w:themeColor="text1"/>
          <w:highlight w:val="none"/>
          <w14:textFill>
            <w14:solidFill>
              <w14:schemeClr w14:val="tx1"/>
            </w14:solidFill>
          </w14:textFill>
        </w:rPr>
        <w:t>、</w:t>
      </w:r>
      <w:r>
        <w:rPr>
          <w:rFonts w:hint="eastAsia" w:eastAsia="仿宋_GB2312"/>
          <w:color w:val="000000" w:themeColor="text1"/>
          <w:highlight w:val="none"/>
          <w:lang w:val="en-US" w:eastAsia="zh-CN"/>
          <w14:textFill>
            <w14:solidFill>
              <w14:schemeClr w14:val="tx1"/>
            </w14:solidFill>
          </w14:textFill>
        </w:rPr>
        <w:t>产业发展</w:t>
      </w:r>
      <w:r>
        <w:rPr>
          <w:rFonts w:hint="eastAsia" w:eastAsia="仿宋_GB2312"/>
          <w:color w:val="000000" w:themeColor="text1"/>
          <w:highlight w:val="none"/>
          <w14:textFill>
            <w14:solidFill>
              <w14:schemeClr w14:val="tx1"/>
            </w14:solidFill>
          </w14:textFill>
        </w:rPr>
        <w:t>组团。</w:t>
      </w:r>
      <w:r>
        <w:rPr>
          <w:rFonts w:eastAsia="仿宋_GB2312"/>
          <w:color w:val="000000" w:themeColor="text1"/>
          <w:highlight w:val="none"/>
          <w14:textFill>
            <w14:solidFill>
              <w14:schemeClr w14:val="tx1"/>
            </w14:solidFill>
          </w14:textFill>
        </w:rPr>
        <w:t>充分利用道路、</w:t>
      </w:r>
      <w:r>
        <w:rPr>
          <w:rFonts w:hint="eastAsia" w:eastAsia="仿宋_GB2312"/>
          <w:color w:val="000000" w:themeColor="text1"/>
          <w:highlight w:val="none"/>
          <w14:textFill>
            <w14:solidFill>
              <w14:schemeClr w14:val="tx1"/>
            </w14:solidFill>
          </w14:textFill>
        </w:rPr>
        <w:t>干渠</w:t>
      </w:r>
      <w:r>
        <w:rPr>
          <w:rFonts w:eastAsia="仿宋_GB2312"/>
          <w:color w:val="000000" w:themeColor="text1"/>
          <w:highlight w:val="none"/>
          <w14:textFill>
            <w14:solidFill>
              <w14:schemeClr w14:val="tx1"/>
            </w14:solidFill>
          </w14:textFill>
        </w:rPr>
        <w:t>等自然地理</w:t>
      </w:r>
      <w:r>
        <w:rPr>
          <w:rFonts w:hint="eastAsia" w:eastAsia="仿宋_GB2312"/>
          <w:color w:val="000000" w:themeColor="text1"/>
          <w:highlight w:val="none"/>
          <w:lang w:eastAsia="zh-CN"/>
          <w14:textFill>
            <w14:solidFill>
              <w14:schemeClr w14:val="tx1"/>
            </w14:solidFill>
          </w14:textFill>
        </w:rPr>
        <w:t>要素</w:t>
      </w:r>
      <w:r>
        <w:rPr>
          <w:rFonts w:eastAsia="仿宋_GB2312"/>
          <w:color w:val="000000" w:themeColor="text1"/>
          <w:highlight w:val="none"/>
          <w14:textFill>
            <w14:solidFill>
              <w14:schemeClr w14:val="tx1"/>
            </w14:solidFill>
          </w14:textFill>
        </w:rPr>
        <w:t>划分城市组团。</w:t>
      </w:r>
    </w:p>
    <w:p>
      <w:pPr>
        <w:pStyle w:val="13"/>
        <w:spacing w:before="0" w:beforeLines="0" w:line="360" w:lineRule="auto"/>
        <w:ind w:left="0" w:leftChars="0" w:right="110" w:firstLine="681" w:firstLineChars="213"/>
        <w:rPr>
          <w:rFonts w:hint="eastAsia" w:eastAsia="仿宋_GB2312"/>
          <w:color w:val="000000" w:themeColor="text1"/>
          <w:highlight w:val="none"/>
          <w14:textFill>
            <w14:solidFill>
              <w14:schemeClr w14:val="tx1"/>
            </w14:solidFill>
          </w14:textFill>
        </w:rPr>
      </w:pPr>
      <w:r>
        <w:rPr>
          <w:rFonts w:hint="eastAsia" w:eastAsia="仿宋_GB2312"/>
          <w:color w:val="000000" w:themeColor="text1"/>
          <w:highlight w:val="none"/>
          <w14:textFill>
            <w14:solidFill>
              <w14:schemeClr w14:val="tx1"/>
            </w14:solidFill>
          </w14:textFill>
        </w:rPr>
        <w:t>现代宜居位于</w:t>
      </w:r>
      <w:r>
        <w:rPr>
          <w:rFonts w:hint="eastAsia" w:eastAsia="仿宋_GB2312"/>
          <w:color w:val="000000" w:themeColor="text1"/>
          <w:highlight w:val="none"/>
          <w:lang w:val="en-US" w:eastAsia="zh-CN"/>
          <w14:textFill>
            <w14:solidFill>
              <w14:schemeClr w14:val="tx1"/>
            </w14:solidFill>
          </w14:textFill>
        </w:rPr>
        <w:t>城区中心</w:t>
      </w:r>
      <w:r>
        <w:rPr>
          <w:rFonts w:hint="eastAsia" w:eastAsia="仿宋_GB2312"/>
          <w:color w:val="000000" w:themeColor="text1"/>
          <w:highlight w:val="none"/>
          <w14:textFill>
            <w14:solidFill>
              <w14:schemeClr w14:val="tx1"/>
            </w14:solidFill>
          </w14:textFill>
        </w:rPr>
        <w:t>，突出商业、公共服务、居住等功能。着力完善公共服务设施配置，提升老</w:t>
      </w:r>
      <w:r>
        <w:rPr>
          <w:rFonts w:hint="eastAsia" w:eastAsia="仿宋_GB2312"/>
          <w:color w:val="000000" w:themeColor="text1"/>
          <w:highlight w:val="none"/>
          <w:lang w:val="en-US" w:eastAsia="zh-CN"/>
          <w14:textFill>
            <w14:solidFill>
              <w14:schemeClr w14:val="tx1"/>
            </w14:solidFill>
          </w14:textFill>
        </w:rPr>
        <w:t>城</w:t>
      </w:r>
      <w:r>
        <w:rPr>
          <w:rFonts w:hint="eastAsia" w:eastAsia="仿宋_GB2312"/>
          <w:color w:val="000000" w:themeColor="text1"/>
          <w:highlight w:val="none"/>
          <w14:textFill>
            <w14:solidFill>
              <w14:schemeClr w14:val="tx1"/>
            </w14:solidFill>
          </w14:textFill>
        </w:rPr>
        <w:t>区城市风貌和生活品质。</w:t>
      </w:r>
    </w:p>
    <w:p>
      <w:pPr>
        <w:pStyle w:val="13"/>
        <w:spacing w:before="0" w:beforeLines="0" w:line="360" w:lineRule="auto"/>
        <w:ind w:left="0" w:leftChars="0" w:right="110" w:firstLine="681" w:firstLineChars="213"/>
        <w:rPr>
          <w:rFonts w:hint="default" w:eastAsia="仿宋_GB2312"/>
          <w:color w:val="000000" w:themeColor="text1"/>
          <w:highlight w:val="none"/>
          <w:lang w:val="en-US"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产业发展</w:t>
      </w:r>
      <w:r>
        <w:rPr>
          <w:rFonts w:hint="eastAsia" w:eastAsia="仿宋_GB2312"/>
          <w:color w:val="000000" w:themeColor="text1"/>
          <w:highlight w:val="none"/>
          <w14:textFill>
            <w14:solidFill>
              <w14:schemeClr w14:val="tx1"/>
            </w14:solidFill>
          </w14:textFill>
        </w:rPr>
        <w:t>组团位于</w:t>
      </w:r>
      <w:r>
        <w:rPr>
          <w:rFonts w:hint="eastAsia" w:eastAsia="仿宋_GB2312"/>
          <w:color w:val="000000" w:themeColor="text1"/>
          <w:highlight w:val="none"/>
          <w:lang w:eastAsia="zh-CN"/>
          <w14:textFill>
            <w14:solidFill>
              <w14:schemeClr w14:val="tx1"/>
            </w14:solidFill>
          </w14:textFill>
        </w:rPr>
        <w:t>县城</w:t>
      </w:r>
      <w:r>
        <w:rPr>
          <w:rFonts w:hint="eastAsia" w:eastAsia="仿宋_GB2312"/>
          <w:color w:val="000000" w:themeColor="text1"/>
          <w:highlight w:val="none"/>
          <w:lang w:val="en-US" w:eastAsia="zh-CN"/>
          <w14:textFill>
            <w14:solidFill>
              <w14:schemeClr w14:val="tx1"/>
            </w14:solidFill>
          </w14:textFill>
        </w:rPr>
        <w:t>东北部、东部</w:t>
      </w:r>
      <w:r>
        <w:rPr>
          <w:rFonts w:hint="eastAsia" w:eastAsia="仿宋_GB2312"/>
          <w:color w:val="000000" w:themeColor="text1"/>
          <w:highlight w:val="none"/>
          <w14:textFill>
            <w14:solidFill>
              <w14:schemeClr w14:val="tx1"/>
            </w14:solidFill>
          </w14:textFill>
        </w:rPr>
        <w:t>，突出</w:t>
      </w:r>
      <w:r>
        <w:rPr>
          <w:rFonts w:hint="eastAsia" w:eastAsia="仿宋_GB2312"/>
          <w:color w:val="000000" w:themeColor="text1"/>
          <w:highlight w:val="none"/>
          <w:lang w:val="en-US" w:eastAsia="zh-CN"/>
          <w14:textFill>
            <w14:solidFill>
              <w14:schemeClr w14:val="tx1"/>
            </w14:solidFill>
          </w14:textFill>
        </w:rPr>
        <w:t>产业功能导入</w:t>
      </w:r>
      <w:r>
        <w:rPr>
          <w:rFonts w:hint="eastAsia" w:eastAsia="仿宋_GB2312"/>
          <w:color w:val="000000" w:themeColor="text1"/>
          <w:highlight w:val="none"/>
          <w14:textFill>
            <w14:solidFill>
              <w14:schemeClr w14:val="tx1"/>
            </w14:solidFill>
          </w14:textFill>
        </w:rPr>
        <w:t>。</w:t>
      </w:r>
      <w:r>
        <w:rPr>
          <w:rFonts w:hint="eastAsia" w:eastAsia="仿宋_GB2312"/>
          <w:color w:val="000000" w:themeColor="text1"/>
          <w:highlight w:val="none"/>
          <w:lang w:val="en-US" w:eastAsia="zh-CN"/>
          <w14:textFill>
            <w14:solidFill>
              <w14:schemeClr w14:val="tx1"/>
            </w14:solidFill>
          </w14:textFill>
        </w:rPr>
        <w:t>重点完善生产性服务业发展，合理配套生活服务功能，提升产城融合度。</w:t>
      </w:r>
    </w:p>
    <w:p>
      <w:pPr>
        <w:pStyle w:val="3"/>
        <w:numPr>
          <w:ilvl w:val="0"/>
          <w:numId w:val="11"/>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71" w:name="_Toc31487"/>
      <w:r>
        <w:rPr>
          <w:rFonts w:hint="eastAsia" w:ascii="黑体" w:hAnsi="黑体" w:eastAsia="黑体"/>
          <w:color w:val="000000" w:themeColor="text1"/>
          <w:highlight w:val="none"/>
          <w:lang w:eastAsia="zh-CN"/>
          <w14:textFill>
            <w14:solidFill>
              <w14:schemeClr w14:val="tx1"/>
            </w14:solidFill>
          </w14:textFill>
        </w:rPr>
        <w:t>构建绿色安全的交通网络</w:t>
      </w:r>
      <w:bookmarkEnd w:id="71"/>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构建通达便捷的交通网络格局</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hint="eastAsia" w:eastAsia="仿宋_GB2312"/>
          <w:color w:val="000000" w:themeColor="text1"/>
          <w:highlight w:val="none"/>
          <w14:textFill>
            <w14:solidFill>
              <w14:schemeClr w14:val="tx1"/>
            </w14:solidFill>
          </w14:textFill>
        </w:rPr>
        <w:t>对外提升道路等级，对内优化内部道路交通布局，增加路网密度，构建内畅外联的道路交通体系</w:t>
      </w:r>
      <w:r>
        <w:rPr>
          <w:rFonts w:eastAsia="仿宋_GB2312"/>
          <w:color w:val="000000" w:themeColor="text1"/>
          <w:highlight w:val="none"/>
          <w14:textFill>
            <w14:solidFill>
              <w14:schemeClr w14:val="tx1"/>
            </w14:solidFill>
          </w14:textFill>
        </w:rPr>
        <w:t>。</w:t>
      </w:r>
    </w:p>
    <w:p>
      <w:pPr>
        <w:pStyle w:val="13"/>
        <w:spacing w:before="0" w:beforeLines="0" w:line="360" w:lineRule="auto"/>
        <w:ind w:left="110" w:right="110" w:firstLine="643"/>
        <w:rPr>
          <w:rFonts w:hint="eastAsia"/>
          <w:color w:val="000000" w:themeColor="text1"/>
          <w:highlight w:val="none"/>
          <w14:textFill>
            <w14:solidFill>
              <w14:schemeClr w14:val="tx1"/>
            </w14:solidFill>
          </w14:textFill>
        </w:rPr>
      </w:pPr>
      <w:r>
        <w:rPr>
          <w:rFonts w:hint="eastAsia" w:eastAsia="仿宋_GB2312"/>
          <w:b/>
          <w:bCs/>
          <w:color w:val="000000" w:themeColor="text1"/>
          <w:highlight w:val="none"/>
          <w14:textFill>
            <w14:solidFill>
              <w14:schemeClr w14:val="tx1"/>
            </w14:solidFill>
          </w14:textFill>
        </w:rPr>
        <w:t>优化道路网布局</w:t>
      </w:r>
      <w:r>
        <w:rPr>
          <w:rFonts w:eastAsia="仿宋_GB2312"/>
          <w:b/>
          <w:bCs/>
          <w:color w:val="000000" w:themeColor="text1"/>
          <w:highlight w:val="none"/>
          <w14:textFill>
            <w14:solidFill>
              <w14:schemeClr w14:val="tx1"/>
            </w14:solidFill>
          </w14:textFill>
        </w:rPr>
        <w:t>。</w:t>
      </w:r>
      <w:r>
        <w:rPr>
          <w:rFonts w:hint="eastAsia" w:eastAsia="仿宋_GB2312"/>
          <w:color w:val="000000" w:themeColor="text1"/>
          <w:highlight w:val="none"/>
          <w14:textFill>
            <w14:solidFill>
              <w14:schemeClr w14:val="tx1"/>
            </w14:solidFill>
          </w14:textFill>
        </w:rPr>
        <w:t>提升现状道路网等级，增加主次干道数量，构建内畅外联的交通网络体系，形成“一环</w:t>
      </w:r>
      <w:r>
        <w:rPr>
          <w:rFonts w:hint="eastAsia" w:eastAsia="仿宋_GB2312"/>
          <w:color w:val="000000" w:themeColor="text1"/>
          <w:highlight w:val="none"/>
          <w:lang w:val="en-US" w:eastAsia="zh-CN"/>
          <w14:textFill>
            <w14:solidFill>
              <w14:schemeClr w14:val="tx1"/>
            </w14:solidFill>
          </w14:textFill>
        </w:rPr>
        <w:t>五</w:t>
      </w:r>
      <w:r>
        <w:rPr>
          <w:rFonts w:hint="eastAsia" w:eastAsia="仿宋_GB2312"/>
          <w:color w:val="000000" w:themeColor="text1"/>
          <w:highlight w:val="none"/>
          <w14:textFill>
            <w14:solidFill>
              <w14:schemeClr w14:val="tx1"/>
            </w14:solidFill>
          </w14:textFill>
        </w:rPr>
        <w:t>横</w:t>
      </w:r>
      <w:r>
        <w:rPr>
          <w:rFonts w:hint="eastAsia" w:eastAsia="仿宋_GB2312"/>
          <w:color w:val="000000" w:themeColor="text1"/>
          <w:highlight w:val="none"/>
          <w:lang w:val="en-US" w:eastAsia="zh-CN"/>
          <w14:textFill>
            <w14:solidFill>
              <w14:schemeClr w14:val="tx1"/>
            </w14:solidFill>
          </w14:textFill>
        </w:rPr>
        <w:t>三</w:t>
      </w:r>
      <w:r>
        <w:rPr>
          <w:rFonts w:hint="eastAsia" w:eastAsia="仿宋_GB2312"/>
          <w:color w:val="000000" w:themeColor="text1"/>
          <w:highlight w:val="none"/>
          <w14:textFill>
            <w14:solidFill>
              <w14:schemeClr w14:val="tx1"/>
            </w14:solidFill>
          </w14:textFill>
        </w:rPr>
        <w:t>纵＂的城市</w:t>
      </w:r>
      <w:r>
        <w:rPr>
          <w:rFonts w:hint="eastAsia" w:eastAsia="仿宋_GB2312"/>
          <w:color w:val="000000" w:themeColor="text1"/>
          <w:highlight w:val="none"/>
          <w:lang w:val="en-US" w:eastAsia="zh-CN"/>
          <w14:textFill>
            <w14:solidFill>
              <w14:schemeClr w14:val="tx1"/>
            </w14:solidFill>
          </w14:textFill>
        </w:rPr>
        <w:t>干路网</w:t>
      </w:r>
      <w:r>
        <w:rPr>
          <w:rFonts w:hint="eastAsia" w:eastAsia="仿宋_GB2312"/>
          <w:color w:val="000000" w:themeColor="text1"/>
          <w:highlight w:val="none"/>
          <w14:textFill>
            <w14:solidFill>
              <w14:schemeClr w14:val="tx1"/>
            </w14:solidFill>
          </w14:textFill>
        </w:rPr>
        <w:t>结构。</w:t>
      </w:r>
    </w:p>
    <w:tbl>
      <w:tblPr>
        <w:tblStyle w:val="2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pPr>
              <w:pStyle w:val="35"/>
              <w:spacing w:line="360" w:lineRule="auto"/>
              <w:ind w:firstLine="599" w:firstLineChars="213"/>
              <w:jc w:val="center"/>
              <w:rPr>
                <w:rFonts w:ascii="Times New Roman" w:hAnsi="Times New Roman" w:eastAsia="黑体"/>
                <w:b/>
                <w:bCs/>
                <w:sz w:val="30"/>
                <w:szCs w:val="30"/>
                <w:highlight w:val="none"/>
              </w:rPr>
            </w:pPr>
            <w:r>
              <w:rPr>
                <w:rFonts w:hint="eastAsia" w:eastAsia="仿宋_GB2312"/>
                <w:b/>
                <w:color w:val="000000" w:themeColor="text1"/>
                <w:sz w:val="28"/>
                <w:highlight w:val="none"/>
                <w14:textFill>
                  <w14:solidFill>
                    <w14:schemeClr w14:val="tx1"/>
                  </w14:solidFill>
                </w14:textFill>
              </w:rPr>
              <w:t>专栏23：“一环七横六纵”城市主干道路网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vAlign w:val="center"/>
          </w:tcPr>
          <w:p>
            <w:pPr>
              <w:pStyle w:val="35"/>
              <w:spacing w:line="360" w:lineRule="auto"/>
              <w:ind w:firstLine="596" w:firstLineChars="213"/>
              <w:jc w:val="both"/>
              <w:rPr>
                <w:rFonts w:hint="eastAsia" w:ascii="Times New Roman" w:hAnsi="Times New Roman" w:eastAsia="仿宋_GB2312" w:cs="仿宋_GB2312"/>
                <w:kern w:val="2"/>
                <w:sz w:val="28"/>
                <w:highlight w:val="none"/>
                <w:lang w:bidi="ar"/>
              </w:rPr>
            </w:pPr>
            <w:r>
              <w:rPr>
                <w:rFonts w:hint="eastAsia" w:ascii="Times New Roman" w:hAnsi="Times New Roman" w:eastAsia="仿宋_GB2312" w:cs="仿宋_GB2312"/>
                <w:kern w:val="2"/>
                <w:sz w:val="28"/>
                <w:highlight w:val="none"/>
                <w:lang w:bidi="ar"/>
              </w:rPr>
              <w:t>“一环”：包括城市环路快速通道，包括南环路、东环路。</w:t>
            </w:r>
          </w:p>
          <w:p>
            <w:pPr>
              <w:pStyle w:val="35"/>
              <w:spacing w:line="360" w:lineRule="auto"/>
              <w:ind w:firstLine="596" w:firstLineChars="213"/>
              <w:jc w:val="both"/>
              <w:rPr>
                <w:rFonts w:hint="eastAsia" w:ascii="Times New Roman" w:hAnsi="Times New Roman" w:eastAsia="仿宋_GB2312" w:cs="仿宋_GB2312"/>
                <w:kern w:val="2"/>
                <w:sz w:val="28"/>
                <w:highlight w:val="none"/>
                <w:lang w:bidi="ar"/>
              </w:rPr>
            </w:pPr>
            <w:r>
              <w:rPr>
                <w:rFonts w:hint="eastAsia" w:ascii="Times New Roman" w:hAnsi="Times New Roman" w:eastAsia="仿宋_GB2312" w:cs="仿宋_GB2312"/>
                <w:kern w:val="2"/>
                <w:sz w:val="28"/>
                <w:highlight w:val="none"/>
                <w:lang w:bidi="ar"/>
              </w:rPr>
              <w:t>“</w:t>
            </w:r>
            <w:r>
              <w:rPr>
                <w:rFonts w:hint="eastAsia" w:ascii="Times New Roman" w:hAnsi="Times New Roman" w:eastAsia="仿宋_GB2312" w:cs="仿宋_GB2312"/>
                <w:kern w:val="2"/>
                <w:sz w:val="28"/>
                <w:highlight w:val="none"/>
                <w:lang w:val="en-US" w:eastAsia="zh-CN" w:bidi="ar"/>
              </w:rPr>
              <w:t>五</w:t>
            </w:r>
            <w:r>
              <w:rPr>
                <w:rFonts w:hint="eastAsia" w:ascii="Times New Roman" w:hAnsi="Times New Roman" w:eastAsia="仿宋_GB2312" w:cs="仿宋_GB2312"/>
                <w:kern w:val="2"/>
                <w:sz w:val="28"/>
                <w:highlight w:val="none"/>
                <w:lang w:bidi="ar"/>
              </w:rPr>
              <w:t>横”：包括龙凤大道、交通路、世纪大道、萧国大道、教育路。</w:t>
            </w:r>
          </w:p>
          <w:p>
            <w:pPr>
              <w:pStyle w:val="35"/>
              <w:spacing w:line="360" w:lineRule="auto"/>
              <w:ind w:firstLine="596" w:firstLineChars="213"/>
              <w:jc w:val="both"/>
              <w:rPr>
                <w:rFonts w:ascii="Times New Roman" w:hAnsi="Times New Roman" w:eastAsia="仿宋"/>
                <w:bCs/>
                <w:sz w:val="28"/>
                <w:szCs w:val="28"/>
                <w:highlight w:val="none"/>
              </w:rPr>
            </w:pPr>
            <w:r>
              <w:rPr>
                <w:rFonts w:hint="eastAsia" w:ascii="Times New Roman" w:hAnsi="Times New Roman" w:eastAsia="仿宋_GB2312" w:cs="仿宋_GB2312"/>
                <w:kern w:val="2"/>
                <w:sz w:val="28"/>
                <w:highlight w:val="none"/>
                <w:lang w:bidi="ar"/>
              </w:rPr>
              <w:t>“</w:t>
            </w:r>
            <w:r>
              <w:rPr>
                <w:rFonts w:hint="eastAsia" w:ascii="Times New Roman" w:hAnsi="Times New Roman" w:eastAsia="仿宋_GB2312" w:cs="仿宋_GB2312"/>
                <w:kern w:val="2"/>
                <w:sz w:val="28"/>
                <w:highlight w:val="none"/>
                <w:lang w:val="en-US" w:eastAsia="zh-CN" w:bidi="ar"/>
              </w:rPr>
              <w:t>三</w:t>
            </w:r>
            <w:r>
              <w:rPr>
                <w:rFonts w:hint="eastAsia" w:ascii="Times New Roman" w:hAnsi="Times New Roman" w:eastAsia="仿宋_GB2312" w:cs="仿宋_GB2312"/>
                <w:kern w:val="2"/>
                <w:sz w:val="28"/>
                <w:highlight w:val="none"/>
                <w:lang w:bidi="ar"/>
              </w:rPr>
              <w:t>纵”：城西路、中山路、</w:t>
            </w:r>
            <w:r>
              <w:rPr>
                <w:rFonts w:hint="eastAsia" w:ascii="Times New Roman" w:hAnsi="Times New Roman" w:eastAsia="仿宋_GB2312" w:cs="仿宋_GB2312"/>
                <w:kern w:val="2"/>
                <w:sz w:val="28"/>
                <w:highlight w:val="none"/>
                <w:lang w:val="en-US" w:eastAsia="zh-CN" w:bidi="ar"/>
              </w:rPr>
              <w:t>永马</w:t>
            </w:r>
            <w:r>
              <w:rPr>
                <w:rFonts w:hint="eastAsia" w:ascii="Times New Roman" w:hAnsi="Times New Roman" w:eastAsia="仿宋_GB2312" w:cs="仿宋_GB2312"/>
                <w:kern w:val="2"/>
                <w:sz w:val="28"/>
                <w:highlight w:val="none"/>
                <w:lang w:bidi="ar"/>
              </w:rPr>
              <w:t>路。</w:t>
            </w:r>
          </w:p>
        </w:tc>
      </w:tr>
    </w:tbl>
    <w:p>
      <w:pPr>
        <w:rPr>
          <w:rFonts w:hint="eastAsia" w:eastAsia="仿宋_GB2312"/>
          <w:highlight w:val="none"/>
        </w:rPr>
      </w:pPr>
    </w:p>
    <w:p>
      <w:pPr>
        <w:pStyle w:val="13"/>
        <w:spacing w:before="0" w:beforeLines="0" w:line="360" w:lineRule="auto"/>
        <w:ind w:left="110" w:right="110" w:firstLine="643"/>
        <w:rPr>
          <w:rFonts w:hint="eastAsia" w:eastAsia="仿宋_GB2312"/>
          <w:color w:val="000000" w:themeColor="text1"/>
          <w:highlight w:val="none"/>
          <w14:textFill>
            <w14:solidFill>
              <w14:schemeClr w14:val="tx1"/>
            </w14:solidFill>
          </w14:textFill>
        </w:rPr>
      </w:pPr>
      <w:r>
        <w:rPr>
          <w:rFonts w:hint="eastAsia" w:eastAsia="仿宋_GB2312"/>
          <w:b/>
          <w:bCs/>
          <w:color w:val="000000" w:themeColor="text1"/>
          <w:highlight w:val="none"/>
          <w14:textFill>
            <w14:solidFill>
              <w14:schemeClr w14:val="tx1"/>
            </w14:solidFill>
          </w14:textFill>
        </w:rPr>
        <w:t>增加道路网密度</w:t>
      </w:r>
      <w:r>
        <w:rPr>
          <w:rFonts w:hint="eastAsia" w:asciiTheme="minorEastAsia" w:hAnsiTheme="minorEastAsia" w:eastAsiaTheme="minorEastAsia"/>
          <w:b/>
          <w:bCs/>
          <w:color w:val="000000" w:themeColor="text1"/>
          <w:highlight w:val="none"/>
          <w14:textFill>
            <w14:solidFill>
              <w14:schemeClr w14:val="tx1"/>
            </w14:solidFill>
          </w14:textFill>
        </w:rPr>
        <w:t>。</w:t>
      </w:r>
      <w:r>
        <w:rPr>
          <w:rFonts w:hint="eastAsia" w:eastAsia="仿宋_GB2312"/>
          <w:color w:val="000000" w:themeColor="text1"/>
          <w:highlight w:val="none"/>
          <w14:textFill>
            <w14:solidFill>
              <w14:schemeClr w14:val="tx1"/>
            </w14:solidFill>
          </w14:textFill>
        </w:rPr>
        <w:t>增加次干路和支路网数量，</w:t>
      </w:r>
      <w:r>
        <w:rPr>
          <w:rFonts w:eastAsia="仿宋_GB2312"/>
          <w:color w:val="000000" w:themeColor="text1"/>
          <w:highlight w:val="none"/>
          <w14:textFill>
            <w14:solidFill>
              <w14:schemeClr w14:val="tx1"/>
            </w14:solidFill>
          </w14:textFill>
        </w:rPr>
        <w:t>按照“窄路密网”的要求进一步加密支路网系统。</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布局以公共交通为引领的绿色出行体系</w:t>
      </w:r>
    </w:p>
    <w:p>
      <w:pPr>
        <w:pStyle w:val="13"/>
        <w:spacing w:before="0" w:beforeLines="0" w:line="360" w:lineRule="auto"/>
        <w:ind w:left="110" w:right="110" w:firstLine="640"/>
        <w:rPr>
          <w:rFonts w:hint="eastAsia" w:ascii="Times New Roman" w:hAnsi="Times New Roman" w:eastAsia="仿宋_GB2312" w:cs="Times New Roman"/>
          <w:bCs/>
          <w:kern w:val="2"/>
          <w:sz w:val="32"/>
          <w:szCs w:val="28"/>
          <w:highlight w:val="none"/>
          <w:lang w:bidi="ar"/>
        </w:rPr>
      </w:pPr>
      <w:r>
        <w:rPr>
          <w:rFonts w:hint="eastAsia" w:ascii="Times New Roman" w:hAnsi="Times New Roman" w:eastAsia="仿宋_GB2312" w:cs="Times New Roman"/>
          <w:bCs/>
          <w:kern w:val="2"/>
          <w:sz w:val="32"/>
          <w:szCs w:val="28"/>
          <w:highlight w:val="none"/>
          <w:lang w:bidi="ar"/>
        </w:rPr>
        <w:t>引导建立以公共交通为导向的出行模式，加快形成以中运量公交为骨架，常规公交为主体，出租车、网约车等为补充，公共自行车、共享单车为延伸的城市公交系统。完善公交枢纽和公交场站布局，构建“空间引导、内外衔接、对接慢行、集约高效”的公共交通体系，重点保障公交停车场、保养场、首末站、调度中心、换乘枢纽站等公共交通基础设施建设用地需求。推动公交场站立体开发，整合地上地下立体空间资源，有效增加公交场站的使用面积和停放数量。</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打造全龄友好、生态共生的慢行交通环境</w:t>
      </w:r>
    </w:p>
    <w:p>
      <w:pPr>
        <w:pStyle w:val="13"/>
        <w:spacing w:before="0" w:beforeLines="0" w:line="360" w:lineRule="auto"/>
        <w:ind w:left="110" w:right="110" w:firstLine="640"/>
        <w:rPr>
          <w:rFonts w:hint="eastAsia" w:eastAsia="仿宋_GB2312"/>
          <w:color w:val="000000" w:themeColor="text1"/>
          <w:highlight w:val="none"/>
          <w:lang w:eastAsia="zh-CN"/>
          <w14:textFill>
            <w14:solidFill>
              <w14:schemeClr w14:val="tx1"/>
            </w14:solidFill>
          </w14:textFill>
        </w:rPr>
      </w:pPr>
      <w:r>
        <w:rPr>
          <w:rFonts w:hint="eastAsia" w:ascii="Times New Roman" w:hAnsi="Times New Roman" w:eastAsia="仿宋_GB2312" w:cs="Times New Roman"/>
          <w:bCs/>
          <w:kern w:val="2"/>
          <w:sz w:val="32"/>
          <w:szCs w:val="28"/>
          <w:highlight w:val="none"/>
          <w:lang w:bidi="ar"/>
        </w:rPr>
        <w:t>结合绿地、景观等系统布局城市慢行网络体系，构建</w:t>
      </w:r>
      <w:r>
        <w:rPr>
          <w:rFonts w:ascii="仿宋_GB2312" w:hAnsi="仿宋_GB2312" w:eastAsia="仿宋_GB2312" w:cs="仿宋_GB2312"/>
          <w:bCs/>
          <w:kern w:val="2"/>
          <w:sz w:val="32"/>
          <w:szCs w:val="28"/>
          <w:highlight w:val="none"/>
          <w:lang w:bidi="ar"/>
        </w:rPr>
        <w:t>“</w:t>
      </w:r>
      <w:r>
        <w:rPr>
          <w:rFonts w:hint="eastAsia" w:ascii="仿宋_GB2312" w:hAnsi="仿宋_GB2312" w:eastAsia="仿宋_GB2312" w:cs="仿宋_GB2312"/>
          <w:bCs/>
          <w:kern w:val="2"/>
          <w:sz w:val="32"/>
          <w:szCs w:val="28"/>
          <w:highlight w:val="none"/>
          <w:lang w:val="en-US" w:eastAsia="zh-CN" w:bidi="ar"/>
        </w:rPr>
        <w:t>一</w:t>
      </w:r>
      <w:r>
        <w:rPr>
          <w:rFonts w:hint="eastAsia" w:ascii="Times New Roman" w:hAnsi="Times New Roman" w:eastAsia="仿宋_GB2312" w:cs="Times New Roman"/>
          <w:bCs/>
          <w:kern w:val="2"/>
          <w:sz w:val="32"/>
          <w:szCs w:val="28"/>
          <w:highlight w:val="none"/>
          <w:lang w:bidi="ar"/>
        </w:rPr>
        <w:t>环</w:t>
      </w:r>
      <w:r>
        <w:rPr>
          <w:rFonts w:hint="eastAsia" w:ascii="Times New Roman" w:hAnsi="Times New Roman" w:eastAsia="仿宋_GB2312" w:cs="Times New Roman"/>
          <w:bCs/>
          <w:kern w:val="2"/>
          <w:sz w:val="32"/>
          <w:szCs w:val="28"/>
          <w:highlight w:val="none"/>
          <w:lang w:val="en-US" w:eastAsia="zh-CN" w:bidi="ar"/>
        </w:rPr>
        <w:t>两</w:t>
      </w:r>
      <w:r>
        <w:rPr>
          <w:rFonts w:hint="eastAsia" w:ascii="Times New Roman" w:hAnsi="Times New Roman" w:eastAsia="仿宋_GB2312" w:cs="Times New Roman"/>
          <w:bCs/>
          <w:kern w:val="2"/>
          <w:sz w:val="32"/>
          <w:szCs w:val="28"/>
          <w:highlight w:val="none"/>
          <w:lang w:bidi="ar"/>
        </w:rPr>
        <w:t>廊</w:t>
      </w:r>
      <w:r>
        <w:rPr>
          <w:rFonts w:ascii="仿宋_GB2312" w:hAnsi="仿宋_GB2312" w:eastAsia="仿宋_GB2312" w:cs="仿宋_GB2312"/>
          <w:bCs/>
          <w:kern w:val="2"/>
          <w:sz w:val="32"/>
          <w:szCs w:val="28"/>
          <w:highlight w:val="none"/>
          <w:lang w:bidi="ar"/>
        </w:rPr>
        <w:t>”</w:t>
      </w:r>
      <w:r>
        <w:rPr>
          <w:rFonts w:hint="eastAsia" w:ascii="Times New Roman" w:hAnsi="Times New Roman" w:eastAsia="仿宋_GB2312" w:cs="Times New Roman"/>
          <w:bCs/>
          <w:kern w:val="2"/>
          <w:sz w:val="32"/>
          <w:szCs w:val="28"/>
          <w:highlight w:val="none"/>
          <w:lang w:bidi="ar"/>
        </w:rPr>
        <w:t>的城市慢行系统。支持龙河景观绿廊、闸河景观绿廊</w:t>
      </w:r>
      <w:r>
        <w:rPr>
          <w:rFonts w:hint="eastAsia" w:ascii="Times New Roman" w:hAnsi="Times New Roman" w:eastAsia="仿宋_GB2312" w:cs="Times New Roman"/>
          <w:bCs/>
          <w:kern w:val="2"/>
          <w:sz w:val="32"/>
          <w:szCs w:val="28"/>
          <w:highlight w:val="none"/>
          <w:lang w:val="en-US" w:eastAsia="zh-CN" w:bidi="ar"/>
        </w:rPr>
        <w:t>两</w:t>
      </w:r>
      <w:r>
        <w:rPr>
          <w:rFonts w:hint="eastAsia" w:ascii="Times New Roman" w:hAnsi="Times New Roman" w:eastAsia="仿宋_GB2312" w:cs="Times New Roman"/>
          <w:bCs/>
          <w:kern w:val="2"/>
          <w:sz w:val="32"/>
          <w:szCs w:val="28"/>
          <w:highlight w:val="none"/>
          <w:lang w:bidi="ar"/>
        </w:rPr>
        <w:t>条廊道建设；围绕凤山健身步道-东外环路-淮海路环线打造城市绿道骨架，加快社区级绿道衔接建设。提升慢行设施密度，高强度开发地区步行道间距不大于</w:t>
      </w:r>
      <w:r>
        <w:rPr>
          <w:rFonts w:ascii="Times New Roman" w:hAnsi="Times New Roman" w:eastAsia="仿宋_GB2312" w:cs="Times New Roman"/>
          <w:bCs/>
          <w:kern w:val="2"/>
          <w:sz w:val="32"/>
          <w:szCs w:val="28"/>
          <w:highlight w:val="none"/>
          <w:lang w:bidi="ar"/>
        </w:rPr>
        <w:t>150</w:t>
      </w:r>
      <w:r>
        <w:rPr>
          <w:rFonts w:hint="eastAsia" w:ascii="Times New Roman" w:hAnsi="Times New Roman" w:eastAsia="仿宋_GB2312" w:cs="Times New Roman"/>
          <w:bCs/>
          <w:kern w:val="2"/>
          <w:sz w:val="32"/>
          <w:szCs w:val="28"/>
          <w:highlight w:val="none"/>
          <w:lang w:bidi="ar"/>
        </w:rPr>
        <w:t>米，其他地区步行道间距不大于</w:t>
      </w:r>
      <w:r>
        <w:rPr>
          <w:rFonts w:ascii="Times New Roman" w:hAnsi="Times New Roman" w:eastAsia="仿宋_GB2312" w:cs="Times New Roman"/>
          <w:bCs/>
          <w:kern w:val="2"/>
          <w:sz w:val="32"/>
          <w:szCs w:val="28"/>
          <w:highlight w:val="none"/>
          <w:lang w:bidi="ar"/>
        </w:rPr>
        <w:t>250</w:t>
      </w:r>
      <w:r>
        <w:rPr>
          <w:rFonts w:hint="eastAsia" w:ascii="Times New Roman" w:hAnsi="Times New Roman" w:eastAsia="仿宋_GB2312" w:cs="Times New Roman"/>
          <w:bCs/>
          <w:kern w:val="2"/>
          <w:sz w:val="32"/>
          <w:szCs w:val="28"/>
          <w:highlight w:val="none"/>
          <w:lang w:bidi="ar"/>
        </w:rPr>
        <w:t>米。保障慢行网络连续性，规范慢行设施通行宽度，新建道路宜规划慢行道，慢行与机动车空间分离。</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差异化满足停车需求</w:t>
      </w:r>
    </w:p>
    <w:p>
      <w:pPr>
        <w:pStyle w:val="13"/>
        <w:spacing w:before="0" w:beforeLines="0" w:line="360" w:lineRule="auto"/>
        <w:ind w:left="110" w:right="110" w:firstLine="640"/>
        <w:rPr>
          <w:rFonts w:hint="eastAsia" w:ascii="Times New Roman" w:hAnsi="Times New Roman" w:eastAsia="仿宋_GB2312" w:cs="Times New Roman"/>
          <w:bCs/>
          <w:kern w:val="2"/>
          <w:sz w:val="32"/>
          <w:szCs w:val="28"/>
          <w:highlight w:val="none"/>
          <w:lang w:bidi="ar"/>
        </w:rPr>
      </w:pPr>
      <w:r>
        <w:rPr>
          <w:rFonts w:hint="eastAsia" w:ascii="Times New Roman" w:hAnsi="Times New Roman" w:eastAsia="仿宋_GB2312" w:cs="Times New Roman"/>
          <w:bCs/>
          <w:kern w:val="2"/>
          <w:sz w:val="32"/>
          <w:szCs w:val="28"/>
          <w:highlight w:val="none"/>
          <w:lang w:bidi="ar"/>
        </w:rPr>
        <w:t>构建以配建停车为主体、路外公共停车为辅助、路内停车为补充的公共停车体系，按照建筑物的性质、区位等属性差别，完善城市建筑物配建车位标准，并符合国家对电动汽车充电设施配建的要求。重点保障居住区、大型综合交通枢纽、医院、学校、旅游景区等特殊地区公共停车场的建设空间需求。</w:t>
      </w:r>
    </w:p>
    <w:p>
      <w:pPr>
        <w:pStyle w:val="3"/>
        <w:numPr>
          <w:ilvl w:val="0"/>
          <w:numId w:val="11"/>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72" w:name="_Toc2548"/>
      <w:r>
        <w:rPr>
          <w:rFonts w:hint="eastAsia" w:ascii="黑体" w:hAnsi="黑体" w:eastAsia="黑体"/>
          <w:color w:val="000000" w:themeColor="text1"/>
          <w:highlight w:val="none"/>
          <w:lang w:eastAsia="zh-CN"/>
          <w14:textFill>
            <w14:solidFill>
              <w14:schemeClr w14:val="tx1"/>
            </w14:solidFill>
          </w14:textFill>
        </w:rPr>
        <w:t>打造配套完善的公共服务设施</w:t>
      </w:r>
      <w:bookmarkEnd w:id="72"/>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构建便捷完善的城镇生活圈配套设施</w:t>
      </w:r>
    </w:p>
    <w:p>
      <w:pPr>
        <w:pStyle w:val="13"/>
        <w:spacing w:before="0" w:beforeLines="0" w:line="360" w:lineRule="auto"/>
        <w:ind w:left="110" w:right="110" w:firstLine="643"/>
        <w:rPr>
          <w:rFonts w:hint="eastAsia" w:eastAsia="仿宋_GB2312"/>
          <w:b/>
          <w:bCs/>
          <w:color w:val="000000" w:themeColor="text1"/>
          <w:highlight w:val="none"/>
          <w14:textFill>
            <w14:solidFill>
              <w14:schemeClr w14:val="tx1"/>
            </w14:solidFill>
          </w14:textFill>
        </w:rPr>
      </w:pPr>
      <w:r>
        <w:rPr>
          <w:rFonts w:eastAsia="仿宋_GB2312"/>
          <w:b/>
          <w:bCs/>
          <w:color w:val="000000" w:themeColor="text1"/>
          <w:highlight w:val="none"/>
          <w14:textFill>
            <w14:solidFill>
              <w14:schemeClr w14:val="tx1"/>
            </w14:solidFill>
          </w14:textFill>
        </w:rPr>
        <w:t>1、公共中心体系规划</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hint="eastAsia" w:ascii="Times New Roman" w:hAnsi="Times New Roman" w:eastAsia="仿宋_GB2312" w:cs="仿宋_GB2312"/>
          <w:sz w:val="32"/>
          <w:szCs w:val="28"/>
          <w:highlight w:val="none"/>
          <w:lang w:bidi="ar"/>
        </w:rPr>
        <w:t>构建</w:t>
      </w:r>
      <w:r>
        <w:rPr>
          <w:rFonts w:ascii="仿宋_GB2312" w:hAnsi="仿宋_GB2312" w:eastAsia="仿宋_GB2312" w:cs="仿宋_GB2312"/>
          <w:sz w:val="32"/>
          <w:szCs w:val="28"/>
          <w:highlight w:val="none"/>
          <w:lang w:bidi="ar"/>
        </w:rPr>
        <w:t>“</w:t>
      </w:r>
      <w:r>
        <w:rPr>
          <w:rFonts w:hint="eastAsia" w:ascii="Times New Roman" w:hAnsi="Times New Roman" w:eastAsia="仿宋_GB2312"/>
          <w:sz w:val="32"/>
          <w:szCs w:val="28"/>
          <w:highlight w:val="none"/>
          <w:lang w:bidi="ar"/>
        </w:rPr>
        <w:t>县级</w:t>
      </w:r>
      <w:r>
        <w:rPr>
          <w:rFonts w:hint="eastAsia" w:ascii="Times New Roman" w:hAnsi="Times New Roman" w:eastAsia="仿宋_GB2312" w:cs="仿宋_GB2312"/>
          <w:sz w:val="32"/>
          <w:szCs w:val="28"/>
          <w:highlight w:val="none"/>
          <w:lang w:bidi="ar"/>
        </w:rPr>
        <w:t>-镇级-社区级</w:t>
      </w:r>
      <w:r>
        <w:rPr>
          <w:rFonts w:ascii="仿宋_GB2312" w:hAnsi="仿宋_GB2312" w:eastAsia="仿宋_GB2312" w:cs="仿宋_GB2312"/>
          <w:sz w:val="32"/>
          <w:szCs w:val="28"/>
          <w:highlight w:val="none"/>
          <w:lang w:bidi="ar"/>
        </w:rPr>
        <w:t>”</w:t>
      </w:r>
      <w:r>
        <w:rPr>
          <w:rFonts w:hint="eastAsia" w:ascii="Times New Roman" w:hAnsi="Times New Roman" w:eastAsia="仿宋_GB2312" w:cs="仿宋_GB2312"/>
          <w:sz w:val="32"/>
          <w:szCs w:val="28"/>
          <w:highlight w:val="none"/>
          <w:lang w:bidi="ar"/>
        </w:rPr>
        <w:t>三级城市公服设施体系，重点配置医疗、文化、体育、养老等各类公共管理与公共服务设施，促进各级公共服务中心与中心城区空间格局相协调。县级公共服务设施重点加强高等级公共服务设施配置，增强区域服务能力；镇级公共服务设施重点完善综合服务功能，提供半小时通勤范围内的公共服务；社区级公共服务设施，主要承担日常生活服务功能，优先保障老年人、未成年人、残疾人等特殊群体服务需要。</w:t>
      </w:r>
    </w:p>
    <w:p>
      <w:pPr>
        <w:pStyle w:val="13"/>
        <w:spacing w:before="0" w:beforeLines="0" w:line="360" w:lineRule="auto"/>
        <w:ind w:left="110" w:right="110" w:firstLine="643"/>
        <w:rPr>
          <w:rFonts w:hint="eastAsia" w:eastAsia="仿宋_GB2312"/>
          <w:b/>
          <w:bCs/>
          <w:color w:val="000000" w:themeColor="text1"/>
          <w:highlight w:val="none"/>
          <w14:textFill>
            <w14:solidFill>
              <w14:schemeClr w14:val="tx1"/>
            </w14:solidFill>
          </w14:textFill>
        </w:rPr>
      </w:pPr>
      <w:r>
        <w:rPr>
          <w:rFonts w:eastAsia="仿宋_GB2312"/>
          <w:b/>
          <w:bCs/>
          <w:color w:val="000000" w:themeColor="text1"/>
          <w:highlight w:val="none"/>
          <w14:textFill>
            <w14:solidFill>
              <w14:schemeClr w14:val="tx1"/>
            </w14:solidFill>
          </w14:textFill>
        </w:rPr>
        <w:t>2、文化设施用地规划</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hint="eastAsia" w:eastAsia="仿宋_GB2312"/>
          <w:sz w:val="32"/>
          <w:szCs w:val="32"/>
          <w:highlight w:val="none"/>
        </w:rPr>
        <w:t>新建规划展览馆、人民剧场、龙河艺术空间等一批重大公共文化设施。完善中心城区社区级文化服务体系，规划以社区党群活动中心为依托，建设文化活动室，形成“</w:t>
      </w:r>
      <w:r>
        <w:rPr>
          <w:rFonts w:eastAsia="仿宋_GB2312"/>
          <w:sz w:val="32"/>
          <w:szCs w:val="32"/>
          <w:highlight w:val="none"/>
        </w:rPr>
        <w:t>15</w:t>
      </w:r>
      <w:r>
        <w:rPr>
          <w:rFonts w:hint="eastAsia" w:eastAsia="仿宋_GB2312"/>
          <w:sz w:val="32"/>
          <w:szCs w:val="32"/>
          <w:highlight w:val="none"/>
        </w:rPr>
        <w:t>分钟文化活动圈</w:t>
      </w:r>
      <w:r>
        <w:rPr>
          <w:rFonts w:ascii="仿宋_GB2312" w:hAnsi="仿宋_GB2312" w:eastAsia="仿宋_GB2312" w:cs="仿宋_GB2312"/>
          <w:sz w:val="32"/>
          <w:szCs w:val="32"/>
          <w:highlight w:val="none"/>
        </w:rPr>
        <w:t>”</w:t>
      </w:r>
      <w:r>
        <w:rPr>
          <w:rFonts w:hint="eastAsia" w:eastAsia="仿宋_GB2312"/>
          <w:sz w:val="32"/>
          <w:szCs w:val="32"/>
          <w:highlight w:val="none"/>
        </w:rPr>
        <w:t>。</w:t>
      </w:r>
    </w:p>
    <w:p>
      <w:pPr>
        <w:pStyle w:val="13"/>
        <w:spacing w:before="0" w:beforeLines="0" w:line="360" w:lineRule="auto"/>
        <w:ind w:left="110" w:right="110" w:firstLine="643"/>
        <w:rPr>
          <w:rFonts w:hint="eastAsia" w:eastAsia="仿宋_GB2312"/>
          <w:b/>
          <w:bCs/>
          <w:color w:val="000000" w:themeColor="text1"/>
          <w:highlight w:val="none"/>
          <w14:textFill>
            <w14:solidFill>
              <w14:schemeClr w14:val="tx1"/>
            </w14:solidFill>
          </w14:textFill>
        </w:rPr>
      </w:pPr>
      <w:r>
        <w:rPr>
          <w:rFonts w:hint="eastAsia" w:eastAsia="仿宋_GB2312"/>
          <w:b/>
          <w:bCs/>
          <w:color w:val="000000" w:themeColor="text1"/>
          <w:highlight w:val="none"/>
          <w14:textFill>
            <w14:solidFill>
              <w14:schemeClr w14:val="tx1"/>
            </w14:solidFill>
          </w14:textFill>
        </w:rPr>
        <w:t>3</w:t>
      </w:r>
      <w:r>
        <w:rPr>
          <w:rFonts w:eastAsia="仿宋_GB2312"/>
          <w:b/>
          <w:bCs/>
          <w:color w:val="000000" w:themeColor="text1"/>
          <w:highlight w:val="none"/>
          <w14:textFill>
            <w14:solidFill>
              <w14:schemeClr w14:val="tx1"/>
            </w14:solidFill>
          </w14:textFill>
        </w:rPr>
        <w:t>、教育用地规划</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hint="eastAsia" w:eastAsia="仿宋_GB2312"/>
          <w:sz w:val="32"/>
          <w:szCs w:val="32"/>
          <w:highlight w:val="none"/>
        </w:rPr>
        <w:t>健全基本公共教育服务体系，高水平均衡发展九年义务教育，普及高中阶段教育和学前教育。完善托幼、幼儿园的</w:t>
      </w:r>
      <w:r>
        <w:rPr>
          <w:rFonts w:eastAsia="仿宋_GB2312"/>
          <w:sz w:val="32"/>
          <w:szCs w:val="32"/>
          <w:highlight w:val="none"/>
        </w:rPr>
        <w:t>300</w:t>
      </w:r>
      <w:r>
        <w:rPr>
          <w:rFonts w:hint="eastAsia" w:eastAsia="仿宋_GB2312"/>
          <w:sz w:val="32"/>
          <w:szCs w:val="32"/>
          <w:highlight w:val="none"/>
        </w:rPr>
        <w:t>米服务半径布局，</w:t>
      </w:r>
      <w:r>
        <w:rPr>
          <w:rFonts w:hint="eastAsia" w:eastAsia="仿宋_GB2312"/>
          <w:sz w:val="32"/>
          <w:szCs w:val="32"/>
          <w:highlight w:val="none"/>
          <w:lang w:val="en-US" w:eastAsia="zh-CN"/>
        </w:rPr>
        <w:t>县城</w:t>
      </w:r>
      <w:r>
        <w:rPr>
          <w:rFonts w:hint="eastAsia" w:eastAsia="仿宋_GB2312"/>
          <w:sz w:val="32"/>
          <w:szCs w:val="32"/>
          <w:highlight w:val="none"/>
        </w:rPr>
        <w:t>幼儿园满足</w:t>
      </w:r>
      <w:r>
        <w:rPr>
          <w:rFonts w:eastAsia="仿宋_GB2312"/>
          <w:sz w:val="32"/>
          <w:szCs w:val="32"/>
          <w:highlight w:val="none"/>
        </w:rPr>
        <w:t>45</w:t>
      </w:r>
      <w:r>
        <w:rPr>
          <w:rFonts w:hint="eastAsia" w:eastAsia="仿宋_GB2312"/>
          <w:sz w:val="32"/>
          <w:szCs w:val="32"/>
          <w:highlight w:val="none"/>
        </w:rPr>
        <w:t>‰配比，新建幼儿园生均占地面积不低于</w:t>
      </w:r>
      <w:r>
        <w:rPr>
          <w:rFonts w:eastAsia="仿宋_GB2312"/>
          <w:sz w:val="32"/>
          <w:szCs w:val="32"/>
          <w:highlight w:val="none"/>
        </w:rPr>
        <w:t>15</w:t>
      </w:r>
      <w:r>
        <w:rPr>
          <w:rFonts w:hint="eastAsia" w:eastAsia="仿宋_GB2312"/>
          <w:sz w:val="32"/>
          <w:szCs w:val="32"/>
          <w:highlight w:val="none"/>
        </w:rPr>
        <w:t>平方米。促进义务教育均衡发展。高标准、高质量普及九年义务教育，保障与人口增长趋势相匹配的学位规模，</w:t>
      </w:r>
      <w:r>
        <w:rPr>
          <w:rFonts w:hint="eastAsia" w:eastAsia="仿宋_GB2312"/>
          <w:sz w:val="32"/>
          <w:szCs w:val="32"/>
          <w:highlight w:val="none"/>
          <w:lang w:val="en-US" w:eastAsia="zh-CN"/>
        </w:rPr>
        <w:t>县城</w:t>
      </w:r>
      <w:r>
        <w:rPr>
          <w:rFonts w:hint="eastAsia" w:eastAsia="仿宋_GB2312"/>
          <w:sz w:val="32"/>
          <w:szCs w:val="32"/>
          <w:highlight w:val="none"/>
        </w:rPr>
        <w:t>小学满足</w:t>
      </w:r>
      <w:r>
        <w:rPr>
          <w:rFonts w:eastAsia="仿宋_GB2312"/>
          <w:sz w:val="32"/>
          <w:szCs w:val="32"/>
          <w:highlight w:val="none"/>
        </w:rPr>
        <w:t>90‰</w:t>
      </w:r>
      <w:r>
        <w:rPr>
          <w:rFonts w:hint="eastAsia" w:eastAsia="仿宋_GB2312"/>
          <w:sz w:val="32"/>
          <w:szCs w:val="32"/>
          <w:highlight w:val="none"/>
        </w:rPr>
        <w:t>配比，初中满足</w:t>
      </w:r>
      <w:r>
        <w:rPr>
          <w:rFonts w:eastAsia="仿宋_GB2312"/>
          <w:sz w:val="32"/>
          <w:szCs w:val="32"/>
          <w:highlight w:val="none"/>
        </w:rPr>
        <w:t>45‰</w:t>
      </w:r>
      <w:r>
        <w:rPr>
          <w:rFonts w:hint="eastAsia" w:eastAsia="仿宋_GB2312"/>
          <w:sz w:val="32"/>
          <w:szCs w:val="32"/>
          <w:highlight w:val="none"/>
        </w:rPr>
        <w:t>配比，新建小学、中学生均占地面积分别不低于</w:t>
      </w:r>
      <w:r>
        <w:rPr>
          <w:rFonts w:eastAsia="仿宋_GB2312"/>
          <w:sz w:val="32"/>
          <w:szCs w:val="32"/>
          <w:highlight w:val="none"/>
        </w:rPr>
        <w:t>2</w:t>
      </w:r>
      <w:r>
        <w:rPr>
          <w:rFonts w:hint="eastAsia" w:eastAsia="仿宋_GB2312"/>
          <w:sz w:val="32"/>
          <w:szCs w:val="32"/>
          <w:highlight w:val="none"/>
        </w:rPr>
        <w:t>2平方米、</w:t>
      </w:r>
      <w:r>
        <w:rPr>
          <w:rFonts w:eastAsia="仿宋_GB2312"/>
          <w:sz w:val="32"/>
          <w:szCs w:val="32"/>
          <w:highlight w:val="none"/>
        </w:rPr>
        <w:t>25</w:t>
      </w:r>
      <w:r>
        <w:rPr>
          <w:rFonts w:hint="eastAsia" w:eastAsia="仿宋_GB2312"/>
          <w:sz w:val="32"/>
          <w:szCs w:val="32"/>
          <w:highlight w:val="none"/>
        </w:rPr>
        <w:t>平方米，已建成的中小学逐步改善达标。推进职业教育学校集中布局，加强职业教育学校与产业园区的空间联动。</w:t>
      </w:r>
    </w:p>
    <w:p>
      <w:pPr>
        <w:pStyle w:val="13"/>
        <w:spacing w:before="0" w:beforeLines="0" w:line="360" w:lineRule="auto"/>
        <w:ind w:left="110" w:right="110" w:firstLine="643"/>
        <w:rPr>
          <w:rFonts w:hint="eastAsia" w:eastAsia="仿宋_GB2312"/>
          <w:b/>
          <w:bCs/>
          <w:color w:val="000000" w:themeColor="text1"/>
          <w:highlight w:val="none"/>
          <w14:textFill>
            <w14:solidFill>
              <w14:schemeClr w14:val="tx1"/>
            </w14:solidFill>
          </w14:textFill>
        </w:rPr>
      </w:pPr>
      <w:r>
        <w:rPr>
          <w:rFonts w:hint="eastAsia" w:eastAsia="仿宋_GB2312"/>
          <w:b/>
          <w:bCs/>
          <w:color w:val="000000" w:themeColor="text1"/>
          <w:highlight w:val="none"/>
          <w14:textFill>
            <w14:solidFill>
              <w14:schemeClr w14:val="tx1"/>
            </w14:solidFill>
          </w14:textFill>
        </w:rPr>
        <w:t>4</w:t>
      </w:r>
      <w:r>
        <w:rPr>
          <w:rFonts w:eastAsia="仿宋_GB2312"/>
          <w:b/>
          <w:bCs/>
          <w:color w:val="000000" w:themeColor="text1"/>
          <w:highlight w:val="none"/>
          <w14:textFill>
            <w14:solidFill>
              <w14:schemeClr w14:val="tx1"/>
            </w14:solidFill>
          </w14:textFill>
        </w:rPr>
        <w:t>、体育用地规划</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hint="eastAsia" w:eastAsia="仿宋_GB2312"/>
          <w:sz w:val="32"/>
          <w:szCs w:val="32"/>
          <w:highlight w:val="none"/>
        </w:rPr>
        <w:t>建设以萧县体育场、</w:t>
      </w:r>
      <w:r>
        <w:rPr>
          <w:rFonts w:hint="eastAsia" w:eastAsia="仿宋_GB2312"/>
          <w:sz w:val="32"/>
          <w:szCs w:val="32"/>
          <w:highlight w:val="none"/>
          <w:lang w:val="en-US" w:eastAsia="zh-CN"/>
        </w:rPr>
        <w:t>凤翔</w:t>
      </w:r>
      <w:r>
        <w:rPr>
          <w:rFonts w:hint="eastAsia" w:eastAsia="仿宋_GB2312"/>
          <w:sz w:val="32"/>
          <w:szCs w:val="32"/>
          <w:highlight w:val="none"/>
        </w:rPr>
        <w:t>体育场为主导，全民健身活动中心为支撑，社区公共活动场地为补充的公共体育服务体系，形成“</w:t>
      </w:r>
      <w:r>
        <w:rPr>
          <w:rFonts w:eastAsia="仿宋_GB2312"/>
          <w:sz w:val="32"/>
          <w:szCs w:val="32"/>
          <w:highlight w:val="none"/>
        </w:rPr>
        <w:t>15</w:t>
      </w:r>
      <w:r>
        <w:rPr>
          <w:rFonts w:hint="eastAsia" w:eastAsia="仿宋_GB2312"/>
          <w:sz w:val="32"/>
          <w:szCs w:val="32"/>
          <w:highlight w:val="none"/>
        </w:rPr>
        <w:t>分钟全民健身圈”。结合</w:t>
      </w:r>
      <w:r>
        <w:rPr>
          <w:rFonts w:hint="eastAsia" w:eastAsia="仿宋_GB2312"/>
          <w:sz w:val="32"/>
          <w:szCs w:val="32"/>
          <w:highlight w:val="none"/>
          <w:lang w:val="en-US" w:eastAsia="zh-CN"/>
        </w:rPr>
        <w:t>凤山</w:t>
      </w:r>
      <w:r>
        <w:rPr>
          <w:rFonts w:hint="eastAsia" w:eastAsia="仿宋_GB2312"/>
          <w:sz w:val="32"/>
          <w:szCs w:val="32"/>
          <w:highlight w:val="none"/>
        </w:rPr>
        <w:t>建设运动公园、完善绿道、健身步道；在社区层面，结合社区公共绿地建设健身活动广场。</w:t>
      </w:r>
    </w:p>
    <w:p>
      <w:pPr>
        <w:pStyle w:val="13"/>
        <w:spacing w:before="0" w:beforeLines="0" w:line="360" w:lineRule="auto"/>
        <w:ind w:left="110" w:right="110" w:firstLine="643"/>
        <w:rPr>
          <w:rFonts w:hint="eastAsia" w:eastAsia="仿宋_GB2312"/>
          <w:b/>
          <w:bCs/>
          <w:color w:val="000000" w:themeColor="text1"/>
          <w:highlight w:val="none"/>
          <w14:textFill>
            <w14:solidFill>
              <w14:schemeClr w14:val="tx1"/>
            </w14:solidFill>
          </w14:textFill>
        </w:rPr>
      </w:pPr>
      <w:r>
        <w:rPr>
          <w:rFonts w:hint="eastAsia" w:eastAsia="仿宋_GB2312"/>
          <w:b/>
          <w:bCs/>
          <w:color w:val="000000" w:themeColor="text1"/>
          <w:highlight w:val="none"/>
          <w14:textFill>
            <w14:solidFill>
              <w14:schemeClr w14:val="tx1"/>
            </w14:solidFill>
          </w14:textFill>
        </w:rPr>
        <w:t>5</w:t>
      </w:r>
      <w:r>
        <w:rPr>
          <w:rFonts w:eastAsia="仿宋_GB2312"/>
          <w:b/>
          <w:bCs/>
          <w:color w:val="000000" w:themeColor="text1"/>
          <w:highlight w:val="none"/>
          <w14:textFill>
            <w14:solidFill>
              <w14:schemeClr w14:val="tx1"/>
            </w14:solidFill>
          </w14:textFill>
        </w:rPr>
        <w:t>、医疗卫生用地规划</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bookmarkStart w:id="73" w:name="_Hlk143441023"/>
      <w:r>
        <w:rPr>
          <w:rFonts w:hint="eastAsia" w:eastAsia="仿宋_GB2312"/>
          <w:sz w:val="32"/>
          <w:szCs w:val="32"/>
          <w:highlight w:val="none"/>
        </w:rPr>
        <w:t>保留现状县人民医院（龙城分院）、急救中心、妇幼保健所和疾控中心，对各医院内部进行用地调整和设备更新工作，提高服务能力。规划新建县中医院、城西医院</w:t>
      </w:r>
      <w:r>
        <w:rPr>
          <w:rFonts w:hint="eastAsia" w:eastAsia="仿宋_GB2312"/>
          <w:sz w:val="32"/>
          <w:szCs w:val="32"/>
          <w:highlight w:val="none"/>
          <w:lang w:val="en-US" w:eastAsia="zh-CN"/>
        </w:rPr>
        <w:t>两</w:t>
      </w:r>
      <w:r>
        <w:rPr>
          <w:rFonts w:hint="eastAsia" w:eastAsia="仿宋_GB2312"/>
          <w:sz w:val="32"/>
          <w:szCs w:val="32"/>
          <w:highlight w:val="none"/>
        </w:rPr>
        <w:t>座综合医院，苗山医院、眼科医院两座专科医院，完善医疗卫生设施布局。依托党群服务中心完善基层医疗卫生机构服务能力，增强社区卫生服务中心、社区卫生站等基层医疗设施功能，适度提高规划用地标准。</w:t>
      </w:r>
    </w:p>
    <w:p>
      <w:pPr>
        <w:pStyle w:val="13"/>
        <w:spacing w:before="0" w:beforeLines="0" w:line="360" w:lineRule="auto"/>
        <w:ind w:left="110" w:right="110" w:firstLine="643"/>
        <w:rPr>
          <w:rFonts w:hint="eastAsia" w:eastAsia="仿宋_GB2312"/>
          <w:b/>
          <w:bCs/>
          <w:color w:val="000000" w:themeColor="text1"/>
          <w:highlight w:val="none"/>
          <w14:textFill>
            <w14:solidFill>
              <w14:schemeClr w14:val="tx1"/>
            </w14:solidFill>
          </w14:textFill>
        </w:rPr>
      </w:pPr>
      <w:r>
        <w:rPr>
          <w:rFonts w:hint="eastAsia" w:eastAsia="仿宋_GB2312"/>
          <w:b/>
          <w:bCs/>
          <w:color w:val="000000" w:themeColor="text1"/>
          <w:highlight w:val="none"/>
          <w14:textFill>
            <w14:solidFill>
              <w14:schemeClr w14:val="tx1"/>
            </w14:solidFill>
          </w14:textFill>
        </w:rPr>
        <w:t>6、社会福利用地规划</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hint="eastAsia" w:eastAsia="仿宋_GB2312"/>
          <w:sz w:val="32"/>
          <w:szCs w:val="32"/>
          <w:highlight w:val="none"/>
        </w:rPr>
        <w:t>健全社会福利设施网络，统筹布局社会救助、养老服务、儿童福利、残疾人社会福利和其他社会福利设施。关注弱势群体，完善社会救助设施，保留县光荣院、儿童福利院、敬老院，扩建县特殊教育学校。推动社会养老设施体系建设，加强基层社区居家养老中心（站）建设力度，提升居家养老服务功能与社区养老服务供给能力，新建居住小区按照每户不低于</w:t>
      </w:r>
      <w:r>
        <w:rPr>
          <w:rFonts w:eastAsia="仿宋_GB2312"/>
          <w:sz w:val="32"/>
          <w:szCs w:val="32"/>
          <w:highlight w:val="none"/>
        </w:rPr>
        <w:t>20</w:t>
      </w:r>
      <w:r>
        <w:rPr>
          <w:rFonts w:hint="eastAsia" w:eastAsia="仿宋_GB2312"/>
          <w:sz w:val="32"/>
          <w:szCs w:val="32"/>
          <w:highlight w:val="none"/>
        </w:rPr>
        <w:t>平方米的标准配套建设养老服务设施，在</w:t>
      </w:r>
      <w:r>
        <w:rPr>
          <w:rFonts w:hint="eastAsia" w:eastAsia="仿宋_GB2312"/>
          <w:sz w:val="32"/>
          <w:szCs w:val="32"/>
          <w:highlight w:val="none"/>
          <w:lang w:val="en-US" w:eastAsia="zh-CN"/>
        </w:rPr>
        <w:t>县城</w:t>
      </w:r>
      <w:r>
        <w:rPr>
          <w:rFonts w:hint="eastAsia" w:eastAsia="仿宋_GB2312"/>
          <w:sz w:val="32"/>
          <w:szCs w:val="32"/>
          <w:highlight w:val="none"/>
        </w:rPr>
        <w:t>全面建成“</w:t>
      </w:r>
      <w:r>
        <w:rPr>
          <w:rFonts w:eastAsia="仿宋_GB2312"/>
          <w:sz w:val="32"/>
          <w:szCs w:val="32"/>
          <w:highlight w:val="none"/>
        </w:rPr>
        <w:t>15</w:t>
      </w:r>
      <w:r>
        <w:rPr>
          <w:rFonts w:hint="eastAsia" w:eastAsia="仿宋_GB2312"/>
          <w:sz w:val="32"/>
          <w:szCs w:val="32"/>
          <w:highlight w:val="none"/>
        </w:rPr>
        <w:t>分钟居家养老服务圈”。</w:t>
      </w:r>
    </w:p>
    <w:bookmarkEnd w:id="73"/>
    <w:p>
      <w:pPr>
        <w:pStyle w:val="3"/>
        <w:numPr>
          <w:ilvl w:val="0"/>
          <w:numId w:val="11"/>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74" w:name="_Toc14486"/>
      <w:r>
        <w:rPr>
          <w:rFonts w:hint="eastAsia" w:ascii="黑体" w:hAnsi="黑体" w:eastAsia="黑体"/>
          <w:color w:val="000000" w:themeColor="text1"/>
          <w:highlight w:val="none"/>
          <w:lang w:eastAsia="zh-CN"/>
          <w14:textFill>
            <w14:solidFill>
              <w14:schemeClr w14:val="tx1"/>
            </w14:solidFill>
          </w14:textFill>
        </w:rPr>
        <w:t>创建智慧绿色的城市服务保障</w:t>
      </w:r>
      <w:bookmarkEnd w:id="74"/>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14:textFill>
            <w14:solidFill>
              <w14:schemeClr w14:val="tx1"/>
            </w14:solidFill>
          </w14:textFill>
        </w:rPr>
        <w:t>构建多源多向的供水体系</w:t>
      </w:r>
    </w:p>
    <w:p>
      <w:pPr>
        <w:pStyle w:val="13"/>
        <w:spacing w:before="0" w:beforeLines="0" w:line="360" w:lineRule="auto"/>
        <w:ind w:left="110" w:right="110" w:firstLine="640"/>
        <w:rPr>
          <w:rFonts w:hint="eastAsia" w:eastAsia="仿宋_GB2312"/>
          <w:color w:val="000000" w:themeColor="text1"/>
          <w:highlight w:val="none"/>
          <w:lang w:eastAsia="zh-CN"/>
          <w14:textFill>
            <w14:solidFill>
              <w14:schemeClr w14:val="tx1"/>
            </w14:solidFill>
          </w14:textFill>
        </w:rPr>
      </w:pPr>
      <w:r>
        <w:rPr>
          <w:rFonts w:hint="eastAsia" w:eastAsia="仿宋_GB2312"/>
          <w:sz w:val="32"/>
          <w:szCs w:val="32"/>
          <w:highlight w:val="none"/>
        </w:rPr>
        <w:t>规划</w:t>
      </w:r>
      <w:r>
        <w:rPr>
          <w:rFonts w:hint="eastAsia" w:eastAsia="仿宋_GB2312"/>
          <w:sz w:val="32"/>
          <w:szCs w:val="32"/>
          <w:highlight w:val="none"/>
          <w:lang w:val="en-US" w:eastAsia="zh-CN"/>
        </w:rPr>
        <w:t>县城</w:t>
      </w:r>
      <w:r>
        <w:rPr>
          <w:rFonts w:hint="eastAsia" w:eastAsia="仿宋_GB2312"/>
          <w:sz w:val="32"/>
          <w:szCs w:val="32"/>
          <w:highlight w:val="none"/>
        </w:rPr>
        <w:t>近期水源来自萧县一水厂，新建开发区增压站，逐步取消</w:t>
      </w:r>
      <w:r>
        <w:rPr>
          <w:rFonts w:hint="eastAsia" w:eastAsia="仿宋_GB2312"/>
          <w:sz w:val="32"/>
          <w:szCs w:val="32"/>
          <w:highlight w:val="none"/>
          <w:lang w:val="en-US" w:eastAsia="zh-CN"/>
        </w:rPr>
        <w:t>县城内</w:t>
      </w:r>
      <w:r>
        <w:rPr>
          <w:rFonts w:hint="eastAsia" w:eastAsia="仿宋_GB2312"/>
          <w:sz w:val="32"/>
          <w:szCs w:val="32"/>
          <w:highlight w:val="none"/>
        </w:rPr>
        <w:t>地下水源供水，</w:t>
      </w:r>
      <w:r>
        <w:rPr>
          <w:rFonts w:hint="eastAsia" w:eastAsia="仿宋_GB2312"/>
          <w:sz w:val="32"/>
          <w:szCs w:val="32"/>
          <w:highlight w:val="none"/>
          <w:lang w:val="en-US" w:eastAsia="zh-CN"/>
        </w:rPr>
        <w:t>并</w:t>
      </w:r>
      <w:r>
        <w:rPr>
          <w:rFonts w:hint="eastAsia" w:eastAsia="仿宋_GB2312"/>
          <w:sz w:val="32"/>
          <w:szCs w:val="32"/>
          <w:highlight w:val="none"/>
        </w:rPr>
        <w:t>保留作为应急水源。远期规划新建城南增压站，供水规模6万立方米</w:t>
      </w:r>
      <w:r>
        <w:rPr>
          <w:rFonts w:eastAsia="仿宋_GB2312"/>
          <w:sz w:val="32"/>
          <w:szCs w:val="32"/>
          <w:highlight w:val="none"/>
        </w:rPr>
        <w:t>/</w:t>
      </w:r>
      <w:r>
        <w:rPr>
          <w:rFonts w:hint="eastAsia" w:eastAsia="仿宋_GB2312"/>
          <w:sz w:val="32"/>
          <w:szCs w:val="32"/>
          <w:highlight w:val="none"/>
        </w:rPr>
        <w:t>日，扩建开发区增压站至4万立方米</w:t>
      </w:r>
      <w:r>
        <w:rPr>
          <w:rFonts w:eastAsia="仿宋_GB2312"/>
          <w:sz w:val="32"/>
          <w:szCs w:val="32"/>
          <w:highlight w:val="none"/>
        </w:rPr>
        <w:t>/</w:t>
      </w:r>
      <w:r>
        <w:rPr>
          <w:rFonts w:hint="eastAsia" w:eastAsia="仿宋_GB2312"/>
          <w:sz w:val="32"/>
          <w:szCs w:val="32"/>
          <w:highlight w:val="none"/>
        </w:rPr>
        <w:t>日。围绕供水设施新建环</w:t>
      </w:r>
      <w:r>
        <w:rPr>
          <w:rFonts w:hint="eastAsia" w:eastAsia="仿宋_GB2312"/>
          <w:sz w:val="32"/>
          <w:szCs w:val="32"/>
          <w:highlight w:val="none"/>
          <w:lang w:val="en-US" w:eastAsia="zh-CN"/>
        </w:rPr>
        <w:t>形</w:t>
      </w:r>
      <w:r>
        <w:rPr>
          <w:rFonts w:hint="eastAsia" w:eastAsia="仿宋_GB2312"/>
          <w:sz w:val="32"/>
          <w:szCs w:val="32"/>
          <w:highlight w:val="none"/>
        </w:rPr>
        <w:t>供水主管，串联各座供水设施，形成一个有机的供水网络，保证</w:t>
      </w:r>
      <w:r>
        <w:rPr>
          <w:rFonts w:hint="eastAsia" w:eastAsia="仿宋_GB2312"/>
          <w:sz w:val="32"/>
          <w:szCs w:val="32"/>
          <w:highlight w:val="none"/>
          <w:lang w:val="en-US" w:eastAsia="zh-CN"/>
        </w:rPr>
        <w:t>县城</w:t>
      </w:r>
      <w:r>
        <w:rPr>
          <w:rFonts w:hint="eastAsia" w:eastAsia="仿宋_GB2312"/>
          <w:sz w:val="32"/>
          <w:szCs w:val="32"/>
          <w:highlight w:val="none"/>
        </w:rPr>
        <w:t>供水的安全可靠和管网运行的经济节能。到</w:t>
      </w:r>
      <w:r>
        <w:rPr>
          <w:rFonts w:eastAsia="仿宋_GB2312"/>
          <w:sz w:val="32"/>
          <w:szCs w:val="32"/>
          <w:highlight w:val="none"/>
        </w:rPr>
        <w:t>2035</w:t>
      </w:r>
      <w:r>
        <w:rPr>
          <w:rFonts w:hint="eastAsia" w:eastAsia="仿宋_GB2312"/>
          <w:sz w:val="32"/>
          <w:szCs w:val="32"/>
          <w:highlight w:val="none"/>
        </w:rPr>
        <w:t>年，</w:t>
      </w:r>
      <w:r>
        <w:rPr>
          <w:rFonts w:hint="eastAsia" w:eastAsia="仿宋_GB2312"/>
          <w:sz w:val="32"/>
          <w:szCs w:val="32"/>
          <w:highlight w:val="none"/>
          <w:lang w:val="en-US" w:eastAsia="zh-CN"/>
        </w:rPr>
        <w:t>县城</w:t>
      </w:r>
      <w:r>
        <w:rPr>
          <w:rFonts w:hint="eastAsia" w:eastAsia="仿宋_GB2312"/>
          <w:sz w:val="32"/>
          <w:szCs w:val="32"/>
          <w:highlight w:val="none"/>
        </w:rPr>
        <w:t>总用水量为</w:t>
      </w:r>
      <w:r>
        <w:rPr>
          <w:rFonts w:hint="eastAsia" w:eastAsia="仿宋_GB2312"/>
          <w:sz w:val="32"/>
          <w:szCs w:val="32"/>
          <w:highlight w:val="none"/>
          <w:lang w:val="en-US" w:eastAsia="zh-CN"/>
        </w:rPr>
        <w:t>12.5</w:t>
      </w:r>
      <w:r>
        <w:rPr>
          <w:rFonts w:hint="eastAsia" w:eastAsia="仿宋_GB2312"/>
          <w:sz w:val="32"/>
          <w:szCs w:val="32"/>
          <w:highlight w:val="none"/>
        </w:rPr>
        <w:t>万立方米</w:t>
      </w:r>
      <w:r>
        <w:rPr>
          <w:rFonts w:eastAsia="仿宋_GB2312"/>
          <w:sz w:val="32"/>
          <w:szCs w:val="32"/>
          <w:highlight w:val="none"/>
        </w:rPr>
        <w:t>/</w:t>
      </w:r>
      <w:r>
        <w:rPr>
          <w:rFonts w:hint="eastAsia" w:eastAsia="仿宋_GB2312"/>
          <w:sz w:val="32"/>
          <w:szCs w:val="32"/>
          <w:highlight w:val="none"/>
        </w:rPr>
        <w:t>日。</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完善排水设施布局</w:t>
      </w:r>
    </w:p>
    <w:p>
      <w:pPr>
        <w:pStyle w:val="13"/>
        <w:spacing w:before="0" w:beforeLines="0" w:line="360" w:lineRule="auto"/>
        <w:ind w:left="110" w:right="110" w:firstLine="640"/>
        <w:rPr>
          <w:rFonts w:hint="eastAsia" w:eastAsia="仿宋_GB2312"/>
          <w:color w:val="000000" w:themeColor="text1"/>
          <w:highlight w:val="none"/>
          <w:lang w:eastAsia="zh-CN"/>
          <w14:textFill>
            <w14:solidFill>
              <w14:schemeClr w14:val="tx1"/>
            </w14:solidFill>
          </w14:textFill>
        </w:rPr>
      </w:pPr>
      <w:r>
        <w:rPr>
          <w:rFonts w:hint="eastAsia" w:eastAsia="仿宋_GB2312"/>
          <w:sz w:val="32"/>
          <w:szCs w:val="32"/>
          <w:highlight w:val="none"/>
        </w:rPr>
        <w:t>老</w:t>
      </w:r>
      <w:r>
        <w:rPr>
          <w:rFonts w:hint="eastAsia" w:eastAsia="仿宋_GB2312"/>
          <w:sz w:val="32"/>
          <w:szCs w:val="32"/>
          <w:highlight w:val="none"/>
          <w:lang w:val="en-US" w:eastAsia="zh-CN"/>
        </w:rPr>
        <w:t>县城</w:t>
      </w:r>
      <w:r>
        <w:rPr>
          <w:rFonts w:hint="eastAsia" w:eastAsia="仿宋_GB2312"/>
          <w:sz w:val="32"/>
          <w:szCs w:val="32"/>
          <w:highlight w:val="none"/>
        </w:rPr>
        <w:t>近期仍采用截流式合流制，随老城改造逐步过渡为雨、污水分流制；城市新建区严格按照分流制建设排水管网。污水量按平均日给水量的</w:t>
      </w:r>
      <w:r>
        <w:rPr>
          <w:rFonts w:eastAsia="仿宋_GB2312"/>
          <w:sz w:val="32"/>
          <w:szCs w:val="32"/>
          <w:highlight w:val="none"/>
        </w:rPr>
        <w:t>85</w:t>
      </w:r>
      <w:r>
        <w:rPr>
          <w:rFonts w:hint="eastAsia" w:eastAsia="仿宋_GB2312"/>
          <w:sz w:val="32"/>
          <w:szCs w:val="32"/>
          <w:highlight w:val="none"/>
        </w:rPr>
        <w:t>%计算，规划扩建现状萧县污水处理厂</w:t>
      </w:r>
      <w:r>
        <w:rPr>
          <w:rFonts w:hint="eastAsia" w:eastAsia="仿宋_GB2312"/>
          <w:sz w:val="32"/>
          <w:szCs w:val="32"/>
          <w:highlight w:val="none"/>
          <w:lang w:val="en-US" w:eastAsia="zh-CN"/>
        </w:rPr>
        <w:t>至</w:t>
      </w:r>
      <w:r>
        <w:rPr>
          <w:rFonts w:eastAsia="仿宋_GB2312"/>
          <w:sz w:val="32"/>
          <w:szCs w:val="32"/>
          <w:highlight w:val="none"/>
        </w:rPr>
        <w:t>10.7</w:t>
      </w:r>
      <w:r>
        <w:rPr>
          <w:rFonts w:hint="eastAsia" w:eastAsia="仿宋_GB2312"/>
          <w:sz w:val="32"/>
          <w:szCs w:val="32"/>
          <w:highlight w:val="none"/>
        </w:rPr>
        <w:t>万立方米</w:t>
      </w:r>
      <w:r>
        <w:rPr>
          <w:rFonts w:eastAsia="仿宋_GB2312"/>
          <w:sz w:val="32"/>
          <w:szCs w:val="32"/>
          <w:highlight w:val="none"/>
        </w:rPr>
        <w:t>/</w:t>
      </w:r>
      <w:r>
        <w:rPr>
          <w:rFonts w:hint="eastAsia" w:eastAsia="仿宋_GB2312"/>
          <w:sz w:val="32"/>
          <w:szCs w:val="32"/>
          <w:highlight w:val="none"/>
        </w:rPr>
        <w:t>日；设置</w:t>
      </w:r>
      <w:r>
        <w:rPr>
          <w:rFonts w:hint="eastAsia" w:eastAsia="仿宋_GB2312"/>
          <w:sz w:val="32"/>
          <w:szCs w:val="32"/>
          <w:highlight w:val="none"/>
          <w:lang w:val="en-US" w:eastAsia="zh-CN"/>
        </w:rPr>
        <w:t>萧县工业园</w:t>
      </w:r>
      <w:r>
        <w:rPr>
          <w:rFonts w:hint="eastAsia" w:eastAsia="仿宋_GB2312"/>
          <w:sz w:val="32"/>
          <w:szCs w:val="32"/>
          <w:highlight w:val="none"/>
        </w:rPr>
        <w:t>污水泵站</w:t>
      </w:r>
      <w:r>
        <w:rPr>
          <w:rFonts w:hint="eastAsia" w:eastAsia="仿宋_GB2312"/>
          <w:sz w:val="32"/>
          <w:szCs w:val="32"/>
          <w:highlight w:val="none"/>
          <w:lang w:eastAsia="zh-CN"/>
        </w:rPr>
        <w:t>、</w:t>
      </w:r>
      <w:r>
        <w:rPr>
          <w:rFonts w:hint="eastAsia" w:eastAsia="仿宋_GB2312"/>
          <w:sz w:val="32"/>
          <w:szCs w:val="32"/>
          <w:highlight w:val="none"/>
          <w:lang w:val="en-US" w:eastAsia="zh-CN"/>
        </w:rPr>
        <w:t>经开区</w:t>
      </w:r>
      <w:r>
        <w:rPr>
          <w:rFonts w:hint="eastAsia" w:eastAsia="仿宋_GB2312"/>
          <w:sz w:val="32"/>
          <w:szCs w:val="32"/>
          <w:highlight w:val="none"/>
        </w:rPr>
        <w:t>污水泵站</w:t>
      </w:r>
      <w:r>
        <w:rPr>
          <w:rFonts w:hint="eastAsia" w:eastAsia="仿宋_GB2312"/>
          <w:sz w:val="32"/>
          <w:szCs w:val="32"/>
          <w:highlight w:val="none"/>
          <w:lang w:val="en-US" w:eastAsia="zh-CN"/>
        </w:rPr>
        <w:t>2</w:t>
      </w:r>
      <w:r>
        <w:rPr>
          <w:rFonts w:hint="eastAsia" w:eastAsia="仿宋_GB2312"/>
          <w:sz w:val="32"/>
          <w:szCs w:val="32"/>
          <w:highlight w:val="none"/>
        </w:rPr>
        <w:t>座污水泵站。排水管网采用枝状结构，结合地形条件规划布置。到</w:t>
      </w:r>
      <w:r>
        <w:rPr>
          <w:rFonts w:eastAsia="仿宋_GB2312"/>
          <w:sz w:val="32"/>
          <w:szCs w:val="32"/>
          <w:highlight w:val="none"/>
        </w:rPr>
        <w:t>2035</w:t>
      </w:r>
      <w:r>
        <w:rPr>
          <w:rFonts w:hint="eastAsia" w:eastAsia="仿宋_GB2312"/>
          <w:sz w:val="32"/>
          <w:szCs w:val="32"/>
          <w:highlight w:val="none"/>
        </w:rPr>
        <w:t>年，中心城区污水总量控制在</w:t>
      </w:r>
      <w:r>
        <w:rPr>
          <w:rFonts w:hint="eastAsia" w:eastAsia="仿宋_GB2312"/>
          <w:sz w:val="32"/>
          <w:szCs w:val="32"/>
          <w:highlight w:val="none"/>
          <w:lang w:val="en-US" w:eastAsia="zh-CN"/>
        </w:rPr>
        <w:t>10.7</w:t>
      </w:r>
      <w:r>
        <w:rPr>
          <w:rFonts w:hint="eastAsia" w:eastAsia="仿宋_GB2312"/>
          <w:sz w:val="32"/>
          <w:szCs w:val="32"/>
          <w:highlight w:val="none"/>
        </w:rPr>
        <w:t>万立方米</w:t>
      </w:r>
      <w:r>
        <w:rPr>
          <w:rFonts w:eastAsia="仿宋_GB2312"/>
          <w:sz w:val="32"/>
          <w:szCs w:val="32"/>
          <w:highlight w:val="none"/>
        </w:rPr>
        <w:t>/</w:t>
      </w:r>
      <w:r>
        <w:rPr>
          <w:rFonts w:hint="eastAsia" w:eastAsia="仿宋_GB2312"/>
          <w:sz w:val="32"/>
          <w:szCs w:val="32"/>
          <w:highlight w:val="none"/>
        </w:rPr>
        <w:t>日。</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打造区域互联的电力网络</w:t>
      </w:r>
    </w:p>
    <w:p>
      <w:pPr>
        <w:pStyle w:val="13"/>
        <w:spacing w:before="0" w:beforeLines="0" w:line="360" w:lineRule="auto"/>
        <w:ind w:left="110" w:right="110" w:firstLine="640"/>
        <w:rPr>
          <w:rFonts w:hint="eastAsia" w:eastAsia="仿宋_GB2312"/>
          <w:sz w:val="32"/>
          <w:szCs w:val="32"/>
          <w:highlight w:val="none"/>
        </w:rPr>
      </w:pPr>
      <w:r>
        <w:rPr>
          <w:rFonts w:hint="eastAsia" w:eastAsia="仿宋_GB2312"/>
          <w:sz w:val="32"/>
          <w:szCs w:val="32"/>
          <w:highlight w:val="none"/>
        </w:rPr>
        <w:t>规划</w:t>
      </w:r>
      <w:r>
        <w:rPr>
          <w:rFonts w:hint="eastAsia" w:eastAsia="仿宋_GB2312"/>
          <w:sz w:val="32"/>
          <w:szCs w:val="32"/>
          <w:highlight w:val="none"/>
          <w:lang w:val="en-US" w:eastAsia="zh-CN"/>
        </w:rPr>
        <w:t>县城</w:t>
      </w:r>
      <w:r>
        <w:rPr>
          <w:rFonts w:hint="eastAsia" w:eastAsia="仿宋_GB2312"/>
          <w:sz w:val="32"/>
          <w:szCs w:val="32"/>
          <w:highlight w:val="none"/>
        </w:rPr>
        <w:t>设置</w:t>
      </w:r>
      <w:r>
        <w:rPr>
          <w:rFonts w:hint="eastAsia" w:eastAsia="仿宋_GB2312"/>
          <w:sz w:val="32"/>
          <w:szCs w:val="32"/>
          <w:highlight w:val="none"/>
          <w:lang w:val="en-US" w:eastAsia="zh-CN"/>
        </w:rPr>
        <w:t>5</w:t>
      </w:r>
      <w:r>
        <w:rPr>
          <w:rFonts w:hint="eastAsia" w:eastAsia="仿宋_GB2312"/>
          <w:sz w:val="32"/>
          <w:szCs w:val="32"/>
          <w:highlight w:val="none"/>
        </w:rPr>
        <w:t>座</w:t>
      </w:r>
      <w:r>
        <w:rPr>
          <w:rFonts w:eastAsia="仿宋_GB2312"/>
          <w:sz w:val="32"/>
          <w:szCs w:val="32"/>
          <w:highlight w:val="none"/>
        </w:rPr>
        <w:t>110</w:t>
      </w:r>
      <w:r>
        <w:rPr>
          <w:rFonts w:hint="eastAsia" w:eastAsia="仿宋_GB2312"/>
          <w:sz w:val="32"/>
          <w:szCs w:val="32"/>
          <w:highlight w:val="none"/>
        </w:rPr>
        <w:t>千伏变电站，分别为现状</w:t>
      </w:r>
      <w:r>
        <w:rPr>
          <w:rFonts w:eastAsia="仿宋_GB2312"/>
          <w:sz w:val="32"/>
          <w:szCs w:val="32"/>
          <w:highlight w:val="none"/>
        </w:rPr>
        <w:t>110</w:t>
      </w:r>
      <w:r>
        <w:rPr>
          <w:rFonts w:hint="eastAsia" w:eastAsia="仿宋_GB2312"/>
          <w:sz w:val="32"/>
          <w:szCs w:val="32"/>
          <w:highlight w:val="none"/>
        </w:rPr>
        <w:t>千伏萧城变、黄桥变、闸河变，规划</w:t>
      </w:r>
      <w:r>
        <w:rPr>
          <w:rFonts w:eastAsia="仿宋_GB2312"/>
          <w:sz w:val="32"/>
          <w:szCs w:val="32"/>
          <w:highlight w:val="none"/>
        </w:rPr>
        <w:t>110</w:t>
      </w:r>
      <w:r>
        <w:rPr>
          <w:rFonts w:hint="eastAsia" w:eastAsia="仿宋_GB2312"/>
          <w:sz w:val="32"/>
          <w:szCs w:val="32"/>
          <w:highlight w:val="none"/>
        </w:rPr>
        <w:t>千伏龙河变和</w:t>
      </w:r>
      <w:r>
        <w:rPr>
          <w:rFonts w:hint="eastAsia" w:eastAsia="仿宋_GB2312"/>
          <w:sz w:val="32"/>
          <w:szCs w:val="32"/>
          <w:highlight w:val="none"/>
          <w:lang w:val="en-US" w:eastAsia="zh-CN"/>
        </w:rPr>
        <w:t>王山</w:t>
      </w:r>
      <w:r>
        <w:rPr>
          <w:rFonts w:hint="eastAsia" w:eastAsia="仿宋_GB2312"/>
          <w:sz w:val="32"/>
          <w:szCs w:val="32"/>
          <w:highlight w:val="none"/>
        </w:rPr>
        <w:t>变。规划</w:t>
      </w:r>
      <w:r>
        <w:rPr>
          <w:rFonts w:eastAsia="仿宋_GB2312"/>
          <w:sz w:val="32"/>
          <w:szCs w:val="32"/>
          <w:highlight w:val="none"/>
        </w:rPr>
        <w:t>110</w:t>
      </w:r>
      <w:r>
        <w:rPr>
          <w:rFonts w:hint="eastAsia" w:eastAsia="仿宋_GB2312"/>
          <w:sz w:val="32"/>
          <w:szCs w:val="32"/>
          <w:highlight w:val="none"/>
        </w:rPr>
        <w:t>千伏高压线路应尽可能布置在</w:t>
      </w:r>
      <w:r>
        <w:rPr>
          <w:rFonts w:hint="eastAsia" w:eastAsia="仿宋_GB2312"/>
          <w:sz w:val="32"/>
          <w:szCs w:val="32"/>
          <w:highlight w:val="none"/>
          <w:lang w:val="en-US" w:eastAsia="zh-CN"/>
        </w:rPr>
        <w:t>县城</w:t>
      </w:r>
      <w:r>
        <w:rPr>
          <w:rFonts w:hint="eastAsia" w:eastAsia="仿宋_GB2312"/>
          <w:sz w:val="32"/>
          <w:szCs w:val="32"/>
          <w:highlight w:val="none"/>
        </w:rPr>
        <w:t>外围，深入</w:t>
      </w:r>
      <w:r>
        <w:rPr>
          <w:rFonts w:hint="eastAsia" w:eastAsia="仿宋_GB2312"/>
          <w:sz w:val="32"/>
          <w:szCs w:val="32"/>
          <w:highlight w:val="none"/>
          <w:lang w:val="en-US" w:eastAsia="zh-CN"/>
        </w:rPr>
        <w:t>县城</w:t>
      </w:r>
      <w:r>
        <w:rPr>
          <w:rFonts w:eastAsia="仿宋_GB2312"/>
          <w:sz w:val="32"/>
          <w:szCs w:val="32"/>
          <w:highlight w:val="none"/>
        </w:rPr>
        <w:t>110</w:t>
      </w:r>
      <w:r>
        <w:rPr>
          <w:rFonts w:hint="eastAsia" w:eastAsia="仿宋_GB2312"/>
          <w:sz w:val="32"/>
          <w:szCs w:val="32"/>
          <w:highlight w:val="none"/>
        </w:rPr>
        <w:t>千伏高压线路应尽量以电缆方式布置，在城市新建道路主要人行道下要预留电力电缆走廊。</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完善燃气设施布局</w:t>
      </w:r>
    </w:p>
    <w:p>
      <w:pPr>
        <w:pStyle w:val="13"/>
        <w:spacing w:before="0" w:beforeLines="0" w:line="360" w:lineRule="auto"/>
        <w:ind w:left="110" w:right="110" w:firstLine="640"/>
        <w:rPr>
          <w:rFonts w:hint="eastAsia" w:eastAsia="仿宋_GB2312"/>
          <w:highlight w:val="none"/>
        </w:rPr>
      </w:pPr>
      <w:r>
        <w:rPr>
          <w:rFonts w:hint="eastAsia" w:eastAsia="仿宋_GB2312"/>
          <w:sz w:val="32"/>
          <w:szCs w:val="32"/>
          <w:highlight w:val="none"/>
        </w:rPr>
        <w:t>规划</w:t>
      </w:r>
      <w:r>
        <w:rPr>
          <w:rFonts w:hint="eastAsia" w:eastAsia="仿宋_GB2312"/>
          <w:sz w:val="32"/>
          <w:szCs w:val="32"/>
          <w:highlight w:val="none"/>
          <w:lang w:val="en-US" w:eastAsia="zh-CN"/>
        </w:rPr>
        <w:t>县城</w:t>
      </w:r>
      <w:r>
        <w:rPr>
          <w:rFonts w:hint="eastAsia" w:eastAsia="仿宋_GB2312"/>
          <w:sz w:val="32"/>
          <w:szCs w:val="32"/>
          <w:highlight w:val="none"/>
        </w:rPr>
        <w:t>天然气气源为西气东输</w:t>
      </w:r>
      <w:r>
        <w:rPr>
          <w:rFonts w:eastAsia="仿宋_GB2312"/>
          <w:sz w:val="32"/>
          <w:szCs w:val="32"/>
          <w:highlight w:val="none"/>
        </w:rPr>
        <w:t>I</w:t>
      </w:r>
      <w:r>
        <w:rPr>
          <w:rFonts w:hint="eastAsia" w:eastAsia="仿宋_GB2312"/>
          <w:sz w:val="32"/>
          <w:szCs w:val="32"/>
          <w:highlight w:val="none"/>
        </w:rPr>
        <w:t>线、</w:t>
      </w:r>
      <w:r>
        <w:rPr>
          <w:rFonts w:hint="eastAsia" w:eastAsia="仿宋_GB2312"/>
          <w:sz w:val="32"/>
          <w:szCs w:val="32"/>
          <w:highlight w:val="none"/>
          <w:lang w:eastAsia="zh-CN"/>
        </w:rPr>
        <w:t>Ⅱ</w:t>
      </w:r>
      <w:r>
        <w:rPr>
          <w:rFonts w:hint="eastAsia" w:eastAsia="仿宋_GB2312"/>
          <w:sz w:val="32"/>
          <w:szCs w:val="32"/>
          <w:highlight w:val="none"/>
        </w:rPr>
        <w:t>线和川气东送三路气源，</w:t>
      </w:r>
      <w:r>
        <w:rPr>
          <w:rFonts w:hint="eastAsia" w:eastAsia="仿宋_GB2312"/>
          <w:sz w:val="32"/>
          <w:szCs w:val="32"/>
          <w:highlight w:val="none"/>
          <w:lang w:val="en-US" w:eastAsia="zh-CN"/>
        </w:rPr>
        <w:t>县城</w:t>
      </w:r>
      <w:r>
        <w:rPr>
          <w:rFonts w:hint="eastAsia" w:eastAsia="仿宋_GB2312"/>
          <w:sz w:val="32"/>
          <w:szCs w:val="32"/>
          <w:highlight w:val="none"/>
        </w:rPr>
        <w:t>形成扩建现状萧县天然气门站和经开区天然气门站双门站的城市气源保障体系。现状萧县次高压天然气管道沿</w:t>
      </w:r>
      <w:r>
        <w:rPr>
          <w:rFonts w:eastAsia="仿宋_GB2312"/>
          <w:sz w:val="32"/>
          <w:szCs w:val="32"/>
          <w:highlight w:val="none"/>
        </w:rPr>
        <w:t>S238</w:t>
      </w:r>
      <w:r>
        <w:rPr>
          <w:rFonts w:hint="eastAsia" w:eastAsia="仿宋_GB2312"/>
          <w:sz w:val="32"/>
          <w:szCs w:val="32"/>
          <w:highlight w:val="none"/>
        </w:rPr>
        <w:t>建设，规划萧县经济开发区天然气门站次高压管道主要沿</w:t>
      </w:r>
      <w:r>
        <w:rPr>
          <w:rFonts w:eastAsia="仿宋_GB2312"/>
          <w:sz w:val="32"/>
          <w:szCs w:val="32"/>
          <w:highlight w:val="none"/>
        </w:rPr>
        <w:t>G30</w:t>
      </w:r>
      <w:r>
        <w:rPr>
          <w:rFonts w:hint="eastAsia" w:eastAsia="仿宋_GB2312"/>
          <w:sz w:val="32"/>
          <w:szCs w:val="32"/>
          <w:highlight w:val="none"/>
        </w:rPr>
        <w:t>连霍高速布置。</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统筹通信基础设施建设</w:t>
      </w:r>
    </w:p>
    <w:p>
      <w:pPr>
        <w:pStyle w:val="13"/>
        <w:spacing w:before="0" w:beforeLines="0" w:line="360" w:lineRule="auto"/>
        <w:ind w:left="110" w:right="110" w:firstLine="640"/>
        <w:rPr>
          <w:rFonts w:hint="eastAsia" w:eastAsia="仿宋_GB2312"/>
          <w:color w:val="000000" w:themeColor="text1"/>
          <w:highlight w:val="none"/>
          <w:lang w:eastAsia="zh-CN"/>
          <w14:textFill>
            <w14:solidFill>
              <w14:schemeClr w14:val="tx1"/>
            </w14:solidFill>
          </w14:textFill>
        </w:rPr>
      </w:pPr>
      <w:r>
        <w:rPr>
          <w:rFonts w:eastAsia="仿宋_GB2312"/>
          <w:color w:val="000000" w:themeColor="text1"/>
          <w:highlight w:val="none"/>
          <w14:textFill>
            <w14:solidFill>
              <w14:schemeClr w14:val="tx1"/>
            </w14:solidFill>
          </w14:textFill>
        </w:rPr>
        <w:t>推进电信基础共建共享，加强通信网络、重要信息系统和数据资源保护，增强信息基础设施可靠性，建设关键信息基础设施网络安全防护和监管平台。加强政务、金融、能源、交通等重点领域的重要网站、信息系统和云计算、大数据平台的安全保障，加强水、电、油、气、讯等城镇运行生命线的工程控制系统安全防护。构建覆盖全面、高速畅通、技术先进、安全稳定、富有弹性的通信网络基础设施体系，打造智慧城镇。到2035年，重点区域5G网络全域全覆盖，宽带用户比例不低于95%。</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优化环卫设施布局</w:t>
      </w:r>
    </w:p>
    <w:p>
      <w:pPr>
        <w:pStyle w:val="13"/>
        <w:spacing w:before="0" w:beforeLines="0" w:line="360" w:lineRule="auto"/>
        <w:ind w:left="110" w:right="110" w:firstLine="640"/>
        <w:rPr>
          <w:rFonts w:hint="eastAsia" w:eastAsia="PMingLiU"/>
          <w:color w:val="000000" w:themeColor="text1"/>
          <w:highlight w:val="none"/>
          <w:lang w:eastAsia="zh-CN"/>
          <w14:textFill>
            <w14:solidFill>
              <w14:schemeClr w14:val="tx1"/>
            </w14:solidFill>
          </w14:textFill>
        </w:rPr>
      </w:pPr>
      <w:r>
        <w:rPr>
          <w:rFonts w:hint="eastAsia" w:eastAsia="仿宋_GB2312"/>
          <w:sz w:val="32"/>
          <w:szCs w:val="32"/>
          <w:highlight w:val="none"/>
        </w:rPr>
        <w:t>规划</w:t>
      </w:r>
      <w:r>
        <w:rPr>
          <w:rFonts w:hint="eastAsia" w:eastAsia="仿宋_GB2312"/>
          <w:sz w:val="32"/>
          <w:szCs w:val="32"/>
          <w:highlight w:val="none"/>
          <w:lang w:val="en-US" w:eastAsia="zh-CN"/>
        </w:rPr>
        <w:t>县城</w:t>
      </w:r>
      <w:r>
        <w:rPr>
          <w:rFonts w:hint="eastAsia" w:eastAsia="仿宋_GB2312"/>
          <w:sz w:val="32"/>
          <w:szCs w:val="32"/>
          <w:highlight w:val="none"/>
        </w:rPr>
        <w:t>垃圾处理设施以无害化、减量化、资源化为基本原则，到</w:t>
      </w:r>
      <w:r>
        <w:rPr>
          <w:rFonts w:eastAsia="仿宋_GB2312"/>
          <w:sz w:val="32"/>
          <w:szCs w:val="32"/>
          <w:highlight w:val="none"/>
        </w:rPr>
        <w:t>2035</w:t>
      </w:r>
      <w:r>
        <w:rPr>
          <w:rFonts w:hint="eastAsia" w:eastAsia="仿宋_GB2312"/>
          <w:sz w:val="32"/>
          <w:szCs w:val="32"/>
          <w:highlight w:val="none"/>
        </w:rPr>
        <w:t>年，</w:t>
      </w:r>
      <w:r>
        <w:rPr>
          <w:rFonts w:hint="eastAsia" w:eastAsia="仿宋_GB2312"/>
          <w:sz w:val="32"/>
          <w:szCs w:val="32"/>
          <w:highlight w:val="none"/>
          <w:lang w:val="en-US" w:eastAsia="zh-CN"/>
        </w:rPr>
        <w:t>县城</w:t>
      </w:r>
      <w:r>
        <w:rPr>
          <w:rFonts w:hint="eastAsia" w:eastAsia="仿宋_GB2312"/>
          <w:sz w:val="32"/>
          <w:szCs w:val="32"/>
          <w:highlight w:val="none"/>
        </w:rPr>
        <w:t>范围内共设置1处环卫基地和1</w:t>
      </w:r>
      <w:r>
        <w:rPr>
          <w:rFonts w:hint="eastAsia" w:eastAsia="仿宋_GB2312"/>
          <w:sz w:val="32"/>
          <w:szCs w:val="32"/>
          <w:highlight w:val="none"/>
          <w:lang w:val="en-US" w:eastAsia="zh-CN"/>
        </w:rPr>
        <w:t>1</w:t>
      </w:r>
      <w:r>
        <w:rPr>
          <w:rFonts w:hint="eastAsia" w:eastAsia="仿宋_GB2312"/>
          <w:sz w:val="32"/>
          <w:szCs w:val="32"/>
          <w:highlight w:val="none"/>
        </w:rPr>
        <w:t>座小型垃圾转运站，垃圾环卫基地包含中型垃圾转运站和环卫停车场，位于市场路与前进路交口东侧。</w:t>
      </w:r>
    </w:p>
    <w:p>
      <w:pPr>
        <w:pStyle w:val="3"/>
        <w:numPr>
          <w:ilvl w:val="0"/>
          <w:numId w:val="11"/>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75" w:name="_Toc25439"/>
      <w:r>
        <w:rPr>
          <w:rFonts w:hint="eastAsia" w:ascii="黑体" w:hAnsi="黑体" w:eastAsia="黑体"/>
          <w:color w:val="000000" w:themeColor="text1"/>
          <w:highlight w:val="none"/>
          <w:lang w:eastAsia="zh-CN"/>
          <w14:textFill>
            <w14:solidFill>
              <w14:schemeClr w14:val="tx1"/>
            </w14:solidFill>
          </w14:textFill>
        </w:rPr>
        <w:t>提升防灾减灾和综合应急水平</w:t>
      </w:r>
      <w:bookmarkEnd w:id="75"/>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设置疏散通道和避震场所</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hint="eastAsia" w:eastAsia="仿宋_GB2312"/>
          <w:sz w:val="32"/>
          <w:szCs w:val="32"/>
          <w:highlight w:val="none"/>
          <w:u w:val="single"/>
          <w:lang w:val="en-US" w:eastAsia="zh-CN"/>
        </w:rPr>
        <w:t>县城</w:t>
      </w:r>
      <w:r>
        <w:rPr>
          <w:rFonts w:hint="eastAsia" w:eastAsia="仿宋_GB2312"/>
          <w:sz w:val="32"/>
          <w:szCs w:val="32"/>
          <w:highlight w:val="none"/>
          <w:u w:val="single"/>
        </w:rPr>
        <w:t>抗震烈度为7度</w:t>
      </w:r>
      <w:r>
        <w:rPr>
          <w:rFonts w:hint="eastAsia" w:eastAsia="仿宋_GB2312"/>
          <w:sz w:val="32"/>
          <w:szCs w:val="32"/>
          <w:highlight w:val="none"/>
        </w:rPr>
        <w:t>，属于重点设防地区。规划设置疏散通道和避震场所。以外环路、龙凤大道、交通路、世纪大道、萧国大道、城西路、中山路、龙山路等道路为避震疏散道路，满足作为避震的道路或通道的要求。规划利用广场、公园、绿地等空旷场地作为避震场所，避震场所内有一定的抗震避险设施，确保饮水、食物和生活必需品的供应。在避震道路沿线、避震场所应设置明显的避震标识。</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构建安全生态的防洪排涝体系</w:t>
      </w:r>
    </w:p>
    <w:p>
      <w:pPr>
        <w:pStyle w:val="13"/>
        <w:spacing w:before="0" w:beforeLines="0" w:line="360" w:lineRule="auto"/>
        <w:ind w:left="110" w:right="110" w:firstLine="640"/>
        <w:rPr>
          <w:rFonts w:hint="eastAsia" w:eastAsia="仿宋_GB2312"/>
          <w:color w:val="000000" w:themeColor="text1"/>
          <w:highlight w:val="none"/>
          <w14:textFill>
            <w14:solidFill>
              <w14:schemeClr w14:val="tx1"/>
            </w14:solidFill>
          </w14:textFill>
        </w:rPr>
      </w:pPr>
      <w:r>
        <w:rPr>
          <w:rFonts w:eastAsia="仿宋_GB2312"/>
          <w:color w:val="000000" w:themeColor="text1"/>
          <w:highlight w:val="none"/>
          <w14:textFill>
            <w14:solidFill>
              <w14:schemeClr w14:val="tx1"/>
            </w14:solidFill>
          </w14:textFill>
        </w:rPr>
        <w:t>完善河道、蓄滞洪区等工程与非工程防洪减灾体系。加强以水库和</w:t>
      </w:r>
      <w:r>
        <w:rPr>
          <w:rFonts w:hint="eastAsia" w:eastAsia="仿宋_GB2312"/>
          <w:color w:val="000000" w:themeColor="text1"/>
          <w:highlight w:val="none"/>
          <w:lang w:val="en-US" w:eastAsia="zh-CN"/>
          <w14:textFill>
            <w14:solidFill>
              <w14:schemeClr w14:val="tx1"/>
            </w14:solidFill>
          </w14:textFill>
        </w:rPr>
        <w:t>干渠</w:t>
      </w:r>
      <w:r>
        <w:rPr>
          <w:rFonts w:eastAsia="仿宋_GB2312"/>
          <w:color w:val="000000" w:themeColor="text1"/>
          <w:highlight w:val="none"/>
          <w14:textFill>
            <w14:solidFill>
              <w14:schemeClr w14:val="tx1"/>
            </w14:solidFill>
          </w14:textFill>
        </w:rPr>
        <w:t>为主的防洪体系建设，强化骨干河道以及重点中小河道治理，保留河道行洪通道。</w:t>
      </w:r>
      <w:r>
        <w:rPr>
          <w:rFonts w:hint="eastAsia" w:eastAsia="仿宋_GB2312"/>
          <w:color w:val="000000" w:themeColor="text1"/>
          <w:highlight w:val="none"/>
          <w:u w:val="single"/>
          <w:lang w:eastAsia="zh-CN"/>
          <w14:textFill>
            <w14:solidFill>
              <w14:schemeClr w14:val="tx1"/>
            </w14:solidFill>
          </w14:textFill>
        </w:rPr>
        <w:t>县城</w:t>
      </w:r>
      <w:r>
        <w:rPr>
          <w:rFonts w:eastAsia="仿宋_GB2312"/>
          <w:color w:val="000000" w:themeColor="text1"/>
          <w:highlight w:val="none"/>
          <w:u w:val="single"/>
          <w14:textFill>
            <w14:solidFill>
              <w14:schemeClr w14:val="tx1"/>
            </w14:solidFill>
          </w14:textFill>
        </w:rPr>
        <w:t>防洪标准达到</w:t>
      </w:r>
      <w:r>
        <w:rPr>
          <w:rFonts w:hint="eastAsia" w:eastAsia="仿宋_GB2312"/>
          <w:color w:val="000000" w:themeColor="text1"/>
          <w:highlight w:val="none"/>
          <w:u w:val="single"/>
          <w:lang w:val="en-US" w:eastAsia="zh-CN"/>
          <w14:textFill>
            <w14:solidFill>
              <w14:schemeClr w14:val="tx1"/>
            </w14:solidFill>
          </w14:textFill>
        </w:rPr>
        <w:t>50</w:t>
      </w:r>
      <w:r>
        <w:rPr>
          <w:rFonts w:eastAsia="仿宋_GB2312"/>
          <w:color w:val="000000" w:themeColor="text1"/>
          <w:highlight w:val="none"/>
          <w:u w:val="single"/>
          <w14:textFill>
            <w14:solidFill>
              <w14:schemeClr w14:val="tx1"/>
            </w14:solidFill>
          </w14:textFill>
        </w:rPr>
        <w:t>年一遇，排涝标准</w:t>
      </w:r>
      <w:r>
        <w:rPr>
          <w:rFonts w:hint="eastAsia" w:eastAsia="仿宋_GB2312"/>
          <w:color w:val="000000" w:themeColor="text1"/>
          <w:highlight w:val="none"/>
          <w:u w:val="single"/>
          <w14:textFill>
            <w14:solidFill>
              <w14:schemeClr w14:val="tx1"/>
            </w14:solidFill>
          </w14:textFill>
        </w:rPr>
        <w:t>为有效抵御</w:t>
      </w:r>
      <w:r>
        <w:rPr>
          <w:rFonts w:hint="eastAsia" w:eastAsia="仿宋_GB2312"/>
          <w:color w:val="000000" w:themeColor="text1"/>
          <w:highlight w:val="none"/>
          <w:u w:val="single"/>
          <w:lang w:val="en-US" w:eastAsia="zh-CN"/>
          <w14:textFill>
            <w14:solidFill>
              <w14:schemeClr w14:val="tx1"/>
            </w14:solidFill>
          </w14:textFill>
        </w:rPr>
        <w:t>30</w:t>
      </w:r>
      <w:r>
        <w:rPr>
          <w:rFonts w:eastAsia="仿宋_GB2312"/>
          <w:color w:val="000000" w:themeColor="text1"/>
          <w:highlight w:val="none"/>
          <w:u w:val="single"/>
          <w14:textFill>
            <w14:solidFill>
              <w14:schemeClr w14:val="tx1"/>
            </w14:solidFill>
          </w14:textFill>
        </w:rPr>
        <w:t>年一遇24h设计暴雨。</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提升消防安全</w:t>
      </w:r>
    </w:p>
    <w:p>
      <w:pPr>
        <w:pStyle w:val="13"/>
        <w:spacing w:before="120" w:line="360" w:lineRule="auto"/>
        <w:ind w:left="110" w:right="110" w:firstLine="681" w:firstLineChars="213"/>
        <w:rPr>
          <w:rFonts w:hint="eastAsia" w:eastAsia="仿宋_GB2312"/>
          <w:sz w:val="32"/>
          <w:szCs w:val="32"/>
          <w:highlight w:val="none"/>
        </w:rPr>
      </w:pPr>
      <w:r>
        <w:rPr>
          <w:rFonts w:hint="eastAsia" w:eastAsia="仿宋_GB2312"/>
          <w:sz w:val="32"/>
          <w:szCs w:val="32"/>
          <w:highlight w:val="none"/>
        </w:rPr>
        <w:t>按照普通消防站辖区面积为4-7平方千米，城市外围交通条件较好或者辖区内分布大量生态绿地的区域不得超过15平方千米的设置标准，</w:t>
      </w:r>
      <w:r>
        <w:rPr>
          <w:rFonts w:hint="eastAsia" w:eastAsia="仿宋_GB2312"/>
          <w:sz w:val="32"/>
          <w:szCs w:val="32"/>
          <w:highlight w:val="none"/>
          <w:lang w:val="en-US" w:eastAsia="zh-CN"/>
        </w:rPr>
        <w:t>县城</w:t>
      </w:r>
      <w:r>
        <w:rPr>
          <w:rFonts w:hint="eastAsia" w:eastAsia="仿宋_GB2312"/>
          <w:sz w:val="32"/>
          <w:szCs w:val="32"/>
          <w:highlight w:val="none"/>
        </w:rPr>
        <w:t>范围内共设置</w:t>
      </w:r>
      <w:r>
        <w:rPr>
          <w:rFonts w:hint="eastAsia" w:eastAsia="仿宋_GB2312"/>
          <w:sz w:val="32"/>
          <w:szCs w:val="32"/>
          <w:highlight w:val="none"/>
          <w:lang w:val="en-US" w:eastAsia="zh-CN"/>
        </w:rPr>
        <w:t>5</w:t>
      </w:r>
      <w:r>
        <w:rPr>
          <w:rFonts w:hint="eastAsia" w:eastAsia="仿宋_GB2312"/>
          <w:sz w:val="32"/>
          <w:szCs w:val="32"/>
          <w:highlight w:val="none"/>
        </w:rPr>
        <w:t>座消防站，分别为现状2座消防站和规划</w:t>
      </w:r>
      <w:r>
        <w:rPr>
          <w:rFonts w:hint="eastAsia" w:eastAsia="仿宋_GB2312"/>
          <w:sz w:val="32"/>
          <w:szCs w:val="32"/>
          <w:highlight w:val="none"/>
          <w:lang w:val="en-US" w:eastAsia="zh-CN"/>
        </w:rPr>
        <w:t>3</w:t>
      </w:r>
      <w:r>
        <w:rPr>
          <w:rFonts w:hint="eastAsia" w:eastAsia="仿宋_GB2312"/>
          <w:sz w:val="32"/>
          <w:szCs w:val="32"/>
          <w:highlight w:val="none"/>
        </w:rPr>
        <w:t>座消防站。消防通道结合城市道路和河道布置。消防供水应充分利用天然水源，在主要河湖应辟出消防取水口。</w:t>
      </w:r>
    </w:p>
    <w:p>
      <w:pPr>
        <w:pStyle w:val="46"/>
        <w:spacing w:before="0" w:line="360" w:lineRule="auto"/>
        <w:ind w:left="0" w:right="108" w:firstLine="675" w:firstLineChars="200"/>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完善人防工程建设</w:t>
      </w:r>
    </w:p>
    <w:p>
      <w:pPr>
        <w:pStyle w:val="13"/>
        <w:spacing w:before="120" w:line="360" w:lineRule="auto"/>
        <w:ind w:left="110" w:right="110" w:firstLine="681" w:firstLineChars="213"/>
        <w:rPr>
          <w:rFonts w:hint="eastAsia" w:eastAsia="仿宋_GB2312"/>
          <w:sz w:val="32"/>
          <w:szCs w:val="32"/>
          <w:highlight w:val="none"/>
          <w:lang w:eastAsia="zh-CN"/>
        </w:rPr>
      </w:pPr>
      <w:r>
        <w:rPr>
          <w:rFonts w:hint="eastAsia" w:eastAsia="仿宋_GB2312"/>
          <w:sz w:val="32"/>
          <w:szCs w:val="32"/>
          <w:highlight w:val="none"/>
        </w:rPr>
        <w:t>坚持人防建设与经济建设、城市建设相结合，贯彻“平战结合、资源共享”原则，人防规划与城市规划、消防规划及各类专项规划相联系，以提高区域防护和抗毁能力，实现战备效益、社会效益、经济效益和环境效益的统一。按战时40%的人口留城，及人均1-1.5平方米的人防工程面积标准，</w:t>
      </w:r>
      <w:r>
        <w:rPr>
          <w:rFonts w:hint="eastAsia" w:eastAsia="仿宋_GB2312"/>
          <w:sz w:val="32"/>
          <w:szCs w:val="32"/>
          <w:highlight w:val="none"/>
          <w:lang w:val="en-US" w:eastAsia="zh-CN"/>
        </w:rPr>
        <w:t>县城</w:t>
      </w:r>
      <w:r>
        <w:rPr>
          <w:rFonts w:hint="eastAsia" w:eastAsia="仿宋_GB2312"/>
          <w:sz w:val="32"/>
          <w:szCs w:val="32"/>
          <w:highlight w:val="none"/>
        </w:rPr>
        <w:t>人防工程面积为</w:t>
      </w:r>
      <w:r>
        <w:rPr>
          <w:rFonts w:hint="eastAsia" w:eastAsia="仿宋_GB2312"/>
          <w:sz w:val="32"/>
          <w:szCs w:val="32"/>
          <w:highlight w:val="none"/>
          <w:lang w:eastAsia="zh-CN"/>
        </w:rPr>
        <w:t>12.5万-18.8万</w:t>
      </w:r>
      <w:r>
        <w:rPr>
          <w:rFonts w:hint="eastAsia" w:eastAsia="仿宋_GB2312"/>
          <w:sz w:val="32"/>
          <w:szCs w:val="32"/>
          <w:highlight w:val="none"/>
        </w:rPr>
        <w:t>平方米。</w:t>
      </w:r>
      <w:r>
        <w:rPr>
          <w:rFonts w:hint="eastAsia" w:eastAsia="仿宋_GB2312"/>
          <w:sz w:val="32"/>
          <w:szCs w:val="32"/>
          <w:highlight w:val="none"/>
          <w:lang w:val="en-US" w:eastAsia="zh-CN"/>
        </w:rPr>
        <w:t>县城</w:t>
      </w:r>
      <w:r>
        <w:rPr>
          <w:rFonts w:hint="eastAsia" w:eastAsia="仿宋_GB2312"/>
          <w:sz w:val="32"/>
          <w:szCs w:val="32"/>
          <w:highlight w:val="none"/>
        </w:rPr>
        <w:t>范围内的公共绿地、公共广场及周边开敞地可作为人防疏散场地</w:t>
      </w:r>
      <w:r>
        <w:rPr>
          <w:rFonts w:hint="eastAsia" w:eastAsia="仿宋_GB2312"/>
          <w:sz w:val="32"/>
          <w:szCs w:val="32"/>
          <w:highlight w:val="none"/>
          <w:lang w:eastAsia="zh-CN"/>
        </w:rPr>
        <w:t>。</w:t>
      </w:r>
    </w:p>
    <w:p>
      <w:pPr>
        <w:pStyle w:val="3"/>
        <w:numPr>
          <w:ilvl w:val="0"/>
          <w:numId w:val="11"/>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76" w:name="_Toc9065"/>
      <w:bookmarkStart w:id="77" w:name="_Toc21639"/>
      <w:bookmarkStart w:id="78" w:name="_Toc140845854"/>
      <w:bookmarkStart w:id="79" w:name="_Toc173337306"/>
      <w:r>
        <w:rPr>
          <w:rFonts w:hint="eastAsia" w:ascii="黑体" w:hAnsi="黑体" w:eastAsia="黑体"/>
          <w:color w:val="000000" w:themeColor="text1"/>
          <w:highlight w:val="none"/>
          <w:lang w:eastAsia="zh-CN"/>
          <w14:textFill>
            <w14:solidFill>
              <w14:schemeClr w14:val="tx1"/>
            </w14:solidFill>
          </w14:textFill>
        </w:rPr>
        <w:t>加强总体城市设计引导</w:t>
      </w:r>
      <w:bookmarkEnd w:id="76"/>
      <w:bookmarkEnd w:id="77"/>
      <w:bookmarkEnd w:id="78"/>
      <w:bookmarkEnd w:id="79"/>
    </w:p>
    <w:p>
      <w:pPr>
        <w:pStyle w:val="46"/>
        <w:spacing w:before="0" w:line="360" w:lineRule="auto"/>
        <w:ind w:left="0" w:right="108" w:firstLine="675" w:firstLineChars="200"/>
        <w:rPr>
          <w:rFonts w:hint="eastAsia" w:eastAsia="仿宋_GB2312"/>
          <w:color w:val="000000" w:themeColor="text1"/>
          <w:w w:val="105"/>
          <w:sz w:val="32"/>
          <w:highlight w:val="none"/>
          <w:lang w:val="zh-CN" w:eastAsia="zh-CN"/>
          <w14:textFill>
            <w14:solidFill>
              <w14:schemeClr w14:val="tx1"/>
            </w14:solidFill>
          </w14:textFill>
        </w:rPr>
      </w:pPr>
      <w:r>
        <w:rPr>
          <w:rFonts w:hint="eastAsia" w:eastAsia="仿宋_GB2312"/>
          <w:color w:val="000000" w:themeColor="text1"/>
          <w:w w:val="105"/>
          <w:sz w:val="32"/>
          <w:highlight w:val="none"/>
          <w:lang w:val="zh-CN" w:eastAsia="zh-CN"/>
          <w14:textFill>
            <w14:solidFill>
              <w14:schemeClr w14:val="tx1"/>
            </w14:solidFill>
          </w14:textFill>
        </w:rPr>
        <w:t>强化城</w:t>
      </w:r>
      <w:r>
        <w:rPr>
          <w:rFonts w:hint="eastAsia" w:eastAsia="仿宋_GB2312"/>
          <w:color w:val="000000" w:themeColor="text1"/>
          <w:w w:val="105"/>
          <w:sz w:val="32"/>
          <w:highlight w:val="none"/>
          <w:lang w:val="en-US" w:eastAsia="zh-CN"/>
          <w14:textFill>
            <w14:solidFill>
              <w14:schemeClr w14:val="tx1"/>
            </w14:solidFill>
          </w14:textFill>
        </w:rPr>
        <w:t>镇</w:t>
      </w:r>
      <w:r>
        <w:rPr>
          <w:rFonts w:hint="eastAsia" w:eastAsia="仿宋_GB2312"/>
          <w:color w:val="000000" w:themeColor="text1"/>
          <w:w w:val="105"/>
          <w:sz w:val="32"/>
          <w:highlight w:val="none"/>
          <w:lang w:val="zh-CN" w:eastAsia="zh-CN"/>
          <w14:textFill>
            <w14:solidFill>
              <w14:schemeClr w14:val="tx1"/>
            </w14:solidFill>
          </w14:textFill>
        </w:rPr>
        <w:t>景观风貌管控</w:t>
      </w:r>
    </w:p>
    <w:p>
      <w:pPr>
        <w:pStyle w:val="13"/>
        <w:spacing w:before="0" w:beforeLines="0" w:line="360" w:lineRule="auto"/>
        <w:ind w:left="110" w:right="110" w:firstLine="640"/>
        <w:rPr>
          <w:rFonts w:ascii="Times New Roman" w:hAnsi="Times New Roman" w:eastAsia="仿宋_GB2312" w:cs="仿宋_GB2312"/>
          <w:bCs/>
          <w:sz w:val="32"/>
          <w:szCs w:val="28"/>
          <w:highlight w:val="none"/>
          <w:lang w:bidi="ar"/>
        </w:rPr>
      </w:pPr>
      <w:r>
        <w:rPr>
          <w:rFonts w:hint="eastAsia" w:ascii="Times New Roman" w:hAnsi="Times New Roman" w:eastAsia="仿宋_GB2312" w:cs="仿宋_GB2312"/>
          <w:sz w:val="32"/>
          <w:szCs w:val="28"/>
          <w:highlight w:val="none"/>
          <w:lang w:bidi="ar"/>
        </w:rPr>
        <w:t>以城市设计为主导，将城</w:t>
      </w:r>
      <w:r>
        <w:rPr>
          <w:rFonts w:hint="eastAsia" w:ascii="Times New Roman" w:hAnsi="Times New Roman" w:eastAsia="仿宋_GB2312" w:cs="仿宋_GB2312"/>
          <w:sz w:val="32"/>
          <w:szCs w:val="28"/>
          <w:highlight w:val="none"/>
          <w:lang w:val="en-US" w:eastAsia="zh-CN" w:bidi="ar"/>
        </w:rPr>
        <w:t>镇</w:t>
      </w:r>
      <w:r>
        <w:rPr>
          <w:rFonts w:hint="eastAsia" w:ascii="Times New Roman" w:hAnsi="Times New Roman" w:eastAsia="仿宋_GB2312" w:cs="仿宋_GB2312"/>
          <w:sz w:val="32"/>
          <w:szCs w:val="28"/>
          <w:highlight w:val="none"/>
          <w:lang w:bidi="ar"/>
        </w:rPr>
        <w:t>景观风貌管控要求贯穿于国土空间规划全过程。</w:t>
      </w:r>
      <w:r>
        <w:rPr>
          <w:rFonts w:hint="eastAsia" w:ascii="Times New Roman" w:hAnsi="Times New Roman" w:eastAsia="仿宋_GB2312" w:cs="仿宋_GB2312"/>
          <w:bCs/>
          <w:sz w:val="32"/>
          <w:szCs w:val="28"/>
          <w:highlight w:val="none"/>
          <w:lang w:bidi="ar"/>
        </w:rPr>
        <w:t>尊重和保护自然格局，加强城</w:t>
      </w:r>
      <w:r>
        <w:rPr>
          <w:rFonts w:hint="eastAsia" w:ascii="Times New Roman" w:hAnsi="Times New Roman" w:eastAsia="仿宋_GB2312" w:cs="仿宋_GB2312"/>
          <w:bCs/>
          <w:sz w:val="32"/>
          <w:szCs w:val="28"/>
          <w:highlight w:val="none"/>
          <w:lang w:val="en-US" w:eastAsia="zh-CN" w:bidi="ar"/>
        </w:rPr>
        <w:t>镇</w:t>
      </w:r>
      <w:r>
        <w:rPr>
          <w:rFonts w:hint="eastAsia" w:ascii="Times New Roman" w:hAnsi="Times New Roman" w:eastAsia="仿宋_GB2312" w:cs="仿宋_GB2312"/>
          <w:bCs/>
          <w:sz w:val="32"/>
          <w:szCs w:val="28"/>
          <w:highlight w:val="none"/>
          <w:lang w:bidi="ar"/>
        </w:rPr>
        <w:t>建设与自然景观有机融合，突出皖北城市景观特征，重点对城</w:t>
      </w:r>
      <w:r>
        <w:rPr>
          <w:rFonts w:hint="eastAsia" w:ascii="Times New Roman" w:hAnsi="Times New Roman" w:eastAsia="仿宋_GB2312" w:cs="仿宋_GB2312"/>
          <w:bCs/>
          <w:sz w:val="32"/>
          <w:szCs w:val="28"/>
          <w:highlight w:val="none"/>
          <w:lang w:val="en-US" w:eastAsia="zh-CN" w:bidi="ar"/>
        </w:rPr>
        <w:t>镇</w:t>
      </w:r>
      <w:r>
        <w:rPr>
          <w:rFonts w:hint="eastAsia" w:ascii="Times New Roman" w:hAnsi="Times New Roman" w:eastAsia="仿宋_GB2312" w:cs="仿宋_GB2312"/>
          <w:bCs/>
          <w:sz w:val="32"/>
          <w:szCs w:val="28"/>
          <w:highlight w:val="none"/>
          <w:lang w:bidi="ar"/>
        </w:rPr>
        <w:t>中心、发展中轴线、主要河流水系沿岸等重点区域进行景观风貌管控。</w:t>
      </w:r>
    </w:p>
    <w:p>
      <w:pPr>
        <w:pStyle w:val="46"/>
        <w:spacing w:before="0" w:line="360" w:lineRule="auto"/>
        <w:ind w:left="0" w:right="108" w:firstLine="675" w:firstLineChars="200"/>
        <w:rPr>
          <w:rFonts w:hint="eastAsia" w:eastAsia="仿宋_GB2312"/>
          <w:color w:val="000000" w:themeColor="text1"/>
          <w:w w:val="105"/>
          <w:sz w:val="32"/>
          <w:highlight w:val="none"/>
          <w:lang w:val="zh-CN" w:eastAsia="zh-CN"/>
          <w14:textFill>
            <w14:solidFill>
              <w14:schemeClr w14:val="tx1"/>
            </w14:solidFill>
          </w14:textFill>
        </w:rPr>
      </w:pPr>
      <w:r>
        <w:rPr>
          <w:rFonts w:hint="eastAsia" w:eastAsia="仿宋_GB2312"/>
          <w:color w:val="000000" w:themeColor="text1"/>
          <w:w w:val="105"/>
          <w:sz w:val="32"/>
          <w:highlight w:val="none"/>
          <w:lang w:val="zh-CN" w:eastAsia="zh-CN"/>
          <w14:textFill>
            <w14:solidFill>
              <w14:schemeClr w14:val="tx1"/>
            </w14:solidFill>
          </w14:textFill>
        </w:rPr>
        <w:t>加强开发强度分区管控</w:t>
      </w:r>
    </w:p>
    <w:p>
      <w:pPr>
        <w:pStyle w:val="13"/>
        <w:spacing w:before="0" w:beforeLines="0" w:line="360" w:lineRule="auto"/>
        <w:ind w:left="110" w:right="110" w:firstLine="640"/>
        <w:rPr>
          <w:rFonts w:ascii="Times New Roman" w:hAnsi="Times New Roman" w:eastAsia="仿宋_GB2312"/>
          <w:bCs/>
          <w:highlight w:val="none"/>
        </w:rPr>
      </w:pPr>
      <w:r>
        <w:rPr>
          <w:rFonts w:hint="eastAsia" w:ascii="Times New Roman" w:hAnsi="Times New Roman" w:eastAsia="仿宋_GB2312" w:cs="仿宋_GB2312"/>
          <w:bCs/>
          <w:sz w:val="32"/>
          <w:szCs w:val="28"/>
          <w:highlight w:val="none"/>
          <w:lang w:bidi="ar"/>
        </w:rPr>
        <w:t>实施</w:t>
      </w:r>
      <w:r>
        <w:rPr>
          <w:rFonts w:hint="eastAsia" w:ascii="Times New Roman" w:hAnsi="Times New Roman" w:eastAsia="仿宋_GB2312" w:cs="仿宋_GB2312"/>
          <w:bCs/>
          <w:sz w:val="32"/>
          <w:szCs w:val="28"/>
          <w:highlight w:val="none"/>
          <w:lang w:val="en-US" w:eastAsia="zh-CN" w:bidi="ar"/>
        </w:rPr>
        <w:t>县城</w:t>
      </w:r>
      <w:r>
        <w:rPr>
          <w:rFonts w:hint="eastAsia" w:ascii="Times New Roman" w:hAnsi="Times New Roman" w:eastAsia="仿宋_GB2312" w:cs="仿宋_GB2312"/>
          <w:bCs/>
          <w:sz w:val="32"/>
          <w:szCs w:val="28"/>
          <w:highlight w:val="none"/>
          <w:lang w:bidi="ar"/>
        </w:rPr>
        <w:t>开发强度分区管控，引导城</w:t>
      </w:r>
      <w:r>
        <w:rPr>
          <w:rFonts w:hint="eastAsia" w:ascii="Times New Roman" w:hAnsi="Times New Roman" w:eastAsia="仿宋_GB2312" w:cs="仿宋_GB2312"/>
          <w:bCs/>
          <w:sz w:val="32"/>
          <w:szCs w:val="28"/>
          <w:highlight w:val="none"/>
          <w:lang w:val="en-US" w:eastAsia="zh-CN" w:bidi="ar"/>
        </w:rPr>
        <w:t>镇</w:t>
      </w:r>
      <w:r>
        <w:rPr>
          <w:rFonts w:hint="eastAsia" w:ascii="Times New Roman" w:hAnsi="Times New Roman" w:eastAsia="仿宋_GB2312" w:cs="仿宋_GB2312"/>
          <w:bCs/>
          <w:sz w:val="32"/>
          <w:szCs w:val="28"/>
          <w:highlight w:val="none"/>
          <w:lang w:bidi="ar"/>
        </w:rPr>
        <w:t>空间合理发展，促进城</w:t>
      </w:r>
      <w:r>
        <w:rPr>
          <w:rFonts w:hint="eastAsia" w:ascii="Times New Roman" w:hAnsi="Times New Roman" w:eastAsia="仿宋_GB2312" w:cs="仿宋_GB2312"/>
          <w:bCs/>
          <w:sz w:val="32"/>
          <w:szCs w:val="28"/>
          <w:highlight w:val="none"/>
          <w:lang w:val="en-US" w:eastAsia="zh-CN" w:bidi="ar"/>
        </w:rPr>
        <w:t>镇</w:t>
      </w:r>
      <w:r>
        <w:rPr>
          <w:rFonts w:hint="eastAsia" w:ascii="Times New Roman" w:hAnsi="Times New Roman" w:eastAsia="仿宋_GB2312" w:cs="仿宋_GB2312"/>
          <w:bCs/>
          <w:sz w:val="32"/>
          <w:szCs w:val="28"/>
          <w:highlight w:val="none"/>
          <w:lang w:bidi="ar"/>
        </w:rPr>
        <w:t>用地高效管理。根据开发强度分区科学引导高层、小高层、低层建筑布局，注重新建高层建筑与城市开敞空间协调融合，局部区域可通过合理布局高层建筑，形成城市天际线标志地区。</w:t>
      </w:r>
    </w:p>
    <w:p>
      <w:pPr>
        <w:pStyle w:val="46"/>
        <w:spacing w:before="0" w:line="360" w:lineRule="auto"/>
        <w:ind w:left="0" w:right="108" w:firstLine="718" w:firstLineChars="213"/>
        <w:jc w:val="both"/>
        <w:rPr>
          <w:rFonts w:hint="eastAsia" w:eastAsia="仿宋_GB2312"/>
          <w:color w:val="000000" w:themeColor="text1"/>
          <w:w w:val="105"/>
          <w:sz w:val="32"/>
          <w:highlight w:val="none"/>
          <w:lang w:val="zh-CN"/>
          <w14:textFill>
            <w14:solidFill>
              <w14:schemeClr w14:val="tx1"/>
            </w14:solidFill>
          </w14:textFill>
        </w:rPr>
      </w:pPr>
      <w:r>
        <w:rPr>
          <w:rFonts w:hint="eastAsia" w:eastAsia="仿宋_GB2312"/>
          <w:color w:val="000000" w:themeColor="text1"/>
          <w:w w:val="105"/>
          <w:sz w:val="32"/>
          <w:highlight w:val="none"/>
          <w:lang w:val="zh-CN"/>
          <w14:textFill>
            <w14:solidFill>
              <w14:schemeClr w14:val="tx1"/>
            </w14:solidFill>
          </w14:textFill>
        </w:rPr>
        <w:t>塑造优美、安全、舒适、共享的公共空间</w:t>
      </w:r>
    </w:p>
    <w:p>
      <w:pPr>
        <w:pStyle w:val="13"/>
        <w:spacing w:before="120" w:line="360" w:lineRule="auto"/>
        <w:ind w:left="110" w:right="110" w:firstLine="681" w:firstLineChars="213"/>
        <w:rPr>
          <w:rFonts w:ascii="Times New Roman" w:hAnsi="Times New Roman" w:eastAsia="仿宋_GB2312" w:cs="Times New Roman"/>
          <w:bCs/>
          <w:sz w:val="32"/>
          <w:szCs w:val="28"/>
          <w:highlight w:val="none"/>
        </w:rPr>
      </w:pPr>
      <w:r>
        <w:rPr>
          <w:rFonts w:hint="eastAsia" w:ascii="Times New Roman" w:hAnsi="Times New Roman" w:eastAsia="仿宋_GB2312" w:cs="Times New Roman"/>
          <w:bCs/>
          <w:kern w:val="2"/>
          <w:sz w:val="32"/>
          <w:szCs w:val="28"/>
          <w:highlight w:val="none"/>
          <w:lang w:bidi="ar"/>
        </w:rPr>
        <w:t>通过河道整治、廊道连通、微小空间更新等手段，进一步释放拓展城</w:t>
      </w:r>
      <w:r>
        <w:rPr>
          <w:rFonts w:hint="eastAsia" w:ascii="Times New Roman" w:hAnsi="Times New Roman" w:eastAsia="仿宋_GB2312" w:cs="Times New Roman"/>
          <w:bCs/>
          <w:kern w:val="2"/>
          <w:sz w:val="32"/>
          <w:szCs w:val="28"/>
          <w:highlight w:val="none"/>
          <w:lang w:val="en-US" w:eastAsia="zh-CN" w:bidi="ar"/>
        </w:rPr>
        <w:t>镇</w:t>
      </w:r>
      <w:r>
        <w:rPr>
          <w:rFonts w:hint="eastAsia" w:ascii="Times New Roman" w:hAnsi="Times New Roman" w:eastAsia="仿宋_GB2312" w:cs="Times New Roman"/>
          <w:bCs/>
          <w:kern w:val="2"/>
          <w:sz w:val="32"/>
          <w:szCs w:val="28"/>
          <w:highlight w:val="none"/>
          <w:lang w:bidi="ar"/>
        </w:rPr>
        <w:t>公共空间，不断提高公共空间的覆盖率与连续性。注重城市绿道、公园与公共空间的串联融合，实现</w:t>
      </w:r>
      <w:r>
        <w:rPr>
          <w:rFonts w:ascii="Times New Roman" w:hAnsi="Times New Roman" w:eastAsia="仿宋_GB2312" w:cs="Times New Roman"/>
          <w:bCs/>
          <w:kern w:val="2"/>
          <w:sz w:val="32"/>
          <w:szCs w:val="28"/>
          <w:highlight w:val="none"/>
          <w:lang w:bidi="ar"/>
        </w:rPr>
        <w:t>5</w:t>
      </w:r>
      <w:r>
        <w:rPr>
          <w:rFonts w:hint="eastAsia" w:ascii="Times New Roman" w:hAnsi="Times New Roman" w:eastAsia="仿宋_GB2312" w:cs="Times New Roman"/>
          <w:bCs/>
          <w:kern w:val="2"/>
          <w:sz w:val="32"/>
          <w:szCs w:val="28"/>
          <w:highlight w:val="none"/>
          <w:lang w:bidi="ar"/>
        </w:rPr>
        <w:t>分钟步行可达；注重街区、邻里空间设计，形成尺度宜人、亲切自然、全龄友好的社区环境；注重人性化、艺术化设计，提升品质与文化品位，塑造具有文化特色和历史记忆的城</w:t>
      </w:r>
      <w:r>
        <w:rPr>
          <w:rFonts w:hint="eastAsia" w:ascii="Times New Roman" w:hAnsi="Times New Roman" w:eastAsia="仿宋_GB2312" w:cs="Times New Roman"/>
          <w:bCs/>
          <w:kern w:val="2"/>
          <w:sz w:val="32"/>
          <w:szCs w:val="28"/>
          <w:highlight w:val="none"/>
          <w:lang w:val="en-US" w:eastAsia="zh-CN" w:bidi="ar"/>
        </w:rPr>
        <w:t>镇</w:t>
      </w:r>
      <w:r>
        <w:rPr>
          <w:rFonts w:hint="eastAsia" w:ascii="Times New Roman" w:hAnsi="Times New Roman" w:eastAsia="仿宋_GB2312" w:cs="Times New Roman"/>
          <w:bCs/>
          <w:kern w:val="2"/>
          <w:sz w:val="32"/>
          <w:szCs w:val="28"/>
          <w:highlight w:val="none"/>
          <w:lang w:bidi="ar"/>
        </w:rPr>
        <w:t>公共空间。</w:t>
      </w:r>
    </w:p>
    <w:p>
      <w:pPr>
        <w:pStyle w:val="3"/>
        <w:numPr>
          <w:ilvl w:val="0"/>
          <w:numId w:val="11"/>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80" w:name="_Toc13517"/>
      <w:r>
        <w:rPr>
          <w:rFonts w:hint="eastAsia" w:ascii="黑体" w:hAnsi="黑体" w:eastAsia="黑体"/>
          <w:color w:val="000000" w:themeColor="text1"/>
          <w:highlight w:val="none"/>
          <w:lang w:eastAsia="zh-CN"/>
          <w14:textFill>
            <w14:solidFill>
              <w14:schemeClr w14:val="tx1"/>
            </w14:solidFill>
          </w14:textFill>
        </w:rPr>
        <w:t>统筹城市“四线”划定与管控</w:t>
      </w:r>
      <w:bookmarkEnd w:id="80"/>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eastAsia="仿宋_GB2312"/>
          <w:color w:val="000000" w:themeColor="text1"/>
          <w:w w:val="105"/>
          <w:sz w:val="32"/>
          <w:highlight w:val="none"/>
          <w14:textFill>
            <w14:solidFill>
              <w14:schemeClr w14:val="tx1"/>
            </w14:solidFill>
          </w14:textFill>
        </w:rPr>
        <w:t>合理划定城市控制线</w:t>
      </w:r>
    </w:p>
    <w:p>
      <w:pPr>
        <w:pStyle w:val="13"/>
        <w:spacing w:before="120" w:line="360" w:lineRule="auto"/>
        <w:ind w:left="110" w:right="110" w:firstLine="681" w:firstLineChars="213"/>
        <w:rPr>
          <w:rFonts w:hint="eastAsia" w:ascii="Times New Roman" w:hAnsi="Times New Roman" w:eastAsia="仿宋_GB2312" w:cs="Times New Roman"/>
          <w:bCs/>
          <w:kern w:val="2"/>
          <w:sz w:val="32"/>
          <w:szCs w:val="28"/>
          <w:highlight w:val="none"/>
          <w:lang w:bidi="ar"/>
        </w:rPr>
      </w:pPr>
      <w:r>
        <w:rPr>
          <w:rFonts w:hint="eastAsia" w:ascii="Times New Roman" w:hAnsi="Times New Roman" w:eastAsia="仿宋_GB2312" w:cs="Times New Roman"/>
          <w:bCs/>
          <w:kern w:val="2"/>
          <w:sz w:val="32"/>
          <w:szCs w:val="28"/>
          <w:highlight w:val="none"/>
          <w:lang w:bidi="ar"/>
        </w:rPr>
        <w:t>划定城市蓝线并加强管控。对龙河、闸河等重要水体保护和控制的地域界线实施蓝线控制，管控空间包括河道和沿河堤脚外应急抢险通道等陆域地区。</w:t>
      </w:r>
    </w:p>
    <w:p>
      <w:pPr>
        <w:pStyle w:val="13"/>
        <w:spacing w:before="120" w:line="360" w:lineRule="auto"/>
        <w:ind w:left="110" w:right="110" w:firstLine="681" w:firstLineChars="213"/>
        <w:rPr>
          <w:rFonts w:hint="eastAsia" w:ascii="Times New Roman" w:hAnsi="Times New Roman" w:eastAsia="仿宋_GB2312" w:cs="Times New Roman"/>
          <w:bCs/>
          <w:kern w:val="2"/>
          <w:sz w:val="32"/>
          <w:szCs w:val="28"/>
          <w:highlight w:val="none"/>
          <w:lang w:bidi="ar"/>
        </w:rPr>
      </w:pPr>
      <w:r>
        <w:rPr>
          <w:rFonts w:hint="eastAsia" w:ascii="Times New Roman" w:hAnsi="Times New Roman" w:eastAsia="仿宋_GB2312" w:cs="Times New Roman"/>
          <w:bCs/>
          <w:kern w:val="2"/>
          <w:sz w:val="32"/>
          <w:szCs w:val="28"/>
          <w:highlight w:val="none"/>
          <w:lang w:bidi="ar"/>
        </w:rPr>
        <w:t>划定城市绿线并加强管控。对龙河、闸河两侧防护绿地在内的城市各类结构性绿地实施绿线控制。</w:t>
      </w:r>
    </w:p>
    <w:p>
      <w:pPr>
        <w:pStyle w:val="13"/>
        <w:spacing w:before="120" w:line="360" w:lineRule="auto"/>
        <w:ind w:left="110" w:right="110" w:firstLine="681" w:firstLineChars="213"/>
        <w:rPr>
          <w:rFonts w:hint="eastAsia" w:ascii="Times New Roman" w:hAnsi="Times New Roman" w:eastAsia="仿宋_GB2312" w:cs="Times New Roman"/>
          <w:bCs/>
          <w:kern w:val="2"/>
          <w:sz w:val="32"/>
          <w:szCs w:val="28"/>
          <w:highlight w:val="none"/>
          <w:u w:val="single"/>
          <w:lang w:bidi="ar"/>
        </w:rPr>
      </w:pPr>
      <w:r>
        <w:rPr>
          <w:rFonts w:hint="eastAsia" w:ascii="Times New Roman" w:hAnsi="Times New Roman" w:eastAsia="仿宋_GB2312" w:cs="Times New Roman"/>
          <w:bCs/>
          <w:kern w:val="2"/>
          <w:sz w:val="32"/>
          <w:szCs w:val="28"/>
          <w:highlight w:val="none"/>
          <w:lang w:bidi="ar"/>
        </w:rPr>
        <w:t>划定城市黄线并加强管控。对萧县污水处理厂、110kV李合变、110kV龙河变、站前路中型垃圾转运站等城市重大基础设施实施黄线控制，保障基础设施的正常、高效运转。</w:t>
      </w:r>
    </w:p>
    <w:p>
      <w:pPr>
        <w:pStyle w:val="3"/>
        <w:numPr>
          <w:ilvl w:val="0"/>
          <w:numId w:val="11"/>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81" w:name="_Toc5132"/>
      <w:r>
        <w:rPr>
          <w:rFonts w:hint="eastAsia" w:ascii="黑体" w:hAnsi="黑体" w:eastAsia="黑体"/>
          <w:color w:val="000000" w:themeColor="text1"/>
          <w:highlight w:val="none"/>
          <w:lang w:eastAsia="zh-CN"/>
          <w14:textFill>
            <w14:solidFill>
              <w14:schemeClr w14:val="tx1"/>
            </w14:solidFill>
          </w14:textFill>
        </w:rPr>
        <w:t>有序推进城镇更新</w:t>
      </w:r>
      <w:bookmarkEnd w:id="81"/>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eastAsia="仿宋_GB2312"/>
          <w:color w:val="000000" w:themeColor="text1"/>
          <w:w w:val="105"/>
          <w:sz w:val="32"/>
          <w:highlight w:val="none"/>
          <w14:textFill>
            <w14:solidFill>
              <w14:schemeClr w14:val="tx1"/>
            </w14:solidFill>
          </w14:textFill>
        </w:rPr>
        <w:t>分类推进城市更新</w:t>
      </w:r>
    </w:p>
    <w:p>
      <w:pPr>
        <w:pStyle w:val="13"/>
        <w:spacing w:before="0" w:beforeLines="0" w:line="360" w:lineRule="auto"/>
        <w:ind w:left="0" w:leftChars="0" w:right="110" w:firstLine="681" w:firstLineChars="213"/>
        <w:rPr>
          <w:rFonts w:hint="eastAsia"/>
          <w:color w:val="000000" w:themeColor="text1"/>
          <w:highlight w:val="none"/>
          <w14:textFill>
            <w14:solidFill>
              <w14:schemeClr w14:val="tx1"/>
            </w14:solidFill>
          </w14:textFill>
        </w:rPr>
      </w:pPr>
      <w:r>
        <w:rPr>
          <w:rFonts w:hint="eastAsia" w:eastAsia="仿宋_GB2312"/>
          <w:color w:val="000000" w:themeColor="text1"/>
          <w:highlight w:val="none"/>
          <w14:textFill>
            <w14:solidFill>
              <w14:schemeClr w14:val="tx1"/>
            </w14:solidFill>
          </w14:textFill>
        </w:rPr>
        <w:t>采用以改造利用为主、拆除重建为辅的更新模式，对</w:t>
      </w:r>
      <w:r>
        <w:rPr>
          <w:rFonts w:hint="eastAsia" w:eastAsia="仿宋_GB2312"/>
          <w:color w:val="000000" w:themeColor="text1"/>
          <w:highlight w:val="none"/>
          <w:lang w:eastAsia="zh-CN"/>
          <w14:textFill>
            <w14:solidFill>
              <w14:schemeClr w14:val="tx1"/>
            </w14:solidFill>
          </w14:textFill>
        </w:rPr>
        <w:t>老县城</w:t>
      </w:r>
      <w:r>
        <w:rPr>
          <w:rFonts w:hint="eastAsia" w:eastAsia="仿宋_GB2312"/>
          <w:color w:val="000000" w:themeColor="text1"/>
          <w:highlight w:val="none"/>
          <w14:textFill>
            <w14:solidFill>
              <w14:schemeClr w14:val="tx1"/>
            </w14:solidFill>
          </w14:textFill>
        </w:rPr>
        <w:t>内旧住区、旧厂区、旧村庄地块进行有序更新，通过盘活存量空间改善城市空间品质，补齐城市功能短板，助力产业转型升级。</w:t>
      </w:r>
    </w:p>
    <w:p>
      <w:pPr>
        <w:widowControl/>
        <w:autoSpaceDE/>
        <w:autoSpaceDN/>
        <w:spacing w:line="360" w:lineRule="auto"/>
        <w:rPr>
          <w:rFonts w:hint="eastAsia" w:eastAsia="仿宋_GB2312"/>
          <w:color w:val="000000" w:themeColor="text1"/>
          <w:highlight w:val="none"/>
          <w14:textFill>
            <w14:solidFill>
              <w14:schemeClr w14:val="tx1"/>
            </w14:solidFill>
          </w14:textFill>
        </w:rPr>
      </w:pPr>
      <w:r>
        <w:rPr>
          <w:rFonts w:eastAsia="仿宋_GB2312"/>
          <w:color w:val="000000" w:themeColor="text1"/>
          <w:highlight w:val="none"/>
          <w14:textFill>
            <w14:solidFill>
              <w14:schemeClr w14:val="tx1"/>
            </w14:solidFill>
          </w14:textFill>
        </w:rPr>
        <w:br w:type="page"/>
      </w:r>
    </w:p>
    <w:p>
      <w:pPr>
        <w:pStyle w:val="2"/>
        <w:spacing w:before="0" w:line="360" w:lineRule="auto"/>
        <w:ind w:left="0" w:firstLine="0"/>
        <w:jc w:val="center"/>
        <w:rPr>
          <w:rFonts w:hint="eastAsia" w:ascii="华光小标宋_CNKI" w:hAnsi="华光小标宋_CNKI" w:eastAsia="华光小标宋_CNKI"/>
          <w:color w:val="000000" w:themeColor="text1"/>
          <w:spacing w:val="5"/>
          <w:highlight w:val="none"/>
          <w14:textFill>
            <w14:solidFill>
              <w14:schemeClr w14:val="tx1"/>
            </w14:solidFill>
          </w14:textFill>
        </w:rPr>
      </w:pPr>
      <w:bookmarkStart w:id="82" w:name="_bookmark36"/>
      <w:bookmarkEnd w:id="82"/>
      <w:bookmarkStart w:id="83" w:name="_Toc25658"/>
      <w:r>
        <w:rPr>
          <w:rFonts w:ascii="华光小标宋_CNKI" w:hAnsi="华光小标宋_CNKI" w:eastAsia="华光小标宋_CNKI"/>
          <w:color w:val="000000" w:themeColor="text1"/>
          <w:spacing w:val="5"/>
          <w:highlight w:val="none"/>
          <w14:textFill>
            <w14:solidFill>
              <w14:schemeClr w14:val="tx1"/>
            </w14:solidFill>
          </w14:textFill>
        </w:rPr>
        <w:t>规划传导实施与保障</w:t>
      </w:r>
      <w:bookmarkEnd w:id="83"/>
      <w:r>
        <w:rPr>
          <w:rFonts w:hint="eastAsia" w:ascii="华光小标宋_CNKI" w:hAnsi="华光小标宋_CNKI" w:eastAsia="华光小标宋_CNKI"/>
          <w:color w:val="000000" w:themeColor="text1"/>
          <w:spacing w:val="5"/>
          <w:highlight w:val="none"/>
          <w14:textFill>
            <w14:solidFill>
              <w14:schemeClr w14:val="tx1"/>
            </w14:solidFill>
          </w14:textFill>
        </w:rPr>
        <w:t xml:space="preserve"> </w:t>
      </w:r>
    </w:p>
    <w:p>
      <w:pPr>
        <w:pStyle w:val="13"/>
        <w:spacing w:before="0" w:beforeLines="0" w:line="360" w:lineRule="auto"/>
        <w:ind w:left="0" w:leftChars="0" w:right="110" w:firstLine="681" w:firstLineChars="213"/>
        <w:rPr>
          <w:rFonts w:hint="eastAsia" w:eastAsia="仿宋_GB2312"/>
          <w:color w:val="000000" w:themeColor="text1"/>
          <w:highlight w:val="none"/>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龙城镇国土空间总体规划经法定程序批准后将成为编制龙城镇各级各类规划、指导龙城镇集约集聚发展建设的基本依据。镇域各部门各单位应自觉接受规划约束，各项建设与管理按照规划有序组织实施。</w:t>
      </w:r>
    </w:p>
    <w:p>
      <w:pPr>
        <w:pStyle w:val="3"/>
        <w:numPr>
          <w:ilvl w:val="0"/>
          <w:numId w:val="12"/>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84" w:name="_bookmark37"/>
      <w:bookmarkEnd w:id="84"/>
      <w:bookmarkStart w:id="85" w:name="_Toc29022"/>
      <w:r>
        <w:rPr>
          <w:rFonts w:hint="eastAsia" w:ascii="黑体" w:hAnsi="黑体" w:eastAsia="黑体"/>
          <w:color w:val="000000" w:themeColor="text1"/>
          <w:highlight w:val="none"/>
          <w:lang w:eastAsia="zh-CN"/>
          <w14:textFill>
            <w14:solidFill>
              <w14:schemeClr w14:val="tx1"/>
            </w14:solidFill>
          </w14:textFill>
        </w:rPr>
        <w:t>制定单元规划</w:t>
      </w:r>
      <w:bookmarkEnd w:id="85"/>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单元划分</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eastAsia="仿宋_GB2312"/>
          <w:color w:val="000000" w:themeColor="text1"/>
          <w:highlight w:val="none"/>
          <w:lang w:eastAsia="zh-CN"/>
          <w14:textFill>
            <w14:solidFill>
              <w14:schemeClr w14:val="tx1"/>
            </w14:solidFill>
          </w14:textFill>
        </w:rPr>
        <w:t>城镇单元以</w:t>
      </w:r>
      <w:r>
        <w:rPr>
          <w:rFonts w:hint="eastAsia" w:eastAsia="仿宋_GB2312"/>
          <w:color w:val="000000" w:themeColor="text1"/>
          <w:highlight w:val="none"/>
          <w:lang w:eastAsia="zh-CN"/>
          <w14:textFill>
            <w14:solidFill>
              <w14:schemeClr w14:val="tx1"/>
            </w14:solidFill>
          </w14:textFill>
        </w:rPr>
        <w:t>龙城县城范围为</w:t>
      </w:r>
      <w:r>
        <w:rPr>
          <w:rFonts w:eastAsia="仿宋_GB2312"/>
          <w:color w:val="000000" w:themeColor="text1"/>
          <w:highlight w:val="none"/>
          <w:lang w:eastAsia="zh-CN"/>
          <w14:textFill>
            <w14:solidFill>
              <w14:schemeClr w14:val="tx1"/>
            </w14:solidFill>
          </w14:textFill>
        </w:rPr>
        <w:t>边界，突出功能导向，根据 10-15分钟生活圈、公共服务半径以及干道、河流等自然地理界线，结合管理和开发时序，</w:t>
      </w:r>
      <w:r>
        <w:rPr>
          <w:rFonts w:hint="eastAsia" w:eastAsia="仿宋_GB2312"/>
          <w:color w:val="000000" w:themeColor="text1"/>
          <w:highlight w:val="none"/>
          <w:lang w:val="en-US" w:eastAsia="zh-CN"/>
          <w14:textFill>
            <w14:solidFill>
              <w14:schemeClr w14:val="tx1"/>
            </w14:solidFill>
          </w14:textFill>
        </w:rPr>
        <w:t>衔接萧县中心城区单元划分，</w:t>
      </w:r>
      <w:r>
        <w:rPr>
          <w:rFonts w:eastAsia="仿宋_GB2312"/>
          <w:color w:val="000000" w:themeColor="text1"/>
          <w:highlight w:val="none"/>
          <w:lang w:eastAsia="zh-CN"/>
          <w14:textFill>
            <w14:solidFill>
              <w14:schemeClr w14:val="tx1"/>
            </w14:solidFill>
          </w14:textFill>
        </w:rPr>
        <w:t>划定形成</w:t>
      </w:r>
      <w:r>
        <w:rPr>
          <w:rFonts w:hint="eastAsia" w:eastAsia="PMingLiU"/>
          <w:color w:val="000000" w:themeColor="text1"/>
          <w:highlight w:val="none"/>
          <w:lang w:val="en-US" w:eastAsia="zh-CN"/>
          <w14:textFill>
            <w14:solidFill>
              <w14:schemeClr w14:val="tx1"/>
            </w14:solidFill>
          </w14:textFill>
        </w:rPr>
        <w:t>20</w:t>
      </w:r>
      <w:r>
        <w:rPr>
          <w:rFonts w:eastAsia="仿宋_GB2312"/>
          <w:color w:val="000000" w:themeColor="text1"/>
          <w:highlight w:val="none"/>
          <w:lang w:eastAsia="zh-CN"/>
          <w14:textFill>
            <w14:solidFill>
              <w14:schemeClr w14:val="tx1"/>
            </w14:solidFill>
          </w14:textFill>
        </w:rPr>
        <w:t>个城镇单元。</w:t>
      </w:r>
    </w:p>
    <w:p>
      <w:pPr>
        <w:pStyle w:val="13"/>
        <w:spacing w:before="0" w:beforeLines="0" w:line="360" w:lineRule="auto"/>
        <w:ind w:left="0" w:leftChars="0" w:right="110" w:firstLine="681" w:firstLineChars="213"/>
        <w:rPr>
          <w:rFonts w:hint="eastAsia" w:eastAsia="仿宋_GB2312"/>
          <w:color w:val="000000" w:themeColor="text1"/>
          <w:highlight w:val="none"/>
          <w14:textFill>
            <w14:solidFill>
              <w14:schemeClr w14:val="tx1"/>
            </w14:solidFill>
          </w14:textFill>
        </w:rPr>
      </w:pPr>
      <w:r>
        <w:rPr>
          <w:rFonts w:eastAsia="仿宋_GB2312"/>
          <w:color w:val="000000" w:themeColor="text1"/>
          <w:highlight w:val="none"/>
          <w:lang w:eastAsia="zh-CN"/>
          <w14:textFill>
            <w14:solidFill>
              <w14:schemeClr w14:val="tx1"/>
            </w14:solidFill>
          </w14:textFill>
        </w:rPr>
        <w:t>乡村单元以</w:t>
      </w:r>
      <w:r>
        <w:rPr>
          <w:rFonts w:hint="eastAsia" w:eastAsia="仿宋_GB2312"/>
          <w:color w:val="000000" w:themeColor="text1"/>
          <w:highlight w:val="none"/>
          <w:lang w:eastAsia="zh-CN"/>
          <w14:textFill>
            <w14:solidFill>
              <w14:schemeClr w14:val="tx1"/>
            </w14:solidFill>
          </w14:textFill>
        </w:rPr>
        <w:t>村级行政单元</w:t>
      </w:r>
      <w:r>
        <w:rPr>
          <w:rFonts w:eastAsia="仿宋_GB2312"/>
          <w:color w:val="000000" w:themeColor="text1"/>
          <w:highlight w:val="none"/>
          <w:lang w:eastAsia="zh-CN"/>
          <w14:textFill>
            <w14:solidFill>
              <w14:schemeClr w14:val="tx1"/>
            </w14:solidFill>
          </w14:textFill>
        </w:rPr>
        <w:t>为划分依据</w:t>
      </w:r>
      <w:r>
        <w:rPr>
          <w:rFonts w:hint="eastAsia" w:eastAsia="仿宋_GB2312"/>
          <w:color w:val="000000" w:themeColor="text1"/>
          <w:highlight w:val="none"/>
          <w:lang w:eastAsia="zh-CN"/>
          <w14:textFill>
            <w14:solidFill>
              <w14:schemeClr w14:val="tx1"/>
            </w14:solidFill>
          </w14:textFill>
        </w:rPr>
        <w:t>，</w:t>
      </w:r>
      <w:r>
        <w:rPr>
          <w:rFonts w:eastAsia="仿宋_GB2312"/>
          <w:color w:val="000000" w:themeColor="text1"/>
          <w:highlight w:val="none"/>
          <w:lang w:eastAsia="zh-CN"/>
          <w14:textFill>
            <w14:solidFill>
              <w14:schemeClr w14:val="tx1"/>
            </w14:solidFill>
          </w14:textFill>
        </w:rPr>
        <w:t>共分为</w:t>
      </w:r>
      <w:r>
        <w:rPr>
          <w:rFonts w:hint="eastAsia" w:eastAsiaTheme="minorEastAsia"/>
          <w:color w:val="000000" w:themeColor="text1"/>
          <w:highlight w:val="none"/>
          <w:lang w:val="en-US" w:eastAsia="zh-CN"/>
          <w14:textFill>
            <w14:solidFill>
              <w14:schemeClr w14:val="tx1"/>
            </w14:solidFill>
          </w14:textFill>
        </w:rPr>
        <w:t>13</w:t>
      </w:r>
      <w:r>
        <w:rPr>
          <w:rFonts w:eastAsia="仿宋_GB2312"/>
          <w:color w:val="000000" w:themeColor="text1"/>
          <w:highlight w:val="none"/>
          <w:lang w:eastAsia="zh-CN"/>
          <w14:textFill>
            <w14:solidFill>
              <w14:schemeClr w14:val="tx1"/>
            </w14:solidFill>
          </w14:textFill>
        </w:rPr>
        <w:t>个乡村单元</w:t>
      </w:r>
      <w:r>
        <w:rPr>
          <w:rFonts w:eastAsia="仿宋_GB2312"/>
          <w:color w:val="000000" w:themeColor="text1"/>
          <w:highlight w:val="none"/>
          <w14:textFill>
            <w14:solidFill>
              <w14:schemeClr w14:val="tx1"/>
            </w14:solidFill>
          </w14:textFill>
        </w:rPr>
        <w:t>。</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明确管制要求</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eastAsia="仿宋_GB2312"/>
          <w:color w:val="000000" w:themeColor="text1"/>
          <w:highlight w:val="none"/>
          <w:lang w:eastAsia="zh-CN"/>
          <w14:textFill>
            <w14:solidFill>
              <w14:schemeClr w14:val="tx1"/>
            </w14:solidFill>
          </w14:textFill>
        </w:rPr>
        <w:t>城镇单元</w:t>
      </w:r>
      <w:r>
        <w:rPr>
          <w:rFonts w:hint="eastAsia" w:asciiTheme="minorEastAsia" w:hAnsiTheme="minorEastAsia" w:eastAsiaTheme="minorEastAsia"/>
          <w:color w:val="000000" w:themeColor="text1"/>
          <w:highlight w:val="none"/>
          <w:lang w:eastAsia="zh-CN"/>
          <w14:textFill>
            <w14:solidFill>
              <w14:schemeClr w14:val="tx1"/>
            </w14:solidFill>
          </w14:textFill>
        </w:rPr>
        <w:t>。</w:t>
      </w:r>
      <w:r>
        <w:rPr>
          <w:rFonts w:eastAsia="仿宋_GB2312"/>
          <w:color w:val="000000" w:themeColor="text1"/>
          <w:highlight w:val="none"/>
          <w:lang w:eastAsia="zh-CN"/>
          <w14:textFill>
            <w14:solidFill>
              <w14:schemeClr w14:val="tx1"/>
            </w14:solidFill>
          </w14:textFill>
        </w:rPr>
        <w:t>明确单元四至边界、面积、功能定位、建设用地规模，以及单元内涉及的重要公共服务设施、市政基础设施、公园绿地面积、防灾避难场所等的配建标准或空间布局要求；落实重要绿线、蓝线、紫线、黄线等内容；合理规划城镇建筑面积发展目标，严格管控高能耗公共建筑建设。</w:t>
      </w:r>
    </w:p>
    <w:p>
      <w:pPr>
        <w:pStyle w:val="13"/>
        <w:spacing w:before="0" w:beforeLines="0" w:line="360" w:lineRule="auto"/>
        <w:ind w:left="0" w:leftChars="0" w:right="110" w:firstLine="681" w:firstLineChars="213"/>
        <w:rPr>
          <w:rFonts w:hint="eastAsia" w:eastAsia="PMingLiU"/>
          <w:color w:val="000000" w:themeColor="text1"/>
          <w:highlight w:val="none"/>
          <w:lang w:eastAsia="zh-CN"/>
          <w14:textFill>
            <w14:solidFill>
              <w14:schemeClr w14:val="tx1"/>
            </w14:solidFill>
          </w14:textFill>
        </w:rPr>
      </w:pPr>
      <w:r>
        <w:rPr>
          <w:rFonts w:eastAsia="仿宋_GB2312"/>
          <w:color w:val="000000" w:themeColor="text1"/>
          <w:highlight w:val="none"/>
          <w:lang w:eastAsia="zh-CN"/>
          <w14:textFill>
            <w14:solidFill>
              <w14:schemeClr w14:val="tx1"/>
            </w14:solidFill>
          </w14:textFill>
        </w:rPr>
        <w:t>乡村单元</w:t>
      </w:r>
      <w:r>
        <w:rPr>
          <w:rFonts w:hint="eastAsia" w:eastAsia="仿宋_GB2312"/>
          <w:color w:val="000000" w:themeColor="text1"/>
          <w:highlight w:val="none"/>
          <w:lang w:eastAsia="zh-CN"/>
          <w14:textFill>
            <w14:solidFill>
              <w14:schemeClr w14:val="tx1"/>
            </w14:solidFill>
          </w14:textFill>
        </w:rPr>
        <w:t>。</w:t>
      </w:r>
      <w:r>
        <w:rPr>
          <w:rFonts w:eastAsia="仿宋_GB2312"/>
          <w:color w:val="000000" w:themeColor="text1"/>
          <w:highlight w:val="none"/>
          <w:lang w:eastAsia="zh-CN"/>
          <w14:textFill>
            <w14:solidFill>
              <w14:schemeClr w14:val="tx1"/>
            </w14:solidFill>
          </w14:textFill>
        </w:rPr>
        <w:t>明确单元四至边界、面积、功能定位、村庄人口、建设用地规模及重要设施配建标准或空间布局要求；落实耕地和永久基本农田保护红线、生态保护红线等强制性内容，将指标规模和空间布局传导至村庄，划定保留村庄的村庄建设边界，明确规模控制要求。</w:t>
      </w:r>
    </w:p>
    <w:p>
      <w:pPr>
        <w:pStyle w:val="3"/>
        <w:numPr>
          <w:ilvl w:val="0"/>
          <w:numId w:val="12"/>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86" w:name="_Toc14999"/>
      <w:r>
        <w:rPr>
          <w:rFonts w:hint="eastAsia" w:ascii="黑体" w:hAnsi="黑体" w:eastAsia="黑体"/>
          <w:color w:val="000000" w:themeColor="text1"/>
          <w:highlight w:val="none"/>
          <w:lang w:eastAsia="zh-CN"/>
          <w14:textFill>
            <w14:solidFill>
              <w14:schemeClr w14:val="tx1"/>
            </w14:solidFill>
          </w14:textFill>
        </w:rPr>
        <w:t>近期行动计划</w:t>
      </w:r>
      <w:bookmarkEnd w:id="86"/>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交通</w:t>
      </w:r>
      <w:r>
        <w:rPr>
          <w:rFonts w:hint="eastAsia" w:eastAsia="仿宋_GB2312"/>
          <w:color w:val="000000" w:themeColor="text1"/>
          <w:w w:val="105"/>
          <w:sz w:val="32"/>
          <w:highlight w:val="none"/>
          <w14:textFill>
            <w14:solidFill>
              <w14:schemeClr w14:val="tx1"/>
            </w14:solidFill>
          </w14:textFill>
        </w:rPr>
        <w:t>项目近期行动计划</w:t>
      </w:r>
    </w:p>
    <w:p>
      <w:pPr>
        <w:pStyle w:val="13"/>
        <w:spacing w:before="120" w:line="360" w:lineRule="auto"/>
        <w:ind w:left="110" w:right="110" w:firstLine="681" w:firstLineChars="213"/>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实施S101合淮路、S238圣泉至王家坝公路、S302省道龙城镇至白土镇、永马路改建、符夹铁路符离集至新河段扩能改造工程等</w:t>
      </w:r>
      <w:r>
        <w:rPr>
          <w:rFonts w:hint="eastAsia" w:eastAsia="仿宋_GB2312"/>
          <w:color w:val="000000" w:themeColor="text1"/>
          <w:highlight w:val="none"/>
          <w:lang w:eastAsia="zh-CN"/>
          <w14:textFill>
            <w14:solidFill>
              <w14:schemeClr w14:val="tx1"/>
            </w14:solidFill>
          </w14:textFill>
        </w:rPr>
        <w:t>。</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水利项目近期行动计划</w:t>
      </w:r>
    </w:p>
    <w:p>
      <w:pPr>
        <w:pStyle w:val="13"/>
        <w:spacing w:before="120" w:line="360" w:lineRule="auto"/>
        <w:ind w:left="110" w:right="110" w:firstLine="681" w:firstLineChars="213"/>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实施龙河上游（三龙支河城外段）河道综合整治工程、</w:t>
      </w:r>
      <w:r>
        <w:rPr>
          <w:rFonts w:hint="eastAsia" w:eastAsia="仿宋_GB2312"/>
          <w:color w:val="000000" w:themeColor="text1"/>
          <w:highlight w:val="none"/>
          <w:lang w:eastAsia="zh-CN"/>
          <w14:textFill>
            <w14:solidFill>
              <w14:schemeClr w14:val="tx1"/>
            </w14:solidFill>
          </w14:textFill>
        </w:rPr>
        <w:t>许谷堆（南湖）水库</w:t>
      </w:r>
      <w:r>
        <w:rPr>
          <w:rFonts w:hint="eastAsia" w:eastAsia="仿宋_GB2312"/>
          <w:color w:val="000000" w:themeColor="text1"/>
          <w:highlight w:val="none"/>
          <w:lang w:val="en-US" w:eastAsia="zh-CN"/>
          <w14:textFill>
            <w14:solidFill>
              <w14:schemeClr w14:val="tx1"/>
            </w14:solidFill>
          </w14:textFill>
        </w:rPr>
        <w:t>建设工程、南水北调东线工程宿州市配水工程等</w:t>
      </w:r>
      <w:r>
        <w:rPr>
          <w:rFonts w:hint="eastAsia" w:eastAsia="仿宋_GB2312"/>
          <w:color w:val="000000" w:themeColor="text1"/>
          <w:highlight w:val="none"/>
          <w:lang w:eastAsia="zh-CN"/>
          <w14:textFill>
            <w14:solidFill>
              <w14:schemeClr w14:val="tx1"/>
            </w14:solidFill>
          </w14:textFill>
        </w:rPr>
        <w:t>。</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电力项目近期行动计划</w:t>
      </w:r>
    </w:p>
    <w:p>
      <w:pPr>
        <w:pStyle w:val="13"/>
        <w:spacing w:before="0" w:beforeLines="0" w:line="360" w:lineRule="auto"/>
        <w:ind w:left="0" w:leftChars="0" w:right="110" w:firstLine="681" w:firstLineChars="213"/>
        <w:rPr>
          <w:rFonts w:hint="eastAsia" w:eastAsia="PMingLiU"/>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重点建设龙河110kV输变电工程、王山110kV输变电工程，完善区域供电网络，保障龙城镇供电可靠性。</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民生项目近期行动计划</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新建</w:t>
      </w:r>
      <w:r>
        <w:rPr>
          <w:rFonts w:hint="eastAsia" w:eastAsia="仿宋_GB2312"/>
          <w:color w:val="000000" w:themeColor="text1"/>
          <w:highlight w:val="none"/>
          <w:lang w:eastAsia="zh-CN"/>
          <w14:textFill>
            <w14:solidFill>
              <w14:schemeClr w14:val="tx1"/>
            </w14:solidFill>
          </w14:textFill>
        </w:rPr>
        <w:t>萧县中医院、梅村中学图书馆，</w:t>
      </w:r>
      <w:r>
        <w:rPr>
          <w:rFonts w:hint="eastAsia" w:eastAsia="仿宋_GB2312"/>
          <w:color w:val="000000" w:themeColor="text1"/>
          <w:highlight w:val="none"/>
          <w:lang w:val="en-US" w:eastAsia="zh-CN"/>
          <w14:textFill>
            <w14:solidFill>
              <w14:schemeClr w14:val="tx1"/>
            </w14:solidFill>
          </w14:textFill>
        </w:rPr>
        <w:t>改扩建</w:t>
      </w:r>
      <w:r>
        <w:rPr>
          <w:rFonts w:hint="eastAsia" w:eastAsia="仿宋_GB2312"/>
          <w:color w:val="000000" w:themeColor="text1"/>
          <w:highlight w:val="none"/>
          <w:lang w:eastAsia="zh-CN"/>
          <w14:textFill>
            <w14:solidFill>
              <w14:schemeClr w14:val="tx1"/>
            </w14:solidFill>
          </w14:textFill>
        </w:rPr>
        <w:t>妇幼保健院，</w:t>
      </w:r>
      <w:r>
        <w:rPr>
          <w:rFonts w:hint="eastAsia" w:eastAsia="仿宋_GB2312"/>
          <w:color w:val="000000" w:themeColor="text1"/>
          <w:highlight w:val="none"/>
          <w:lang w:val="en-US" w:eastAsia="zh-CN"/>
          <w14:textFill>
            <w14:solidFill>
              <w14:schemeClr w14:val="tx1"/>
            </w14:solidFill>
          </w14:textFill>
        </w:rPr>
        <w:t>提升居民获得感</w:t>
      </w:r>
      <w:r>
        <w:rPr>
          <w:rFonts w:hint="eastAsia" w:eastAsia="仿宋_GB2312"/>
          <w:color w:val="000000" w:themeColor="text1"/>
          <w:highlight w:val="none"/>
          <w:lang w:eastAsia="zh-CN"/>
          <w14:textFill>
            <w14:solidFill>
              <w14:schemeClr w14:val="tx1"/>
            </w14:solidFill>
          </w14:textFill>
        </w:rPr>
        <w:t>。</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生态修复</w:t>
      </w:r>
      <w:r>
        <w:rPr>
          <w:rFonts w:hint="eastAsia" w:eastAsia="仿宋_GB2312"/>
          <w:color w:val="000000" w:themeColor="text1"/>
          <w:w w:val="105"/>
          <w:sz w:val="32"/>
          <w:highlight w:val="none"/>
          <w14:textFill>
            <w14:solidFill>
              <w14:schemeClr w14:val="tx1"/>
            </w14:solidFill>
          </w14:textFill>
        </w:rPr>
        <w:t>项目近期行动计划</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重点</w:t>
      </w:r>
      <w:r>
        <w:rPr>
          <w:rFonts w:hint="eastAsia" w:eastAsia="仿宋_GB2312"/>
          <w:color w:val="000000" w:themeColor="text1"/>
          <w:highlight w:val="none"/>
          <w:lang w:val="en-US" w:eastAsia="zh-CN"/>
          <w14:textFill>
            <w14:solidFill>
              <w14:schemeClr w14:val="tx1"/>
            </w14:solidFill>
          </w14:textFill>
        </w:rPr>
        <w:t>实施</w:t>
      </w:r>
      <w:r>
        <w:rPr>
          <w:rFonts w:hint="eastAsia" w:eastAsia="仿宋_GB2312"/>
          <w:color w:val="000000" w:themeColor="text1"/>
          <w:highlight w:val="none"/>
          <w:lang w:eastAsia="zh-CN"/>
          <w14:textFill>
            <w14:solidFill>
              <w14:schemeClr w14:val="tx1"/>
            </w14:solidFill>
          </w14:textFill>
        </w:rPr>
        <w:t>地下水超采治理、废弃矿山修复</w:t>
      </w:r>
      <w:r>
        <w:rPr>
          <w:rFonts w:hint="eastAsia" w:eastAsia="仿宋_GB2312"/>
          <w:color w:val="000000" w:themeColor="text1"/>
          <w:highlight w:val="none"/>
          <w:lang w:val="en-US" w:eastAsia="zh-CN"/>
          <w14:textFill>
            <w14:solidFill>
              <w14:schemeClr w14:val="tx1"/>
            </w14:solidFill>
          </w14:textFill>
        </w:rPr>
        <w:t>等工程</w:t>
      </w:r>
      <w:r>
        <w:rPr>
          <w:rFonts w:hint="eastAsia" w:eastAsia="仿宋_GB2312"/>
          <w:color w:val="000000" w:themeColor="text1"/>
          <w:highlight w:val="none"/>
          <w:lang w:eastAsia="zh-CN"/>
          <w14:textFill>
            <w14:solidFill>
              <w14:schemeClr w14:val="tx1"/>
            </w14:solidFill>
          </w14:textFill>
        </w:rPr>
        <w:t>。</w:t>
      </w:r>
    </w:p>
    <w:p>
      <w:pPr>
        <w:pStyle w:val="3"/>
        <w:numPr>
          <w:ilvl w:val="0"/>
          <w:numId w:val="12"/>
        </w:numPr>
        <w:spacing w:before="240" w:after="240"/>
        <w:ind w:left="0" w:firstLine="0"/>
        <w:jc w:val="center"/>
        <w:rPr>
          <w:rFonts w:hint="eastAsia" w:ascii="黑体" w:hAnsi="黑体" w:eastAsia="黑体"/>
          <w:color w:val="000000" w:themeColor="text1"/>
          <w:highlight w:val="none"/>
          <w:lang w:eastAsia="zh-CN"/>
          <w14:textFill>
            <w14:solidFill>
              <w14:schemeClr w14:val="tx1"/>
            </w14:solidFill>
          </w14:textFill>
        </w:rPr>
      </w:pPr>
      <w:bookmarkStart w:id="87" w:name="_bookmark38"/>
      <w:bookmarkEnd w:id="87"/>
      <w:bookmarkStart w:id="88" w:name="_bookmark39"/>
      <w:bookmarkEnd w:id="88"/>
      <w:bookmarkStart w:id="89" w:name="_Toc4079"/>
      <w:r>
        <w:rPr>
          <w:rFonts w:hint="eastAsia" w:ascii="黑体" w:hAnsi="黑体" w:eastAsia="黑体"/>
          <w:color w:val="000000" w:themeColor="text1"/>
          <w:highlight w:val="none"/>
          <w:lang w:eastAsia="zh-CN"/>
          <w14:textFill>
            <w14:solidFill>
              <w14:schemeClr w14:val="tx1"/>
            </w14:solidFill>
          </w14:textFill>
        </w:rPr>
        <w:t>规划实施保障</w:t>
      </w:r>
      <w:bookmarkEnd w:id="89"/>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加强组织保障</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由龙城镇人民政府负责规划实施，建立政府负责、部门协同、公众参与、上下联动的工作机制，制定推进规划的实施措施，按照项目计划制定年度工作安排，监督检查各年度工作的推进执行情况。完善规划决策体制和制度，建立重大问题的政策研究机制和专家论证制度，以及重大建设项目公示与听证制度，提高决策的科学性。健全乡村建设规划许可管理制度，按照先规划、后许可、再建设的原则，优化审批流程，简化管理措施，强化规划权威，确保建设符合规划不走样。</w:t>
      </w:r>
      <w:r>
        <w:rPr>
          <w:rFonts w:hint="eastAsia" w:eastAsia="仿宋_GB2312"/>
          <w:color w:val="000000" w:themeColor="text1"/>
          <w:highlight w:val="none"/>
          <w14:textFill>
            <w14:solidFill>
              <w14:schemeClr w14:val="tx1"/>
            </w14:solidFill>
          </w14:textFill>
        </w:rPr>
        <w:t>充实规划管理力量，推行乡村规划师制度。</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落实配套政策</w:t>
      </w:r>
    </w:p>
    <w:p>
      <w:pPr>
        <w:pStyle w:val="13"/>
        <w:spacing w:before="0" w:beforeLines="0" w:line="360" w:lineRule="auto"/>
        <w:ind w:left="0" w:leftChars="0" w:right="110" w:firstLine="684" w:firstLineChars="213"/>
        <w:rPr>
          <w:rFonts w:hint="eastAsia" w:eastAsia="仿宋_GB2312"/>
          <w:color w:val="000000" w:themeColor="text1"/>
          <w:highlight w:val="none"/>
          <w:lang w:eastAsia="zh-CN"/>
          <w14:textFill>
            <w14:solidFill>
              <w14:schemeClr w14:val="tx1"/>
            </w14:solidFill>
          </w14:textFill>
        </w:rPr>
      </w:pPr>
      <w:r>
        <w:rPr>
          <w:rFonts w:hint="eastAsia" w:eastAsia="仿宋_GB2312"/>
          <w:b/>
          <w:bCs/>
          <w:color w:val="000000" w:themeColor="text1"/>
          <w:highlight w:val="none"/>
          <w:lang w:eastAsia="zh-CN"/>
          <w14:textFill>
            <w14:solidFill>
              <w14:schemeClr w14:val="tx1"/>
            </w14:solidFill>
          </w14:textFill>
        </w:rPr>
        <w:t>建立更加完善的耕地与永久基本农田保护制度。</w:t>
      </w:r>
      <w:r>
        <w:rPr>
          <w:rFonts w:hint="eastAsia" w:eastAsia="仿宋_GB2312"/>
          <w:color w:val="000000" w:themeColor="text1"/>
          <w:highlight w:val="none"/>
          <w:lang w:eastAsia="zh-CN"/>
          <w14:textFill>
            <w14:solidFill>
              <w14:schemeClr w14:val="tx1"/>
            </w14:solidFill>
          </w14:textFill>
        </w:rPr>
        <w:t>探索建立区域统筹的耕地保护平衡机制。在规划实施中严格建立永久基本农田“先补后占”制度，需在规划永久基本农田范围内改造、复垦、改良完成并更新数据库后，方可占用非耕地的现状永久基本农田。</w:t>
      </w:r>
    </w:p>
    <w:p>
      <w:pPr>
        <w:pStyle w:val="13"/>
        <w:spacing w:before="0" w:beforeLines="0" w:line="360" w:lineRule="auto"/>
        <w:ind w:left="0" w:leftChars="0" w:right="110" w:firstLine="684" w:firstLineChars="213"/>
        <w:rPr>
          <w:rFonts w:hint="eastAsia" w:eastAsia="PMingLiU"/>
          <w:color w:val="000000" w:themeColor="text1"/>
          <w:highlight w:val="none"/>
          <w:lang w:eastAsia="zh-CN"/>
          <w14:textFill>
            <w14:solidFill>
              <w14:schemeClr w14:val="tx1"/>
            </w14:solidFill>
          </w14:textFill>
        </w:rPr>
      </w:pPr>
      <w:r>
        <w:rPr>
          <w:rFonts w:hint="eastAsia" w:eastAsia="仿宋_GB2312"/>
          <w:b/>
          <w:bCs/>
          <w:color w:val="000000" w:themeColor="text1"/>
          <w:highlight w:val="none"/>
          <w:lang w:eastAsia="zh-CN"/>
          <w14:textFill>
            <w14:solidFill>
              <w14:schemeClr w14:val="tx1"/>
            </w14:solidFill>
          </w14:textFill>
        </w:rPr>
        <w:t>探索集体经营性建设用地入市配套政策。</w:t>
      </w:r>
      <w:r>
        <w:rPr>
          <w:rFonts w:hint="eastAsia" w:eastAsia="仿宋_GB2312"/>
          <w:color w:val="000000" w:themeColor="text1"/>
          <w:highlight w:val="none"/>
          <w:lang w:eastAsia="zh-CN"/>
          <w14:textFill>
            <w14:solidFill>
              <w14:schemeClr w14:val="tx1"/>
            </w14:solidFill>
          </w14:textFill>
        </w:rPr>
        <w:t>建立集体经营性建设用地入市相关配套制度，落实具体操作细则，明确相关利益分配机制，保障农村一二三产业融合发展。</w:t>
      </w:r>
    </w:p>
    <w:p>
      <w:pPr>
        <w:pStyle w:val="13"/>
        <w:spacing w:before="0" w:beforeLines="0" w:line="360" w:lineRule="auto"/>
        <w:ind w:left="0" w:leftChars="0" w:right="110" w:firstLine="684" w:firstLineChars="213"/>
        <w:rPr>
          <w:rFonts w:hint="eastAsia" w:eastAsia="PMingLiU"/>
          <w:color w:val="000000" w:themeColor="text1"/>
          <w:highlight w:val="none"/>
          <w:lang w:eastAsia="zh-CN"/>
          <w14:textFill>
            <w14:solidFill>
              <w14:schemeClr w14:val="tx1"/>
            </w14:solidFill>
          </w14:textFill>
        </w:rPr>
      </w:pPr>
      <w:r>
        <w:rPr>
          <w:rFonts w:hint="eastAsia" w:eastAsia="仿宋_GB2312"/>
          <w:b/>
          <w:bCs/>
          <w:color w:val="000000" w:themeColor="text1"/>
          <w:highlight w:val="none"/>
          <w:lang w:eastAsia="zh-CN"/>
          <w14:textFill>
            <w14:solidFill>
              <w14:schemeClr w14:val="tx1"/>
            </w14:solidFill>
          </w14:textFill>
        </w:rPr>
        <w:t>探索集中居住激励政策。</w:t>
      </w:r>
      <w:r>
        <w:rPr>
          <w:rFonts w:hint="eastAsia" w:eastAsia="仿宋_GB2312"/>
          <w:color w:val="000000" w:themeColor="text1"/>
          <w:highlight w:val="none"/>
          <w:lang w:eastAsia="zh-CN"/>
          <w14:textFill>
            <w14:solidFill>
              <w14:schemeClr w14:val="tx1"/>
            </w14:solidFill>
          </w14:textFill>
        </w:rPr>
        <w:t>为进一步优化城乡建设用地格局，集约节约用地。政府方面，通过基础设施建设、公共服务完善、经济补贴等方式鼓励村民搬迁到集中居民点聚居。村集体方面，在一户一宅的前提下，采用集中居住后腾退的宅基地面积作价入股等方式，保障集体经济组织成员对原有宅基地的财产权，鼓励集中居住。</w:t>
      </w:r>
    </w:p>
    <w:p>
      <w:pPr>
        <w:pStyle w:val="13"/>
        <w:spacing w:before="0" w:beforeLines="0" w:line="360" w:lineRule="auto"/>
        <w:ind w:left="0" w:leftChars="0" w:right="110" w:firstLine="684" w:firstLineChars="213"/>
        <w:rPr>
          <w:rFonts w:hint="eastAsia" w:eastAsia="PMingLiU"/>
          <w:color w:val="000000" w:themeColor="text1"/>
          <w:highlight w:val="none"/>
          <w14:textFill>
            <w14:solidFill>
              <w14:schemeClr w14:val="tx1"/>
            </w14:solidFill>
          </w14:textFill>
        </w:rPr>
      </w:pPr>
      <w:r>
        <w:rPr>
          <w:rFonts w:hint="eastAsia" w:eastAsia="仿宋_GB2312"/>
          <w:b/>
          <w:bCs/>
          <w:color w:val="000000" w:themeColor="text1"/>
          <w:highlight w:val="none"/>
          <w:lang w:eastAsia="zh-CN"/>
          <w14:textFill>
            <w14:solidFill>
              <w14:schemeClr w14:val="tx1"/>
            </w14:solidFill>
          </w14:textFill>
        </w:rPr>
        <w:t>探索宅基地有偿退出机制。</w:t>
      </w:r>
      <w:r>
        <w:rPr>
          <w:rFonts w:hint="eastAsia" w:eastAsia="仿宋_GB2312"/>
          <w:color w:val="000000" w:themeColor="text1"/>
          <w:highlight w:val="none"/>
          <w:lang w:eastAsia="zh-CN"/>
          <w14:textFill>
            <w14:solidFill>
              <w14:schemeClr w14:val="tx1"/>
            </w14:solidFill>
          </w14:textFill>
        </w:rPr>
        <w:t>放活宅基地使用权。在土地、财政、融资等方面出台对城镇集中居住、农村自愿退出宅基地配套支持政策</w:t>
      </w:r>
      <w:r>
        <w:rPr>
          <w:rFonts w:hint="eastAsia" w:eastAsia="仿宋_GB2312"/>
          <w:color w:val="000000" w:themeColor="text1"/>
          <w:highlight w:val="none"/>
          <w14:textFill>
            <w14:solidFill>
              <w14:schemeClr w14:val="tx1"/>
            </w14:solidFill>
          </w14:textFill>
        </w:rPr>
        <w:t>。</w:t>
      </w:r>
    </w:p>
    <w:p>
      <w:pPr>
        <w:pStyle w:val="46"/>
        <w:spacing w:before="0" w:line="360" w:lineRule="auto"/>
        <w:ind w:left="0" w:right="108" w:firstLine="718" w:firstLineChars="213"/>
        <w:rPr>
          <w:rFonts w:hint="eastAsia" w:eastAsia="仿宋_GB2312"/>
          <w:color w:val="000000" w:themeColor="text1"/>
          <w:w w:val="105"/>
          <w:sz w:val="32"/>
          <w:highlight w:val="none"/>
          <w14:textFill>
            <w14:solidFill>
              <w14:schemeClr w14:val="tx1"/>
            </w14:solidFill>
          </w14:textFill>
        </w:rPr>
      </w:pPr>
      <w:r>
        <w:rPr>
          <w:rFonts w:hint="eastAsia" w:eastAsia="仿宋_GB2312"/>
          <w:color w:val="000000" w:themeColor="text1"/>
          <w:w w:val="105"/>
          <w:sz w:val="32"/>
          <w:highlight w:val="none"/>
          <w14:textFill>
            <w14:solidFill>
              <w14:schemeClr w14:val="tx1"/>
            </w14:solidFill>
          </w14:textFill>
        </w:rPr>
        <w:t>健全监督机制</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完善公众参与制度</w:t>
      </w:r>
      <w:r>
        <w:rPr>
          <w:rFonts w:hint="eastAsia" w:asciiTheme="minorEastAsia" w:hAnsiTheme="minorEastAsia" w:eastAsiaTheme="minorEastAsia"/>
          <w:color w:val="000000" w:themeColor="text1"/>
          <w:highlight w:val="none"/>
          <w:lang w:eastAsia="zh-CN"/>
          <w14:textFill>
            <w14:solidFill>
              <w14:schemeClr w14:val="tx1"/>
            </w14:solidFill>
          </w14:textFill>
        </w:rPr>
        <w:t>，</w:t>
      </w:r>
      <w:r>
        <w:rPr>
          <w:rFonts w:hint="eastAsia" w:eastAsia="仿宋_GB2312"/>
          <w:color w:val="000000" w:themeColor="text1"/>
          <w:highlight w:val="none"/>
          <w:lang w:eastAsia="zh-CN"/>
          <w14:textFill>
            <w14:solidFill>
              <w14:schemeClr w14:val="tx1"/>
            </w14:solidFill>
          </w14:textFill>
        </w:rPr>
        <w:t>建立贯穿规划编制、实施、监督及乡村治理全过程的公众参与机制。建立并用好国土空间规划“一张图”实施监督信息系统，数据库汇入上级国土空间基础信息平台和“一张图”实施监督信息系统。</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sectPr>
          <w:footerReference r:id="rId8" w:type="default"/>
          <w:pgSz w:w="11910" w:h="16850"/>
          <w:pgMar w:top="1360" w:right="1380" w:bottom="1640" w:left="1580" w:header="645" w:footer="1443" w:gutter="0"/>
          <w:cols w:space="720" w:num="1"/>
        </w:sectPr>
      </w:pPr>
      <w:r>
        <w:rPr>
          <w:rFonts w:hint="eastAsia" w:eastAsia="仿宋_GB2312"/>
          <w:color w:val="000000" w:themeColor="text1"/>
          <w:highlight w:val="none"/>
          <w:lang w:eastAsia="zh-CN"/>
          <w14:textFill>
            <w14:solidFill>
              <w14:schemeClr w14:val="tx1"/>
            </w14:solidFill>
          </w14:textFill>
        </w:rPr>
        <w:t>完善规划实施动态监测、评估、预警、考核机制，将国土空间规划执行情况纳入自然资源执法督查内容，建立规划实施考核制度，实行规划实施考核结果与实施主体责任、绩效挂钩考核机制。</w:t>
      </w:r>
    </w:p>
    <w:p>
      <w:pPr>
        <w:pStyle w:val="2"/>
        <w:spacing w:before="0" w:line="360" w:lineRule="auto"/>
        <w:ind w:left="0" w:firstLine="0"/>
        <w:jc w:val="center"/>
        <w:rPr>
          <w:rFonts w:hint="eastAsia" w:ascii="华光小标宋_CNKI" w:hAnsi="华光小标宋_CNKI" w:eastAsia="华光小标宋_CNKI"/>
          <w:spacing w:val="5"/>
          <w:highlight w:val="none"/>
          <w:lang w:eastAsia="zh-CN"/>
        </w:rPr>
      </w:pPr>
      <w:bookmarkStart w:id="90" w:name="_Toc178169307"/>
      <w:bookmarkStart w:id="91" w:name="_Toc13324"/>
      <w:bookmarkStart w:id="92" w:name="_Toc178247612"/>
      <w:bookmarkStart w:id="93" w:name="_Toc212360827"/>
      <w:r>
        <w:rPr>
          <w:rFonts w:hint="eastAsia" w:ascii="华光小标宋_CNKI" w:hAnsi="华光小标宋_CNKI" w:eastAsia="华光小标宋_CNKI"/>
          <w:spacing w:val="5"/>
          <w:highlight w:val="none"/>
          <w:lang w:eastAsia="zh-CN"/>
        </w:rPr>
        <w:t>乡村地区“通则式”规划技术管理规定</w:t>
      </w:r>
      <w:bookmarkEnd w:id="90"/>
      <w:bookmarkEnd w:id="91"/>
      <w:bookmarkEnd w:id="92"/>
      <w:bookmarkEnd w:id="93"/>
    </w:p>
    <w:p>
      <w:pPr>
        <w:pStyle w:val="13"/>
        <w:keepNext w:val="0"/>
        <w:keepLines w:val="0"/>
        <w:pageBreakBefore w:val="0"/>
        <w:widowControl w:val="0"/>
        <w:kinsoku/>
        <w:wordWrap/>
        <w:overflowPunct/>
        <w:topLinePunct w:val="0"/>
        <w:autoSpaceDE w:val="0"/>
        <w:autoSpaceDN w:val="0"/>
        <w:bidi w:val="0"/>
        <w:adjustRightInd/>
        <w:snapToGrid/>
        <w:spacing w:before="0" w:beforeLines="0" w:line="592" w:lineRule="exact"/>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龙城镇国土空间总体规划经法定程序批准后将成为编制龙城镇各级各类规划、指导龙城镇集约集聚发展建设的基本依据。</w:t>
      </w:r>
    </w:p>
    <w:p>
      <w:pPr>
        <w:pStyle w:val="13"/>
        <w:keepNext w:val="0"/>
        <w:keepLines w:val="0"/>
        <w:pageBreakBefore w:val="0"/>
        <w:widowControl w:val="0"/>
        <w:kinsoku/>
        <w:wordWrap/>
        <w:overflowPunct/>
        <w:topLinePunct w:val="0"/>
        <w:autoSpaceDE w:val="0"/>
        <w:autoSpaceDN w:val="0"/>
        <w:bidi w:val="0"/>
        <w:adjustRightInd/>
        <w:snapToGrid/>
        <w:spacing w:before="0" w:beforeLines="0" w:line="592" w:lineRule="exact"/>
        <w:ind w:left="0" w:leftChars="0" w:right="110" w:firstLine="0" w:firstLineChars="0"/>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镇域各部门各单位应自觉接受规划约束，各项建设与管理按照规划有序组织实施。</w:t>
      </w:r>
    </w:p>
    <w:p>
      <w:pPr>
        <w:pStyle w:val="13"/>
        <w:keepNext w:val="0"/>
        <w:keepLines w:val="0"/>
        <w:pageBreakBefore w:val="0"/>
        <w:widowControl w:val="0"/>
        <w:kinsoku/>
        <w:wordWrap/>
        <w:overflowPunct/>
        <w:topLinePunct w:val="0"/>
        <w:autoSpaceDE w:val="0"/>
        <w:autoSpaceDN w:val="0"/>
        <w:bidi w:val="0"/>
        <w:adjustRightInd/>
        <w:snapToGrid w:val="0"/>
        <w:spacing w:before="240" w:beforeLines="0" w:after="240" w:line="592" w:lineRule="exact"/>
        <w:ind w:left="0" w:leftChars="0" w:right="0" w:rightChars="0" w:firstLine="0" w:firstLineChars="0"/>
        <w:jc w:val="center"/>
        <w:textAlignment w:val="auto"/>
        <w:outlineLvl w:val="1"/>
        <w:rPr>
          <w:rFonts w:hint="eastAsia" w:eastAsia="仿宋_GB2312"/>
          <w:color w:val="000000" w:themeColor="text1"/>
          <w:highlight w:val="none"/>
          <w:lang w:eastAsia="zh-CN"/>
          <w14:textFill>
            <w14:solidFill>
              <w14:schemeClr w14:val="tx1"/>
            </w14:solidFill>
          </w14:textFill>
        </w:rPr>
      </w:pPr>
      <w:bookmarkStart w:id="94" w:name="_Toc30137"/>
      <w:r>
        <w:rPr>
          <w:rFonts w:hint="eastAsia" w:eastAsia="仿宋_GB2312"/>
          <w:color w:val="000000" w:themeColor="text1"/>
          <w:highlight w:val="none"/>
          <w:lang w:eastAsia="zh-CN"/>
          <w14:textFill>
            <w14:solidFill>
              <w14:schemeClr w14:val="tx1"/>
            </w14:solidFill>
          </w14:textFill>
        </w:rPr>
        <w:commentReference w:id="0"/>
      </w:r>
      <w:r>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t xml:space="preserve">第一节 </w:t>
      </w:r>
      <w:r>
        <w:rPr>
          <w:rFonts w:hint="eastAsia" w:ascii="黑体" w:hAnsi="黑体" w:eastAsia="黑体" w:cstheme="majorBidi"/>
          <w:bCs/>
          <w:color w:val="000000" w:themeColor="text1"/>
          <w:sz w:val="32"/>
          <w:szCs w:val="32"/>
          <w:highlight w:val="none"/>
          <w:lang w:val="zh-TW" w:eastAsia="zh-CN" w:bidi="zh-TW"/>
          <w14:textFill>
            <w14:solidFill>
              <w14:schemeClr w14:val="tx1"/>
            </w14:solidFill>
          </w14:textFill>
        </w:rPr>
        <w:t>总则</w:t>
      </w:r>
      <w:bookmarkEnd w:id="94"/>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本管理规定以规划引领，合理布局；底线思维，保护优先；存量挖潜，高效利用；以人为本，振兴乡村；因地制宜，突出特色为原则，以国家和地方相关法律法规、政策文件、标准规范等为依据，为加快乡村地区国土空间规划的编制和实施，实现乡村地区空间规划管理全覆盖，引导乡村地区开展不违反国土空间规划的各类开发建设活动。</w:t>
      </w:r>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highlight w:val="none"/>
          <w:lang w:val="zh-CN" w:eastAsia="zh-CN"/>
          <w14:textFill>
            <w14:solidFill>
              <w14:schemeClr w14:val="tx1"/>
            </w14:solidFill>
          </w14:textFill>
        </w:rPr>
      </w:pPr>
      <w:r>
        <w:rPr>
          <w:rFonts w:hint="eastAsia" w:eastAsia="仿宋_GB2312"/>
          <w:color w:val="000000" w:themeColor="text1"/>
          <w:w w:val="105"/>
          <w:sz w:val="32"/>
          <w:highlight w:val="none"/>
          <w:lang w:val="zh-CN" w:eastAsia="zh-CN"/>
          <w14:textFill>
            <w14:solidFill>
              <w14:schemeClr w14:val="tx1"/>
            </w14:solidFill>
          </w14:textFill>
        </w:rPr>
        <w:t>适用范围</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本规定适用于</w:t>
      </w:r>
      <w:r>
        <w:rPr>
          <w:rFonts w:hint="eastAsia" w:eastAsia="仿宋_GB2312"/>
          <w:color w:val="000000" w:themeColor="text1"/>
          <w:highlight w:val="none"/>
          <w:lang w:val="en-US" w:eastAsia="zh-CN"/>
          <w14:textFill>
            <w14:solidFill>
              <w14:schemeClr w14:val="tx1"/>
            </w14:solidFill>
          </w14:textFill>
        </w:rPr>
        <w:t>龙城镇</w:t>
      </w:r>
      <w:r>
        <w:rPr>
          <w:rFonts w:hint="eastAsia" w:eastAsia="仿宋_GB2312"/>
          <w:color w:val="000000" w:themeColor="text1"/>
          <w:highlight w:val="none"/>
          <w:lang w:eastAsia="zh-CN"/>
          <w14:textFill>
            <w14:solidFill>
              <w14:schemeClr w14:val="tx1"/>
            </w14:solidFill>
          </w14:textFill>
        </w:rPr>
        <w:t>城镇开发边界外、无需编制村庄规划（详细规划）的乡村地区建设项目的规划管控。符合国土空间规划和“三区三线”管控规则以及相关用地政策、条件的村民住宅建设（新建、改建、扩建）、公共服务设施和基础设施建设、产业和公益事业建设的规划管理，可将“通则式”规定或在“通则式”规定基础上补充编制地块图则作为申请办理乡村集体建设用地审批与规划许可手续的依据。其中，若本规定内容无法满足具体项目建设管控要求的，需在本规定基础上补充编制乡村地区重点地块图则，细化明确用地位置、面积、土地用途、容积率、建筑密度、建筑高度、主要出入口等项目控制内容，作为核发规划许可的依据。</w:t>
      </w:r>
    </w:p>
    <w:p>
      <w:pPr>
        <w:pStyle w:val="13"/>
        <w:keepNext w:val="0"/>
        <w:keepLines w:val="0"/>
        <w:pageBreakBefore w:val="0"/>
        <w:widowControl w:val="0"/>
        <w:kinsoku/>
        <w:wordWrap/>
        <w:overflowPunct/>
        <w:topLinePunct w:val="0"/>
        <w:autoSpaceDE w:val="0"/>
        <w:autoSpaceDN w:val="0"/>
        <w:bidi w:val="0"/>
        <w:adjustRightInd/>
        <w:snapToGrid w:val="0"/>
        <w:spacing w:before="0" w:beforeLines="0" w:line="360" w:lineRule="auto"/>
        <w:ind w:left="0" w:leftChars="0" w:right="0" w:rightChars="0" w:firstLine="640" w:firstLineChars="0"/>
        <w:jc w:val="left"/>
        <w:textAlignment w:val="auto"/>
        <w:outlineLvl w:val="9"/>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已编制审批村庄规划（详细规划）的区域，以村庄规划（详细规划）作为用途管制及核发规划许可的依据。村域范围内、城镇开发边界外的国有建设用地的各类新建、改建、扩建项目，已编制村庄规划但未批复期间以及村庄规划批复后但未明确具体管控要求的乡村项目建设，在遵守相关法律法规、规范标准基础上，可参照本规定执行。</w:t>
      </w:r>
    </w:p>
    <w:p>
      <w:pPr>
        <w:pStyle w:val="13"/>
        <w:keepNext w:val="0"/>
        <w:keepLines w:val="0"/>
        <w:pageBreakBefore w:val="0"/>
        <w:widowControl w:val="0"/>
        <w:kinsoku/>
        <w:wordWrap/>
        <w:overflowPunct/>
        <w:topLinePunct w:val="0"/>
        <w:autoSpaceDE w:val="0"/>
        <w:autoSpaceDN w:val="0"/>
        <w:bidi w:val="0"/>
        <w:adjustRightInd/>
        <w:snapToGrid w:val="0"/>
        <w:spacing w:before="240" w:beforeLines="0" w:after="240" w:line="592" w:lineRule="exact"/>
        <w:ind w:left="0" w:leftChars="0" w:right="0" w:rightChars="0" w:firstLine="0" w:firstLineChars="0"/>
        <w:jc w:val="center"/>
        <w:textAlignment w:val="auto"/>
        <w:outlineLvl w:val="1"/>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pPr>
      <w:bookmarkStart w:id="95" w:name="_Toc5972"/>
      <w:r>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t>第二节镇村体系</w:t>
      </w:r>
      <w:bookmarkEnd w:id="95"/>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村庄体系</w:t>
      </w:r>
    </w:p>
    <w:p>
      <w:pPr>
        <w:pStyle w:val="13"/>
        <w:keepNext w:val="0"/>
        <w:keepLines w:val="0"/>
        <w:pageBreakBefore w:val="0"/>
        <w:widowControl w:val="0"/>
        <w:kinsoku/>
        <w:wordWrap/>
        <w:overflowPunct/>
        <w:topLinePunct w:val="0"/>
        <w:autoSpaceDE w:val="0"/>
        <w:autoSpaceDN w:val="0"/>
        <w:bidi w:val="0"/>
        <w:adjustRightInd/>
        <w:snapToGrid w:val="0"/>
        <w:spacing w:before="0" w:beforeLines="0" w:line="360" w:lineRule="auto"/>
        <w:ind w:left="0" w:leftChars="0" w:right="0" w:rightChars="0" w:firstLine="640" w:firstLineChars="0"/>
        <w:jc w:val="left"/>
        <w:textAlignment w:val="auto"/>
        <w:outlineLvl w:val="9"/>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 xml:space="preserve">构建“县城—行政村—自然村”的村庄居民点布局体系， 发挥县城在城镇化中的带动作用，以县城为引领，全面提升城 </w:t>
      </w:r>
      <w:r>
        <w:rPr>
          <w:rFonts w:hint="eastAsia" w:eastAsia="仿宋_GB2312"/>
          <w:color w:val="000000" w:themeColor="text1"/>
          <w:w w:val="105"/>
          <w:sz w:val="32"/>
          <w:highlight w:val="none"/>
          <w:lang w:val="en-US" w:eastAsia="zh-CN"/>
          <w14:textFill>
            <w14:solidFill>
              <w14:schemeClr w14:val="tx1"/>
            </w14:solidFill>
          </w14:textFill>
        </w:rPr>
        <w:t xml:space="preserve">乡生活圈公共服务水平。 </w:t>
      </w:r>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村庄分类</w:t>
      </w:r>
    </w:p>
    <w:p>
      <w:pPr>
        <w:pStyle w:val="13"/>
        <w:keepNext w:val="0"/>
        <w:keepLines w:val="0"/>
        <w:pageBreakBefore w:val="0"/>
        <w:widowControl w:val="0"/>
        <w:kinsoku/>
        <w:wordWrap/>
        <w:overflowPunct/>
        <w:topLinePunct w:val="0"/>
        <w:autoSpaceDE w:val="0"/>
        <w:autoSpaceDN w:val="0"/>
        <w:bidi w:val="0"/>
        <w:adjustRightInd/>
        <w:snapToGrid w:val="0"/>
        <w:spacing w:before="0" w:beforeLines="0" w:line="360" w:lineRule="auto"/>
        <w:ind w:left="0" w:leftChars="0" w:right="0" w:rightChars="0" w:firstLine="640" w:firstLineChars="0"/>
        <w:jc w:val="left"/>
        <w:textAlignment w:val="auto"/>
        <w:outlineLvl w:val="9"/>
        <w:rPr>
          <w:rFonts w:hint="default" w:eastAsia="仿宋_GB2312"/>
          <w:color w:val="000000" w:themeColor="text1"/>
          <w:highlight w:val="none"/>
          <w:lang w:val="en-US" w:eastAsia="zh-CN"/>
          <w14:textFill>
            <w14:solidFill>
              <w14:schemeClr w14:val="tx1"/>
            </w14:solidFill>
          </w14:textFill>
        </w:rPr>
      </w:pPr>
      <w:r>
        <w:rPr>
          <w:rFonts w:hint="default" w:eastAsia="仿宋_GB2312"/>
          <w:color w:val="000000" w:themeColor="text1"/>
          <w:highlight w:val="none"/>
          <w:lang w:val="en-US" w:eastAsia="zh-CN"/>
          <w14:textFill>
            <w14:solidFill>
              <w14:schemeClr w14:val="tx1"/>
            </w14:solidFill>
          </w14:textFill>
        </w:rPr>
        <w:t>根据《</w:t>
      </w:r>
      <w:r>
        <w:rPr>
          <w:rFonts w:hint="eastAsia" w:eastAsia="仿宋_GB2312"/>
          <w:color w:val="000000" w:themeColor="text1"/>
          <w:highlight w:val="none"/>
          <w:lang w:val="en-US" w:eastAsia="zh-CN"/>
          <w14:textFill>
            <w14:solidFill>
              <w14:schemeClr w14:val="tx1"/>
            </w14:solidFill>
          </w14:textFill>
        </w:rPr>
        <w:t>龙城镇</w:t>
      </w:r>
      <w:r>
        <w:rPr>
          <w:rFonts w:hint="default" w:eastAsia="仿宋_GB2312"/>
          <w:color w:val="000000" w:themeColor="text1"/>
          <w:highlight w:val="none"/>
          <w:lang w:val="en-US" w:eastAsia="zh-CN"/>
          <w14:textFill>
            <w14:solidFill>
              <w14:schemeClr w14:val="tx1"/>
            </w14:solidFill>
          </w14:textFill>
        </w:rPr>
        <w:t>国土空间总体规划（2021-2035 年）》，全</w:t>
      </w:r>
      <w:r>
        <w:rPr>
          <w:rFonts w:hint="eastAsia" w:eastAsia="仿宋_GB2312"/>
          <w:color w:val="000000" w:themeColor="text1"/>
          <w:highlight w:val="none"/>
          <w:lang w:val="en-US" w:eastAsia="zh-CN"/>
          <w14:textFill>
            <w14:solidFill>
              <w14:schemeClr w14:val="tx1"/>
            </w14:solidFill>
          </w14:textFill>
        </w:rPr>
        <w:t>镇16</w:t>
      </w:r>
      <w:r>
        <w:rPr>
          <w:rFonts w:hint="default" w:eastAsia="仿宋_GB2312"/>
          <w:color w:val="000000" w:themeColor="text1"/>
          <w:highlight w:val="none"/>
          <w:lang w:val="en-US" w:eastAsia="zh-CN"/>
          <w14:textFill>
            <w14:solidFill>
              <w14:schemeClr w14:val="tx1"/>
            </w14:solidFill>
          </w14:textFill>
        </w:rPr>
        <w:t>个行政村划分为集聚提升类、城郊融合类5 种类型，深入学习运用“千万工程”经验，因地制宜分类推进乡村振兴。</w:t>
      </w:r>
    </w:p>
    <w:p>
      <w:pPr>
        <w:pStyle w:val="13"/>
        <w:keepNext w:val="0"/>
        <w:keepLines w:val="0"/>
        <w:pageBreakBefore w:val="0"/>
        <w:widowControl w:val="0"/>
        <w:kinsoku/>
        <w:wordWrap/>
        <w:overflowPunct/>
        <w:topLinePunct w:val="0"/>
        <w:autoSpaceDE w:val="0"/>
        <w:autoSpaceDN w:val="0"/>
        <w:bidi w:val="0"/>
        <w:adjustRightInd/>
        <w:snapToGrid w:val="0"/>
        <w:spacing w:before="0" w:beforeLines="0" w:line="360" w:lineRule="auto"/>
        <w:ind w:left="0" w:leftChars="0" w:right="0" w:rightChars="0" w:firstLine="640" w:firstLineChars="0"/>
        <w:jc w:val="left"/>
        <w:textAlignment w:val="auto"/>
        <w:outlineLvl w:val="9"/>
        <w:rPr>
          <w:rFonts w:hint="default" w:eastAsia="仿宋_GB2312"/>
          <w:color w:val="000000" w:themeColor="text1"/>
          <w:highlight w:val="none"/>
          <w:lang w:val="en-US" w:eastAsia="zh-CN"/>
          <w14:textFill>
            <w14:solidFill>
              <w14:schemeClr w14:val="tx1"/>
            </w14:solidFill>
          </w14:textFill>
        </w:rPr>
      </w:pPr>
      <w:r>
        <w:rPr>
          <w:rFonts w:hint="default" w:eastAsia="仿宋_GB2312"/>
          <w:color w:val="000000" w:themeColor="text1"/>
          <w:highlight w:val="none"/>
          <w:lang w:val="en-US" w:eastAsia="zh-CN"/>
          <w14:textFill>
            <w14:solidFill>
              <w14:schemeClr w14:val="tx1"/>
            </w14:solidFill>
          </w14:textFill>
        </w:rPr>
        <w:t>城郊融合类村庄11个</w:t>
      </w:r>
      <w:r>
        <w:rPr>
          <w:rFonts w:hint="eastAsia" w:eastAsia="仿宋_GB2312"/>
          <w:color w:val="000000" w:themeColor="text1"/>
          <w:highlight w:val="none"/>
          <w:lang w:val="en-US" w:eastAsia="zh-CN"/>
          <w14:textFill>
            <w14:solidFill>
              <w14:schemeClr w14:val="tx1"/>
            </w14:solidFill>
          </w14:textFill>
        </w:rPr>
        <w:t>，</w:t>
      </w:r>
      <w:r>
        <w:rPr>
          <w:rFonts w:hint="default" w:eastAsia="仿宋_GB2312"/>
          <w:color w:val="000000" w:themeColor="text1"/>
          <w:highlight w:val="none"/>
          <w:lang w:val="en-US" w:eastAsia="zh-CN"/>
          <w14:textFill>
            <w14:solidFill>
              <w14:schemeClr w14:val="tx1"/>
            </w14:solidFill>
          </w14:textFill>
        </w:rPr>
        <w:t>应加快城乡产业融合发展、基础设施互联互通、公共服务共建共享，在形态上保留乡村风貌，在治理上体现城市水平，逐步强化服务城市发展、承接城市功能外溢、满足城市消费需求的能力。</w:t>
      </w:r>
    </w:p>
    <w:p>
      <w:pPr>
        <w:pStyle w:val="13"/>
        <w:keepNext w:val="0"/>
        <w:keepLines w:val="0"/>
        <w:pageBreakBefore w:val="0"/>
        <w:widowControl w:val="0"/>
        <w:kinsoku/>
        <w:wordWrap/>
        <w:overflowPunct/>
        <w:topLinePunct w:val="0"/>
        <w:autoSpaceDE w:val="0"/>
        <w:autoSpaceDN w:val="0"/>
        <w:bidi w:val="0"/>
        <w:adjustRightInd/>
        <w:snapToGrid w:val="0"/>
        <w:spacing w:before="0" w:beforeLines="0" w:line="360" w:lineRule="auto"/>
        <w:ind w:left="0" w:leftChars="0" w:right="0" w:rightChars="0" w:firstLine="640" w:firstLineChars="0"/>
        <w:jc w:val="left"/>
        <w:textAlignment w:val="auto"/>
        <w:outlineLvl w:val="9"/>
        <w:rPr>
          <w:rFonts w:hint="default" w:eastAsia="仿宋_GB2312"/>
          <w:color w:val="000000" w:themeColor="text1"/>
          <w:highlight w:val="none"/>
          <w:lang w:val="en-US" w:eastAsia="zh-CN"/>
          <w14:textFill>
            <w14:solidFill>
              <w14:schemeClr w14:val="tx1"/>
            </w14:solidFill>
          </w14:textFill>
        </w:rPr>
      </w:pPr>
      <w:r>
        <w:rPr>
          <w:rFonts w:hint="default" w:eastAsia="仿宋_GB2312"/>
          <w:color w:val="000000" w:themeColor="text1"/>
          <w:highlight w:val="none"/>
          <w:lang w:val="en-US" w:eastAsia="zh-CN"/>
          <w14:textFill>
            <w14:solidFill>
              <w14:schemeClr w14:val="tx1"/>
            </w14:solidFill>
          </w14:textFill>
        </w:rPr>
        <w:t>集聚提升类村庄5个</w:t>
      </w:r>
      <w:r>
        <w:rPr>
          <w:rFonts w:hint="eastAsia" w:eastAsia="仿宋_GB2312"/>
          <w:color w:val="000000" w:themeColor="text1"/>
          <w:highlight w:val="none"/>
          <w:lang w:val="en-US" w:eastAsia="zh-CN"/>
          <w14:textFill>
            <w14:solidFill>
              <w14:schemeClr w14:val="tx1"/>
            </w14:solidFill>
          </w14:textFill>
        </w:rPr>
        <w:t>，</w:t>
      </w:r>
      <w:r>
        <w:rPr>
          <w:rFonts w:hint="default" w:eastAsia="仿宋_GB2312"/>
          <w:color w:val="000000" w:themeColor="text1"/>
          <w:highlight w:val="none"/>
          <w:lang w:val="en-US" w:eastAsia="zh-CN"/>
          <w14:textFill>
            <w14:solidFill>
              <w14:schemeClr w14:val="tx1"/>
            </w14:solidFill>
          </w14:textFill>
        </w:rPr>
        <w:t>应重点引导村庄在原有规模基础上有序推进改造提升，激活产业、优化环境、增添活力，建设宜居宜业的美丽村庄。鼓励发挥自身比较优势，强化主导产业支撑</w:t>
      </w:r>
      <w:r>
        <w:rPr>
          <w:rFonts w:hint="eastAsia" w:eastAsia="仿宋_GB2312"/>
          <w:color w:val="000000" w:themeColor="text1"/>
          <w:highlight w:val="none"/>
          <w:lang w:val="en-US" w:eastAsia="zh-CN"/>
          <w14:textFill>
            <w14:solidFill>
              <w14:schemeClr w14:val="tx1"/>
            </w14:solidFill>
          </w14:textFill>
        </w:rPr>
        <w:t>。</w:t>
      </w:r>
    </w:p>
    <w:p>
      <w:pPr>
        <w:pStyle w:val="13"/>
        <w:keepNext w:val="0"/>
        <w:keepLines w:val="0"/>
        <w:pageBreakBefore w:val="0"/>
        <w:widowControl w:val="0"/>
        <w:kinsoku/>
        <w:wordWrap/>
        <w:overflowPunct/>
        <w:topLinePunct w:val="0"/>
        <w:autoSpaceDE w:val="0"/>
        <w:autoSpaceDN w:val="0"/>
        <w:bidi w:val="0"/>
        <w:adjustRightInd/>
        <w:snapToGrid w:val="0"/>
        <w:spacing w:before="240" w:beforeLines="0" w:after="240" w:line="592" w:lineRule="exact"/>
        <w:ind w:left="0" w:leftChars="0" w:right="0" w:rightChars="0" w:firstLine="0" w:firstLineChars="0"/>
        <w:jc w:val="center"/>
        <w:textAlignment w:val="auto"/>
        <w:outlineLvl w:val="1"/>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pPr>
      <w:bookmarkStart w:id="96" w:name="_Toc27788"/>
      <w:r>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t>第三节 底线管控</w:t>
      </w:r>
      <w:bookmarkEnd w:id="96"/>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严格落实“三区三线”划定成果，落实《</w:t>
      </w:r>
      <w:r>
        <w:rPr>
          <w:rFonts w:hint="eastAsia" w:eastAsia="仿宋_GB2312"/>
          <w:color w:val="000000" w:themeColor="text1"/>
          <w:highlight w:val="none"/>
          <w:lang w:val="en-US" w:eastAsia="zh-CN"/>
          <w14:textFill>
            <w14:solidFill>
              <w14:schemeClr w14:val="tx1"/>
            </w14:solidFill>
          </w14:textFill>
        </w:rPr>
        <w:t>龙城镇</w:t>
      </w:r>
      <w:r>
        <w:rPr>
          <w:rFonts w:hint="eastAsia" w:eastAsia="仿宋_GB2312"/>
          <w:color w:val="000000" w:themeColor="text1"/>
          <w:highlight w:val="none"/>
          <w:lang w:eastAsia="zh-CN"/>
          <w14:textFill>
            <w14:solidFill>
              <w14:schemeClr w14:val="tx1"/>
            </w14:solidFill>
          </w14:textFill>
        </w:rPr>
        <w:t>国土空间总体规划（2021-2035 年）》划定的村庄建设边界成果，传导落实国土空间总体规划中其他重要控制线的管控要求。</w:t>
      </w:r>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耕地和永久基本农田保护红线</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永久基本农田未经批准不得擅自调整，乡村建设不得擅自占用或改变用途。永久基本农田不得转为林地、草地、园地等其他农用地及农业设施建设用地，严禁新增占用永久基本农田建设畜禽养殖设施、水产养殖设施和破坏耕作层的种植业设施以及其他违反法律、行政法规和国务院规定的活动。</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严格落实全县耕地保护红线划定成果，严格执行耕地用途管制，全面落实耕地占补平衡制度，分期有序落实耕地补充任务。</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龙城镇</w:t>
      </w:r>
      <w:r>
        <w:rPr>
          <w:rFonts w:hint="eastAsia" w:eastAsia="仿宋_GB2312"/>
          <w:color w:val="000000" w:themeColor="text1"/>
          <w:highlight w:val="none"/>
          <w:lang w:eastAsia="zh-CN"/>
          <w14:textFill>
            <w14:solidFill>
              <w14:schemeClr w14:val="tx1"/>
            </w14:solidFill>
          </w14:textFill>
        </w:rPr>
        <w:t>永久基本农田具体分布情况以经依法批准的</w:t>
      </w:r>
      <w:r>
        <w:rPr>
          <w:rFonts w:hint="eastAsia" w:eastAsia="仿宋_GB2312"/>
          <w:color w:val="000000" w:themeColor="text1"/>
          <w:highlight w:val="none"/>
          <w:lang w:val="en-US" w:eastAsia="zh-CN"/>
          <w14:textFill>
            <w14:solidFill>
              <w14:schemeClr w14:val="tx1"/>
            </w14:solidFill>
          </w14:textFill>
        </w:rPr>
        <w:t>龙城镇</w:t>
      </w:r>
      <w:r>
        <w:rPr>
          <w:rFonts w:hint="eastAsia" w:eastAsia="仿宋_GB2312"/>
          <w:color w:val="000000" w:themeColor="text1"/>
          <w:highlight w:val="none"/>
          <w:lang w:eastAsia="zh-CN"/>
          <w14:textFill>
            <w14:solidFill>
              <w14:schemeClr w14:val="tx1"/>
            </w14:solidFill>
          </w14:textFill>
        </w:rPr>
        <w:t>国土空间总体规划为依据。</w:t>
      </w:r>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生态保护红线</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严格落实全县生态保护红线划定成果，生态保护红线内的自然保护地核心保护区原则上禁止人为活动，其他区域严格禁止开发性、生产性建设活动，在符合法律法规的前提下，仅允许对生态功能不造成破坏的有限人为活动。生态保护红线内自然保护区、风景名胜区、饮用水水源保护区等区域管控措施，依照法律法规执行。</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龙城镇</w:t>
      </w:r>
      <w:r>
        <w:rPr>
          <w:rFonts w:hint="eastAsia" w:eastAsia="仿宋_GB2312"/>
          <w:color w:val="000000" w:themeColor="text1"/>
          <w:highlight w:val="none"/>
          <w:lang w:eastAsia="zh-CN"/>
          <w14:textFill>
            <w14:solidFill>
              <w14:schemeClr w14:val="tx1"/>
            </w14:solidFill>
          </w14:textFill>
        </w:rPr>
        <w:t>生态保护红线具体分布情况以经依法批准的</w:t>
      </w:r>
      <w:r>
        <w:rPr>
          <w:rFonts w:hint="eastAsia" w:eastAsia="仿宋_GB2312"/>
          <w:color w:val="000000" w:themeColor="text1"/>
          <w:highlight w:val="none"/>
          <w:lang w:val="en-US" w:eastAsia="zh-CN"/>
          <w14:textFill>
            <w14:solidFill>
              <w14:schemeClr w14:val="tx1"/>
            </w14:solidFill>
          </w14:textFill>
        </w:rPr>
        <w:t>龙城镇</w:t>
      </w:r>
      <w:r>
        <w:rPr>
          <w:rFonts w:hint="eastAsia" w:eastAsia="仿宋_GB2312"/>
          <w:color w:val="000000" w:themeColor="text1"/>
          <w:highlight w:val="none"/>
          <w:lang w:eastAsia="zh-CN"/>
          <w14:textFill>
            <w14:solidFill>
              <w14:schemeClr w14:val="tx1"/>
            </w14:solidFill>
          </w14:textFill>
        </w:rPr>
        <w:t>国土空间总体规划为依据。</w:t>
      </w:r>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村庄建设边界</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村庄建设边界是规划期内相对集中开展村庄建设的空间范围。村庄建设边界划定依法在乡镇级国土空间总体规划中开展。涉及新增用地的农民建房、农村基本公共服务设施，不应在村庄建设边界外选址。确需选址在村庄建设边界外的少量乡村基础设施、零星乡村产业用地，所涉用地规模纳入村庄建设边界新增潜力空间统筹核算，并相应调整或缩减村庄建设边界。</w:t>
      </w:r>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历史文化保护线</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落实</w:t>
      </w:r>
      <w:r>
        <w:rPr>
          <w:rFonts w:hint="eastAsia" w:eastAsia="仿宋_GB2312"/>
          <w:color w:val="000000" w:themeColor="text1"/>
          <w:highlight w:val="none"/>
          <w:lang w:val="en-US" w:eastAsia="zh-CN"/>
          <w14:textFill>
            <w14:solidFill>
              <w14:schemeClr w14:val="tx1"/>
            </w14:solidFill>
          </w14:textFill>
        </w:rPr>
        <w:t>龙城镇</w:t>
      </w:r>
      <w:r>
        <w:rPr>
          <w:rFonts w:hint="eastAsia" w:eastAsia="仿宋_GB2312"/>
          <w:color w:val="000000" w:themeColor="text1"/>
          <w:highlight w:val="none"/>
          <w:lang w:eastAsia="zh-CN"/>
          <w14:textFill>
            <w14:solidFill>
              <w14:schemeClr w14:val="tx1"/>
            </w14:solidFill>
          </w14:textFill>
        </w:rPr>
        <w:t>国土空间总体规划划定的历史文化保护线。将文物保护单位保护范围和建设控制地带以及城市紫线等一并纳入历史文化保护线，并实施严格保护。历史文化保护线内各项地上、地下国土空间保护开发行为均应严格遵守历史文化遗产保护相关法律法规和保护规划管控要求，保护遗产本体、传统格局和历史环境。</w:t>
      </w:r>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洪涝风险控制线</w:t>
      </w:r>
    </w:p>
    <w:p>
      <w:pPr>
        <w:pStyle w:val="13"/>
        <w:keepNext w:val="0"/>
        <w:keepLines w:val="0"/>
        <w:pageBreakBefore w:val="0"/>
        <w:widowControl w:val="0"/>
        <w:numPr>
          <w:ilvl w:val="0"/>
          <w:numId w:val="0"/>
        </w:numPr>
        <w:kinsoku/>
        <w:wordWrap/>
        <w:overflowPunct/>
        <w:topLinePunct w:val="0"/>
        <w:autoSpaceDE w:val="0"/>
        <w:autoSpaceDN w:val="0"/>
        <w:bidi w:val="0"/>
        <w:adjustRightInd/>
        <w:snapToGrid/>
        <w:spacing w:before="0" w:beforeLines="0" w:line="360" w:lineRule="auto"/>
        <w:ind w:right="110" w:rightChars="50" w:firstLine="640" w:firstLineChars="200"/>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落实</w:t>
      </w:r>
      <w:r>
        <w:rPr>
          <w:rFonts w:hint="eastAsia" w:eastAsia="仿宋_GB2312"/>
          <w:color w:val="000000" w:themeColor="text1"/>
          <w:highlight w:val="none"/>
          <w:lang w:val="en-US" w:eastAsia="zh-CN"/>
          <w14:textFill>
            <w14:solidFill>
              <w14:schemeClr w14:val="tx1"/>
            </w14:solidFill>
          </w14:textFill>
        </w:rPr>
        <w:t>龙城镇</w:t>
      </w:r>
      <w:r>
        <w:rPr>
          <w:rFonts w:hint="eastAsia" w:eastAsia="仿宋_GB2312"/>
          <w:color w:val="000000" w:themeColor="text1"/>
          <w:highlight w:val="none"/>
          <w:lang w:eastAsia="zh-CN"/>
          <w14:textFill>
            <w14:solidFill>
              <w14:schemeClr w14:val="tx1"/>
            </w14:solidFill>
          </w14:textFill>
        </w:rPr>
        <w:t>国土空间总体规划划定的洪涝风险控制线。洪涝风险控制线主要按水利主管部门已公布的河道以及湖库范围为基础划定。</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严禁在洪涝风险控制线内进行永久性的、不符合防洪排涝要求的建设活动。对于已有的违规建筑物和构筑物，应根据相关规划和政策逐步拆除或整改。在控制线内进行临时性建设项目时，需提前向相关部门申报，经严格审批后方可实施，且建设项目不得影响防洪安全和行洪通畅。</w:t>
      </w:r>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负面清单管控要求</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val="en-US"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建设内容按照《安徽省自然资源厅关于乡村地区“通则式”规划技术管理规定编制要求的通知》（皖自然资规划〔2025〕1号）附件1乡村地区国土空间用途管制负面清单严格管控。</w:t>
      </w:r>
    </w:p>
    <w:tbl>
      <w:tblPr>
        <w:tblStyle w:val="2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86" w:type="dxa"/>
          </w:tcPr>
          <w:p>
            <w:pPr>
              <w:jc w:val="center"/>
              <w:rPr>
                <w:rFonts w:hint="default"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b/>
                <w:bCs/>
                <w:color w:val="000000" w:themeColor="text1"/>
                <w:sz w:val="28"/>
                <w:szCs w:val="28"/>
                <w:highlight w:val="none"/>
                <w:lang w:val="en-US" w:eastAsia="zh-CN" w:bidi="zh-TW"/>
                <w14:textFill>
                  <w14:solidFill>
                    <w14:schemeClr w14:val="tx1"/>
                  </w14:solidFill>
                </w14:textFill>
              </w:rPr>
              <w:t>专栏：乡村地区国土空间用途管制负面清单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86" w:type="dxa"/>
          </w:tcPr>
          <w:p>
            <w:pPr>
              <w:keepNext w:val="0"/>
              <w:keepLines w:val="0"/>
              <w:pageBreakBefore w:val="0"/>
              <w:widowControl w:val="0"/>
              <w:kinsoku/>
              <w:wordWrap/>
              <w:overflowPunct/>
              <w:topLinePunct w:val="0"/>
              <w:autoSpaceDE w:val="0"/>
              <w:autoSpaceDN w:val="0"/>
              <w:bidi w:val="0"/>
              <w:adjustRightInd/>
              <w:snapToGrid/>
              <w:ind w:firstLine="562" w:firstLineChars="200"/>
              <w:textAlignment w:val="auto"/>
              <w:rPr>
                <w:rFonts w:hint="eastAsia" w:ascii="仿宋" w:hAnsi="仿宋" w:eastAsia="仿宋_GB2312" w:cs="仿宋"/>
                <w:b/>
                <w:bCs/>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b/>
                <w:bCs/>
                <w:color w:val="000000" w:themeColor="text1"/>
                <w:sz w:val="28"/>
                <w:szCs w:val="28"/>
                <w:highlight w:val="none"/>
                <w:lang w:val="en-US" w:eastAsia="zh-CN" w:bidi="zh-TW"/>
                <w14:textFill>
                  <w14:solidFill>
                    <w14:schemeClr w14:val="tx1"/>
                  </w14:solidFill>
                </w14:textFill>
              </w:rPr>
              <w:t>一、永久基本农田占用负面清单</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1.永久基本农田不得转为林地、草地、园地等其他农用地及农业设施建设用地;</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2.严禁占用永久基本农田发展林果业和挖塘养鱼;</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3.严禁占用永久基本农田种植苗木、草皮等用于绿化装饰以及其他破坏耕作层的植物;</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4.严禁占用永久基本农田挖湖造景、建设绿化带;</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5.严禁新增占用永久基本农田建设畜禽养殖设施、水产养殖设施和破坏耕作层的种植业设施;</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6.严禁任何单位和个人在永久基本农田上建密、建房、建坟、挖砂、采石、取土、堆放固体废弃物或者进行其他破坏永久基本农田的活动;</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7.严禁在城乡建设中以单个项目占用为目的擅自调整永久基本农田:</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8.其他法律、法规、国家政策文件规定的限制和禁止情形</w:t>
            </w:r>
            <w:r>
              <w:rPr>
                <w:rFonts w:hint="eastAsia" w:eastAsia="仿宋_GB2312" w:cs="仿宋"/>
                <w:color w:val="000000" w:themeColor="text1"/>
                <w:sz w:val="28"/>
                <w:szCs w:val="28"/>
                <w:highlight w:val="none"/>
                <w:lang w:val="en-US" w:eastAsia="zh-CN" w:bidi="zh-TW"/>
                <w14:textFill>
                  <w14:solidFill>
                    <w14:schemeClr w14:val="tx1"/>
                  </w14:solidFill>
                </w14:textFill>
              </w:rPr>
              <w:t>。</w:t>
            </w:r>
          </w:p>
          <w:p>
            <w:pPr>
              <w:keepNext w:val="0"/>
              <w:keepLines w:val="0"/>
              <w:pageBreakBefore w:val="0"/>
              <w:widowControl w:val="0"/>
              <w:kinsoku/>
              <w:wordWrap/>
              <w:overflowPunct/>
              <w:topLinePunct w:val="0"/>
              <w:autoSpaceDE w:val="0"/>
              <w:autoSpaceDN w:val="0"/>
              <w:bidi w:val="0"/>
              <w:adjustRightInd/>
              <w:snapToGrid/>
              <w:ind w:firstLine="562" w:firstLineChars="200"/>
              <w:textAlignment w:val="auto"/>
              <w:rPr>
                <w:rFonts w:hint="eastAsia" w:ascii="仿宋" w:hAnsi="仿宋" w:eastAsia="仿宋_GB2312" w:cs="仿宋"/>
                <w:b/>
                <w:bCs/>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b/>
                <w:bCs/>
                <w:color w:val="000000" w:themeColor="text1"/>
                <w:sz w:val="28"/>
                <w:szCs w:val="28"/>
                <w:highlight w:val="none"/>
                <w:lang w:val="en-US" w:eastAsia="zh-CN" w:bidi="zh-TW"/>
                <w14:textFill>
                  <w14:solidFill>
                    <w14:schemeClr w14:val="tx1"/>
                  </w14:solidFill>
                </w14:textFill>
              </w:rPr>
              <w:t>二、一般耕地占用负面清单</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1.不得在一般耕地上挖湖造景、种植草皮;</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2.不得在国家批准的生态退耕规划和计划外擅自扩大退耕还林还草还湿还湖规模;</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3.不得违规超标准在铁路、公路等用地红线外，以及河渠两侧、水库周边占用一般耕地种树建设绿化带;</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4.未经批准不得占用一般耕地实施国土绿化;</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5.未经批准工商企业等社会资本不得将通过流转获得土地经营权的一般耕地转为林地、园地等其他农用地;</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6.禁止占用耕地建窑、建坟或者擅自在耕地上建房、挖砂、采石、采矿、取土等;</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7.严禁以设施农业为名占用耕地违法违规建设与农业发展无关的设施;</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8.严禁在农业大棚内违法违规占用耕地建设住宅、餐饮、娱乐等非农设施;</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9.其他法律、法规、国家政策文件规定的限制和禁止情形</w:t>
            </w:r>
            <w:r>
              <w:rPr>
                <w:rFonts w:hint="eastAsia" w:eastAsia="仿宋_GB2312" w:cs="仿宋"/>
                <w:color w:val="000000" w:themeColor="text1"/>
                <w:sz w:val="28"/>
                <w:szCs w:val="28"/>
                <w:highlight w:val="none"/>
                <w:lang w:val="en-US" w:eastAsia="zh-CN" w:bidi="zh-TW"/>
                <w14:textFill>
                  <w14:solidFill>
                    <w14:schemeClr w14:val="tx1"/>
                  </w14:solidFill>
                </w14:textFill>
              </w:rPr>
              <w:t>。</w:t>
            </w:r>
          </w:p>
          <w:p>
            <w:pPr>
              <w:keepNext w:val="0"/>
              <w:keepLines w:val="0"/>
              <w:pageBreakBefore w:val="0"/>
              <w:widowControl w:val="0"/>
              <w:kinsoku/>
              <w:wordWrap/>
              <w:overflowPunct/>
              <w:topLinePunct w:val="0"/>
              <w:autoSpaceDE w:val="0"/>
              <w:autoSpaceDN w:val="0"/>
              <w:bidi w:val="0"/>
              <w:adjustRightInd/>
              <w:snapToGrid/>
              <w:ind w:firstLine="562" w:firstLineChars="200"/>
              <w:textAlignment w:val="auto"/>
              <w:rPr>
                <w:rFonts w:hint="eastAsia" w:ascii="仿宋" w:hAnsi="仿宋" w:eastAsia="仿宋_GB2312" w:cs="仿宋"/>
                <w:b/>
                <w:bCs/>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b/>
                <w:bCs/>
                <w:color w:val="000000" w:themeColor="text1"/>
                <w:sz w:val="28"/>
                <w:szCs w:val="28"/>
                <w:highlight w:val="none"/>
                <w:lang w:val="en-US" w:eastAsia="zh-CN" w:bidi="zh-TW"/>
                <w14:textFill>
                  <w14:solidFill>
                    <w14:schemeClr w14:val="tx1"/>
                  </w14:solidFill>
                </w14:textFill>
              </w:rPr>
              <w:t>三、生态空间管控负面清单</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1.严禁以土地综合整治名义调整生态保护红线;</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2.严禁破坏生态环境砍树挖山填湖，严禁违法占用林地、湿地、草地，不得采伐古树名木，不得以整治名义擅自毁林开垦;3.禁止毁坏森林、草原开垦耕地，禁止围湖造田和侵占江河滩地;</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4.其他法律、法规、国家政策文件规定的限制和禁止情形</w:t>
            </w:r>
            <w:r>
              <w:rPr>
                <w:rFonts w:hint="eastAsia" w:eastAsia="仿宋_GB2312" w:cs="仿宋"/>
                <w:color w:val="000000" w:themeColor="text1"/>
                <w:sz w:val="28"/>
                <w:szCs w:val="28"/>
                <w:highlight w:val="none"/>
                <w:lang w:val="en-US" w:eastAsia="zh-CN" w:bidi="zh-TW"/>
                <w14:textFill>
                  <w14:solidFill>
                    <w14:schemeClr w14:val="tx1"/>
                  </w14:solidFill>
                </w14:textFill>
              </w:rPr>
              <w:t>。</w:t>
            </w:r>
          </w:p>
          <w:p>
            <w:pPr>
              <w:keepNext w:val="0"/>
              <w:keepLines w:val="0"/>
              <w:pageBreakBefore w:val="0"/>
              <w:widowControl w:val="0"/>
              <w:kinsoku/>
              <w:wordWrap/>
              <w:overflowPunct/>
              <w:topLinePunct w:val="0"/>
              <w:autoSpaceDE w:val="0"/>
              <w:autoSpaceDN w:val="0"/>
              <w:bidi w:val="0"/>
              <w:adjustRightInd/>
              <w:snapToGrid/>
              <w:ind w:firstLine="562" w:firstLineChars="200"/>
              <w:textAlignment w:val="auto"/>
              <w:rPr>
                <w:rFonts w:hint="eastAsia" w:ascii="仿宋" w:hAnsi="仿宋" w:eastAsia="仿宋_GB2312" w:cs="仿宋"/>
                <w:b/>
                <w:bCs/>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b/>
                <w:bCs/>
                <w:color w:val="000000" w:themeColor="text1"/>
                <w:sz w:val="28"/>
                <w:szCs w:val="28"/>
                <w:highlight w:val="none"/>
                <w:lang w:val="en-US" w:eastAsia="zh-CN" w:bidi="zh-TW"/>
                <w14:textFill>
                  <w14:solidFill>
                    <w14:schemeClr w14:val="tx1"/>
                  </w14:solidFill>
                </w14:textFill>
              </w:rPr>
              <w:t>四、农村建房负面清单</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1.不准占用永久基本农田建房;</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2.不准强占多占耕地建房;</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3.不准买卖、流转耕地违法建房;</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4.不准在承包耕地上违法建房:</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5.不准巧立名目违法占用耕地建房;</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6.不准违反“一户一宅”规定占用耕地建房;</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7.不准非法出售占用耕地建设的房屋;</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8.不准违法审批占用耕地建房;</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9.严禁下乡利用农村宅基地建设别墅大院和私人会馆。严禁随意撤并村庄搞大社区、违背农民意愿大拆大建;</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10.禁止违背农村村民意愿强制流转宅基地，禁止违法收回农村村民依法取得的宅基地，禁止以退出宅基地作为农村村民进城落户的条件，不得强制农民搬迁和上楼居住;</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11.其他法律、法规、国家政策文件规定的限制和禁止情形</w:t>
            </w:r>
            <w:r>
              <w:rPr>
                <w:rFonts w:hint="eastAsia" w:eastAsia="仿宋_GB2312" w:cs="仿宋"/>
                <w:color w:val="000000" w:themeColor="text1"/>
                <w:sz w:val="28"/>
                <w:szCs w:val="28"/>
                <w:highlight w:val="none"/>
                <w:lang w:val="en-US" w:eastAsia="zh-CN" w:bidi="zh-TW"/>
                <w14:textFill>
                  <w14:solidFill>
                    <w14:schemeClr w14:val="tx1"/>
                  </w14:solidFill>
                </w14:textFill>
              </w:rPr>
              <w:t>。</w:t>
            </w:r>
          </w:p>
          <w:p>
            <w:pPr>
              <w:keepNext w:val="0"/>
              <w:keepLines w:val="0"/>
              <w:pageBreakBefore w:val="0"/>
              <w:widowControl w:val="0"/>
              <w:kinsoku/>
              <w:wordWrap/>
              <w:overflowPunct/>
              <w:topLinePunct w:val="0"/>
              <w:autoSpaceDE w:val="0"/>
              <w:autoSpaceDN w:val="0"/>
              <w:bidi w:val="0"/>
              <w:adjustRightInd/>
              <w:snapToGrid/>
              <w:ind w:firstLine="562" w:firstLineChars="200"/>
              <w:textAlignment w:val="auto"/>
              <w:rPr>
                <w:rFonts w:hint="eastAsia" w:ascii="仿宋" w:hAnsi="仿宋" w:eastAsia="仿宋_GB2312" w:cs="仿宋"/>
                <w:b/>
                <w:bCs/>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b/>
                <w:bCs/>
                <w:color w:val="000000" w:themeColor="text1"/>
                <w:sz w:val="28"/>
                <w:szCs w:val="28"/>
                <w:highlight w:val="none"/>
                <w:lang w:val="en-US" w:eastAsia="zh-CN" w:bidi="zh-TW"/>
                <w14:textFill>
                  <w14:solidFill>
                    <w14:schemeClr w14:val="tx1"/>
                  </w14:solidFill>
                </w14:textFill>
              </w:rPr>
              <w:t>五、农村产业用地负面清单</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1.农村产业融合发展用地不得用于商品住宅、别墅、酒店、公寓等房地产开发，不得擅自改变用途或分割转让转租;</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2.不得用于国家明令淘汰的落后产能、列入国家禁止类产业目录的、污染环境的项目建设;</w:t>
            </w:r>
          </w:p>
          <w:p>
            <w:pPr>
              <w:keepNext w:val="0"/>
              <w:keepLines w:val="0"/>
              <w:pageBreakBefore w:val="0"/>
              <w:widowControl w:val="0"/>
              <w:kinsoku/>
              <w:wordWrap/>
              <w:overflowPunct/>
              <w:topLinePunct w:val="0"/>
              <w:autoSpaceDE w:val="0"/>
              <w:autoSpaceDN w:val="0"/>
              <w:bidi w:val="0"/>
              <w:adjustRightInd/>
              <w:snapToGrid/>
              <w:ind w:firstLine="560" w:firstLineChars="200"/>
              <w:textAlignment w:val="auto"/>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pPr>
            <w:r>
              <w:rPr>
                <w:rFonts w:hint="eastAsia" w:ascii="仿宋" w:hAnsi="仿宋" w:eastAsia="仿宋_GB2312" w:cs="仿宋"/>
                <w:color w:val="000000" w:themeColor="text1"/>
                <w:sz w:val="28"/>
                <w:szCs w:val="28"/>
                <w:highlight w:val="none"/>
                <w:lang w:val="en-US" w:eastAsia="zh-CN" w:bidi="zh-TW"/>
                <w14:textFill>
                  <w14:solidFill>
                    <w14:schemeClr w14:val="tx1"/>
                  </w14:solidFill>
                </w14:textFill>
              </w:rPr>
              <w:t>3.其他法律、法规、国家政策文件规定的限制和禁止情形。</w:t>
            </w:r>
          </w:p>
        </w:tc>
      </w:tr>
    </w:tbl>
    <w:p>
      <w:pPr>
        <w:pStyle w:val="13"/>
        <w:keepNext w:val="0"/>
        <w:keepLines w:val="0"/>
        <w:pageBreakBefore w:val="0"/>
        <w:widowControl w:val="0"/>
        <w:kinsoku/>
        <w:wordWrap/>
        <w:overflowPunct/>
        <w:topLinePunct w:val="0"/>
        <w:autoSpaceDE w:val="0"/>
        <w:autoSpaceDN w:val="0"/>
        <w:bidi w:val="0"/>
        <w:adjustRightInd/>
        <w:snapToGrid w:val="0"/>
        <w:spacing w:before="240" w:beforeLines="0" w:after="240" w:line="592" w:lineRule="exact"/>
        <w:ind w:left="0" w:leftChars="0" w:right="0" w:rightChars="0" w:firstLine="0" w:firstLineChars="0"/>
        <w:jc w:val="center"/>
        <w:textAlignment w:val="auto"/>
        <w:outlineLvl w:val="1"/>
        <w:rPr>
          <w:rFonts w:hint="default" w:ascii="黑体" w:hAnsi="黑体" w:eastAsia="黑体" w:cstheme="majorBidi"/>
          <w:bCs/>
          <w:color w:val="000000" w:themeColor="text1"/>
          <w:sz w:val="32"/>
          <w:szCs w:val="32"/>
          <w:highlight w:val="none"/>
          <w:lang w:val="en-US" w:eastAsia="zh-CN" w:bidi="zh-TW"/>
          <w14:textFill>
            <w14:solidFill>
              <w14:schemeClr w14:val="tx1"/>
            </w14:solidFill>
          </w14:textFill>
        </w:rPr>
      </w:pPr>
      <w:bookmarkStart w:id="97" w:name="_Toc13563"/>
      <w:r>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t>第四节  指标管控</w:t>
      </w:r>
      <w:bookmarkEnd w:id="97"/>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上位规划传导的约束指标</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lang w:val="en-US" w:eastAsia="zh-CN"/>
        </w:rPr>
      </w:pPr>
      <w:r>
        <w:rPr>
          <w:rFonts w:hint="eastAsia" w:eastAsia="仿宋_GB2312"/>
          <w:color w:val="000000" w:themeColor="text1"/>
          <w:highlight w:val="none"/>
          <w:lang w:val="en-US" w:eastAsia="zh-CN"/>
          <w14:textFill>
            <w14:solidFill>
              <w14:schemeClr w14:val="tx1"/>
            </w14:solidFill>
          </w14:textFill>
        </w:rPr>
        <w:t>根据《龙城镇国土空间总体规划（2021-2035 年)》，村庄建设边界规模不大于 XX 公顷（最终数据以经批准后的乡镇级国土空间总体规划为依据）。</w:t>
      </w:r>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指标预留</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lang w:val="en-US" w:eastAsia="zh-CN"/>
        </w:rPr>
      </w:pPr>
      <w:r>
        <w:rPr>
          <w:rFonts w:hint="eastAsia" w:eastAsia="仿宋_GB2312"/>
          <w:color w:val="000000" w:themeColor="text1"/>
          <w:highlight w:val="none"/>
          <w:lang w:val="en-US" w:eastAsia="zh-CN"/>
          <w14:textFill>
            <w14:solidFill>
              <w14:schemeClr w14:val="tx1"/>
            </w14:solidFill>
          </w14:textFill>
        </w:rPr>
        <w:t>落实国土空间开发保护预留指标要求。确需选址在村庄建设边界外的少量乡村居住用地、乡村基础设施、零星乡村产业用地，在符合相关空间控制线管控要求的前提下，通过落实规划预留村庄建设用地指标或缩减村庄建设边界内新增潜力空间规模等方式落地建设。</w:t>
      </w:r>
    </w:p>
    <w:p>
      <w:pPr>
        <w:pStyle w:val="13"/>
        <w:keepNext w:val="0"/>
        <w:keepLines w:val="0"/>
        <w:pageBreakBefore w:val="0"/>
        <w:widowControl w:val="0"/>
        <w:kinsoku/>
        <w:wordWrap/>
        <w:overflowPunct/>
        <w:topLinePunct w:val="0"/>
        <w:autoSpaceDE w:val="0"/>
        <w:autoSpaceDN w:val="0"/>
        <w:bidi w:val="0"/>
        <w:adjustRightInd/>
        <w:snapToGrid w:val="0"/>
        <w:spacing w:before="240" w:beforeLines="0" w:after="240" w:line="592" w:lineRule="exact"/>
        <w:ind w:left="0" w:leftChars="0" w:right="0" w:rightChars="0" w:firstLine="0" w:firstLineChars="0"/>
        <w:jc w:val="center"/>
        <w:textAlignment w:val="auto"/>
        <w:outlineLvl w:val="1"/>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pPr>
      <w:bookmarkStart w:id="98" w:name="_Toc24789"/>
      <w:r>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t>第五节  用地布局</w:t>
      </w:r>
      <w:bookmarkEnd w:id="98"/>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val="en-US"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村庄建设用地应选址在地质条件较好、环境适宜、交通方便的地段。新增村庄建设用地应与农村土地综合整治相结合，充分利用原有闲置宅基地、村内空闲地、村周边的丘陵坡地或其他未利用地，少占或不占耕地。村庄建设原则上应避让各类地质灾害隐患地段及其他危险地段，无法避免的，应按照具体的地质灾害分区防控要求，采取针对性的防治措施。</w:t>
      </w:r>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bookmarkStart w:id="99" w:name="bookmark12"/>
      <w:bookmarkEnd w:id="99"/>
      <w:bookmarkStart w:id="100" w:name="bookmark11"/>
      <w:bookmarkEnd w:id="100"/>
      <w:r>
        <w:rPr>
          <w:rFonts w:hint="eastAsia" w:eastAsia="仿宋_GB2312"/>
          <w:color w:val="000000" w:themeColor="text1"/>
          <w:w w:val="105"/>
          <w:sz w:val="32"/>
          <w:highlight w:val="none"/>
          <w:lang w:val="en-US" w:eastAsia="zh-CN"/>
          <w14:textFill>
            <w14:solidFill>
              <w14:schemeClr w14:val="tx1"/>
            </w14:solidFill>
          </w14:textFill>
        </w:rPr>
        <w:t>村民住房布局要求</w:t>
      </w:r>
    </w:p>
    <w:p>
      <w:pPr>
        <w:keepNext w:val="0"/>
        <w:keepLines w:val="0"/>
        <w:pageBreakBefore w:val="0"/>
        <w:widowControl w:val="0"/>
        <w:kinsoku/>
        <w:wordWrap/>
        <w:overflowPunct/>
        <w:topLinePunct w:val="0"/>
        <w:autoSpaceDE w:val="0"/>
        <w:autoSpaceDN w:val="0"/>
        <w:bidi w:val="0"/>
        <w:adjustRightInd/>
        <w:snapToGrid/>
        <w:spacing w:line="360" w:lineRule="auto"/>
        <w:ind w:right="166" w:firstLine="646"/>
        <w:jc w:val="both"/>
        <w:textAlignment w:val="auto"/>
        <w:rPr>
          <w:rFonts w:ascii="FangSong_GB2312" w:hAnsi="FangSong_GB2312" w:eastAsia="FangSong_GB2312" w:cs="FangSong_GB2312"/>
          <w:spacing w:val="-5"/>
          <w:sz w:val="31"/>
          <w:szCs w:val="31"/>
        </w:rPr>
      </w:pPr>
      <w:r>
        <w:rPr>
          <w:rFonts w:ascii="FangSong_GB2312" w:hAnsi="FangSong_GB2312" w:eastAsia="FangSong_GB2312" w:cs="FangSong_GB2312"/>
          <w:spacing w:val="-3"/>
          <w:sz w:val="31"/>
          <w:szCs w:val="31"/>
        </w:rPr>
        <w:t>村民住房选址要引导集聚、预留空间，有利</w:t>
      </w:r>
      <w:r>
        <w:rPr>
          <w:rFonts w:ascii="FangSong_GB2312" w:hAnsi="FangSong_GB2312" w:eastAsia="FangSong_GB2312" w:cs="FangSong_GB2312"/>
          <w:spacing w:val="-4"/>
          <w:sz w:val="31"/>
          <w:szCs w:val="31"/>
        </w:rPr>
        <w:t>生产、方便生活。</w:t>
      </w:r>
      <w:r>
        <w:rPr>
          <w:rFonts w:ascii="FangSong_GB2312" w:hAnsi="FangSong_GB2312" w:eastAsia="FangSong_GB2312" w:cs="FangSong_GB2312"/>
          <w:spacing w:val="9"/>
          <w:sz w:val="31"/>
          <w:szCs w:val="31"/>
        </w:rPr>
        <w:t>严格落实“一户一宅”政策要求，引导在村庄建设边</w:t>
      </w:r>
      <w:r>
        <w:rPr>
          <w:rFonts w:ascii="FangSong_GB2312" w:hAnsi="FangSong_GB2312" w:eastAsia="FangSong_GB2312" w:cs="FangSong_GB2312"/>
          <w:spacing w:val="8"/>
          <w:sz w:val="31"/>
          <w:szCs w:val="31"/>
        </w:rPr>
        <w:t>界内选址、</w:t>
      </w:r>
      <w:r>
        <w:rPr>
          <w:rFonts w:ascii="FangSong_GB2312" w:hAnsi="FangSong_GB2312" w:eastAsia="FangSong_GB2312" w:cs="FangSong_GB2312"/>
          <w:spacing w:val="-5"/>
          <w:sz w:val="31"/>
          <w:szCs w:val="31"/>
        </w:rPr>
        <w:t>盘活利用闲置宅基地。经批准异地建造住宅的</w:t>
      </w:r>
      <w:r>
        <w:rPr>
          <w:rFonts w:ascii="FangSong_GB2312" w:hAnsi="FangSong_GB2312" w:eastAsia="FangSong_GB2312" w:cs="FangSong_GB2312"/>
          <w:spacing w:val="-6"/>
          <w:sz w:val="31"/>
          <w:szCs w:val="31"/>
        </w:rPr>
        <w:t>，应当严格按照“建</w:t>
      </w:r>
      <w:r>
        <w:rPr>
          <w:rFonts w:ascii="FangSong_GB2312" w:hAnsi="FangSong_GB2312" w:eastAsia="FangSong_GB2312" w:cs="FangSong_GB2312"/>
          <w:spacing w:val="-5"/>
          <w:sz w:val="31"/>
          <w:szCs w:val="31"/>
        </w:rPr>
        <w:t>新拆旧”要求将原宅基地交还给村集体。</w:t>
      </w:r>
    </w:p>
    <w:p>
      <w:pPr>
        <w:keepNext w:val="0"/>
        <w:keepLines w:val="0"/>
        <w:pageBreakBefore w:val="0"/>
        <w:widowControl w:val="0"/>
        <w:kinsoku/>
        <w:wordWrap/>
        <w:overflowPunct/>
        <w:topLinePunct w:val="0"/>
        <w:autoSpaceDE w:val="0"/>
        <w:autoSpaceDN w:val="0"/>
        <w:bidi w:val="0"/>
        <w:adjustRightInd/>
        <w:snapToGrid/>
        <w:spacing w:line="360" w:lineRule="auto"/>
        <w:ind w:right="166" w:firstLine="646"/>
        <w:jc w:val="left"/>
        <w:textAlignment w:val="auto"/>
        <w:rPr>
          <w:rFonts w:hint="eastAsia" w:ascii="FangSong_GB2312" w:hAnsi="FangSong_GB2312" w:eastAsia="FangSong_GB2312" w:cs="FangSong_GB2312"/>
          <w:spacing w:val="-3"/>
          <w:sz w:val="31"/>
          <w:szCs w:val="31"/>
          <w:lang w:val="en-US" w:eastAsia="zh-CN"/>
        </w:rPr>
      </w:pPr>
      <w:r>
        <w:rPr>
          <w:rFonts w:hint="eastAsia" w:ascii="FangSong_GB2312" w:hAnsi="FangSong_GB2312" w:eastAsia="FangSong_GB2312" w:cs="FangSong_GB2312"/>
          <w:spacing w:val="-3"/>
          <w:sz w:val="31"/>
          <w:szCs w:val="31"/>
        </w:rPr>
        <w:t>农房选址要求严格落实农村乱占耕地建房“八不准”，严格落实一户一宅，新建农房应向上位国土空间规划确定的农民集中居住区集聚。新建、改建、现状扩建农房应在村庄建设边界内选址，可通过存量腾挪潜力空间安排用地，并尽量使用未利用地，不占或少占耕地。确需新增散居村民住宅用地的，在保证安全及满足底线管控等前提下，可使用规划“留白”机动指标在村庄建设边界外安排少量建设用地予以保障，实行比例和面积控制，并尽量使用未利用地，不占或少占耕地，禁止占用永久基本农田。</w:t>
      </w:r>
      <w:r>
        <w:rPr>
          <w:rFonts w:hint="eastAsia" w:ascii="FangSong_GB2312" w:hAnsi="FangSong_GB2312" w:eastAsia="FangSong_GB2312" w:cs="FangSong_GB2312"/>
          <w:spacing w:val="-3"/>
          <w:sz w:val="31"/>
          <w:szCs w:val="31"/>
          <w:lang w:val="en-US" w:eastAsia="zh-CN"/>
        </w:rPr>
        <w:t xml:space="preserve"> </w:t>
      </w:r>
    </w:p>
    <w:p>
      <w:pPr>
        <w:keepNext w:val="0"/>
        <w:keepLines w:val="0"/>
        <w:pageBreakBefore w:val="0"/>
        <w:widowControl w:val="0"/>
        <w:kinsoku/>
        <w:wordWrap/>
        <w:overflowPunct/>
        <w:topLinePunct w:val="0"/>
        <w:autoSpaceDE w:val="0"/>
        <w:autoSpaceDN w:val="0"/>
        <w:bidi w:val="0"/>
        <w:adjustRightInd/>
        <w:snapToGrid/>
        <w:spacing w:line="360" w:lineRule="auto"/>
        <w:ind w:right="166" w:firstLine="646"/>
        <w:jc w:val="left"/>
        <w:textAlignment w:val="auto"/>
        <w:rPr>
          <w:rFonts w:hint="eastAsia" w:ascii="FangSong_GB2312" w:hAnsi="FangSong_GB2312" w:eastAsia="FangSong_GB2312" w:cs="FangSong_GB2312"/>
          <w:spacing w:val="-3"/>
          <w:sz w:val="31"/>
          <w:szCs w:val="31"/>
        </w:rPr>
      </w:pPr>
      <w:r>
        <w:rPr>
          <w:rFonts w:hint="eastAsia" w:ascii="FangSong_GB2312" w:hAnsi="FangSong_GB2312" w:eastAsia="FangSong_GB2312" w:cs="FangSong_GB2312"/>
          <w:spacing w:val="-3"/>
          <w:sz w:val="31"/>
          <w:szCs w:val="31"/>
        </w:rPr>
        <w:t>具体建设内容应符合《关于进一步加强农村宅基地审批管理工作的实施意见》（皖农合〔2020〕38 号）、《萧县农村宅基地审批管理办法(试行)》等相关规范要求。</w:t>
      </w:r>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bookmarkStart w:id="101" w:name="bookmark13"/>
      <w:bookmarkEnd w:id="101"/>
      <w:r>
        <w:rPr>
          <w:rFonts w:hint="eastAsia" w:eastAsia="仿宋_GB2312"/>
          <w:color w:val="000000" w:themeColor="text1"/>
          <w:w w:val="105"/>
          <w:sz w:val="32"/>
          <w:highlight w:val="none"/>
          <w:lang w:val="en-US" w:eastAsia="zh-CN"/>
          <w14:textFill>
            <w14:solidFill>
              <w14:schemeClr w14:val="tx1"/>
            </w14:solidFill>
          </w14:textFill>
        </w:rPr>
        <w:t>乡村公共服务设施用地布局要求</w:t>
      </w:r>
    </w:p>
    <w:p>
      <w:pPr>
        <w:keepNext w:val="0"/>
        <w:keepLines w:val="0"/>
        <w:pageBreakBefore w:val="0"/>
        <w:widowControl w:val="0"/>
        <w:kinsoku/>
        <w:wordWrap/>
        <w:overflowPunct/>
        <w:topLinePunct w:val="0"/>
        <w:autoSpaceDE w:val="0"/>
        <w:autoSpaceDN w:val="0"/>
        <w:bidi w:val="0"/>
        <w:adjustRightInd/>
        <w:snapToGrid/>
        <w:spacing w:line="360" w:lineRule="auto"/>
        <w:ind w:left="9" w:right="166" w:firstLine="638"/>
        <w:jc w:val="both"/>
        <w:textAlignment w:val="auto"/>
        <w:rPr>
          <w:rFonts w:ascii="FangSong_GB2312" w:hAnsi="FangSong_GB2312" w:eastAsia="FangSong_GB2312" w:cs="FangSong_GB2312"/>
          <w:sz w:val="31"/>
          <w:szCs w:val="31"/>
        </w:rPr>
      </w:pPr>
      <w:r>
        <w:rPr>
          <w:rFonts w:ascii="FangSong_GB2312" w:hAnsi="FangSong_GB2312" w:eastAsia="FangSong_GB2312" w:cs="FangSong_GB2312"/>
          <w:spacing w:val="2"/>
          <w:sz w:val="31"/>
          <w:szCs w:val="31"/>
        </w:rPr>
        <w:t>按照《社区生活圈规划技术指南》（</w:t>
      </w:r>
      <w:r>
        <w:rPr>
          <w:rFonts w:ascii="FangSong_GB2312" w:hAnsi="FangSong_GB2312" w:eastAsia="FangSong_GB2312" w:cs="FangSong_GB2312"/>
          <w:sz w:val="31"/>
          <w:szCs w:val="31"/>
        </w:rPr>
        <w:t>TD</w:t>
      </w:r>
      <w:r>
        <w:rPr>
          <w:rFonts w:ascii="FangSong_GB2312" w:hAnsi="FangSong_GB2312" w:eastAsia="FangSong_GB2312" w:cs="FangSong_GB2312"/>
          <w:spacing w:val="2"/>
          <w:sz w:val="31"/>
          <w:szCs w:val="31"/>
        </w:rPr>
        <w:t>/T1062-2021）要求，</w:t>
      </w:r>
      <w:r>
        <w:rPr>
          <w:rFonts w:ascii="FangSong_GB2312" w:hAnsi="FangSong_GB2312" w:eastAsia="FangSong_GB2312" w:cs="FangSong_GB2312"/>
          <w:spacing w:val="8"/>
          <w:sz w:val="31"/>
          <w:szCs w:val="31"/>
        </w:rPr>
        <w:t>可构建“</w:t>
      </w:r>
      <w:r>
        <w:rPr>
          <w:rFonts w:ascii="FangSong_GB2312" w:hAnsi="FangSong_GB2312" w:eastAsia="FangSong_GB2312" w:cs="FangSong_GB2312"/>
          <w:spacing w:val="-80"/>
          <w:sz w:val="31"/>
          <w:szCs w:val="31"/>
        </w:rPr>
        <w:t xml:space="preserve"> </w:t>
      </w:r>
      <w:r>
        <w:rPr>
          <w:rFonts w:ascii="FangSong_GB2312" w:hAnsi="FangSong_GB2312" w:eastAsia="FangSong_GB2312" w:cs="FangSong_GB2312"/>
          <w:spacing w:val="8"/>
          <w:sz w:val="31"/>
          <w:szCs w:val="31"/>
        </w:rPr>
        <w:t>乡集镇、村/组”两个乡村社区生活圈层级，强化县域</w:t>
      </w:r>
      <w:r>
        <w:rPr>
          <w:rFonts w:ascii="FangSong_GB2312" w:hAnsi="FangSong_GB2312" w:eastAsia="FangSong_GB2312" w:cs="FangSong_GB2312"/>
          <w:spacing w:val="14"/>
          <w:sz w:val="31"/>
          <w:szCs w:val="31"/>
        </w:rPr>
        <w:t>与乡村层面对农村基本公共服务供给的统筹，配套标准按照</w:t>
      </w:r>
      <w:r>
        <w:rPr>
          <w:rFonts w:hint="eastAsia" w:ascii="FangSong_GB2312" w:hAnsi="FangSong_GB2312" w:eastAsia="FangSong_GB2312" w:cs="FangSong_GB2312"/>
          <w:spacing w:val="14"/>
          <w:sz w:val="31"/>
          <w:szCs w:val="31"/>
        </w:rPr>
        <w:t>乡村公共服务设施配置表</w:t>
      </w:r>
      <w:r>
        <w:rPr>
          <w:rFonts w:ascii="FangSong_GB2312" w:hAnsi="FangSong_GB2312" w:eastAsia="FangSong_GB2312" w:cs="FangSong_GB2312"/>
          <w:spacing w:val="9"/>
          <w:sz w:val="31"/>
          <w:szCs w:val="31"/>
        </w:rPr>
        <w:t>执行。注重相邻村庄之间服务要素的错位配置和共享使用，</w:t>
      </w:r>
      <w:r>
        <w:rPr>
          <w:rFonts w:ascii="FangSong_GB2312" w:hAnsi="FangSong_GB2312" w:eastAsia="FangSong_GB2312" w:cs="FangSong_GB2312"/>
          <w:spacing w:val="5"/>
          <w:sz w:val="31"/>
          <w:szCs w:val="31"/>
        </w:rPr>
        <w:t>鼓励有条件的村村之间、村镇（乡）之间、村城之间共享公共服</w:t>
      </w:r>
      <w:r>
        <w:rPr>
          <w:rFonts w:ascii="FangSong_GB2312" w:hAnsi="FangSong_GB2312" w:eastAsia="FangSong_GB2312" w:cs="FangSong_GB2312"/>
          <w:spacing w:val="-3"/>
          <w:sz w:val="31"/>
          <w:szCs w:val="31"/>
        </w:rPr>
        <w:t>务设施。鼓励充分利用现有存量建设用地空间，多功能复合设置。</w:t>
      </w:r>
    </w:p>
    <w:p>
      <w:pPr>
        <w:keepNext w:val="0"/>
        <w:keepLines w:val="0"/>
        <w:pageBreakBefore w:val="0"/>
        <w:widowControl w:val="0"/>
        <w:kinsoku/>
        <w:wordWrap/>
        <w:overflowPunct/>
        <w:topLinePunct w:val="0"/>
        <w:autoSpaceDE w:val="0"/>
        <w:autoSpaceDN w:val="0"/>
        <w:bidi w:val="0"/>
        <w:adjustRightInd/>
        <w:snapToGrid/>
        <w:spacing w:line="360" w:lineRule="auto"/>
        <w:ind w:left="4" w:firstLine="642"/>
        <w:jc w:val="both"/>
        <w:textAlignment w:val="auto"/>
        <w:rPr>
          <w:rFonts w:ascii="FangSong_GB2312" w:hAnsi="FangSong_GB2312" w:eastAsia="FangSong_GB2312" w:cs="FangSong_GB2312"/>
          <w:sz w:val="31"/>
          <w:szCs w:val="31"/>
        </w:rPr>
      </w:pPr>
      <w:r>
        <w:rPr>
          <w:rFonts w:ascii="FangSong_GB2312" w:hAnsi="FangSong_GB2312" w:eastAsia="FangSong_GB2312" w:cs="FangSong_GB2312"/>
          <w:sz w:val="31"/>
          <w:szCs w:val="31"/>
        </w:rPr>
        <w:t>构建功能复合、便捷可达、环境宜人的乡集镇公共活动中心，</w:t>
      </w:r>
      <w:r>
        <w:rPr>
          <w:rFonts w:ascii="FangSong_GB2312" w:hAnsi="FangSong_GB2312" w:eastAsia="FangSong_GB2312" w:cs="FangSong_GB2312"/>
          <w:spacing w:val="5"/>
          <w:sz w:val="31"/>
          <w:szCs w:val="31"/>
        </w:rPr>
        <w:t>文化、体育、医疗、教育等服务要素宜邻近生活性街道、交通节</w:t>
      </w:r>
      <w:r>
        <w:rPr>
          <w:rFonts w:ascii="FangSong_GB2312" w:hAnsi="FangSong_GB2312" w:eastAsia="FangSong_GB2312" w:cs="FangSong_GB2312"/>
          <w:spacing w:val="11"/>
          <w:sz w:val="31"/>
          <w:szCs w:val="31"/>
        </w:rPr>
        <w:t>点、公园水系等布局。引导村/组级公共服务要素适度集聚</w:t>
      </w:r>
      <w:r>
        <w:rPr>
          <w:rFonts w:ascii="FangSong_GB2312" w:hAnsi="FangSong_GB2312" w:eastAsia="FangSong_GB2312" w:cs="FangSong_GB2312"/>
          <w:spacing w:val="10"/>
          <w:sz w:val="31"/>
          <w:szCs w:val="31"/>
        </w:rPr>
        <w:t>，可</w:t>
      </w:r>
      <w:r>
        <w:rPr>
          <w:rFonts w:ascii="FangSong_GB2312" w:hAnsi="FangSong_GB2312" w:eastAsia="FangSong_GB2312" w:cs="FangSong_GB2312"/>
          <w:spacing w:val="3"/>
          <w:sz w:val="31"/>
          <w:szCs w:val="31"/>
        </w:rPr>
        <w:t>结合乡村生产生活及出行休闲习惯统筹布局，围绕现状公共空间、</w:t>
      </w:r>
      <w:r>
        <w:rPr>
          <w:rFonts w:ascii="FangSong_GB2312" w:hAnsi="FangSong_GB2312" w:eastAsia="FangSong_GB2312" w:cs="FangSong_GB2312"/>
          <w:spacing w:val="5"/>
          <w:sz w:val="31"/>
          <w:szCs w:val="31"/>
        </w:rPr>
        <w:t>公交站点、特色公建、古树名木等打造乡村公共活动中心，作为</w:t>
      </w:r>
      <w:r>
        <w:rPr>
          <w:rFonts w:ascii="FangSong_GB2312" w:hAnsi="FangSong_GB2312" w:eastAsia="FangSong_GB2312" w:cs="FangSong_GB2312"/>
          <w:spacing w:val="9"/>
          <w:sz w:val="31"/>
          <w:szCs w:val="31"/>
        </w:rPr>
        <w:t>居民日常活动、办事、交往的主要场所。</w:t>
      </w:r>
    </w:p>
    <w:p>
      <w:pPr>
        <w:keepNext w:val="0"/>
        <w:keepLines w:val="0"/>
        <w:pageBreakBefore w:val="0"/>
        <w:widowControl w:val="0"/>
        <w:kinsoku/>
        <w:wordWrap/>
        <w:overflowPunct/>
        <w:topLinePunct w:val="0"/>
        <w:autoSpaceDE w:val="0"/>
        <w:autoSpaceDN w:val="0"/>
        <w:bidi w:val="0"/>
        <w:adjustRightInd/>
        <w:snapToGrid/>
        <w:spacing w:line="360" w:lineRule="auto"/>
        <w:ind w:left="2540"/>
        <w:textAlignment w:val="auto"/>
        <w:rPr>
          <w:rFonts w:hint="eastAsia" w:ascii="仿宋" w:hAnsi="仿宋" w:eastAsia="仿宋" w:cs="仿宋"/>
          <w:b w:val="0"/>
          <w:bCs w:val="0"/>
          <w:sz w:val="28"/>
          <w:szCs w:val="28"/>
        </w:rPr>
      </w:pPr>
      <w:r>
        <w:rPr>
          <w:rFonts w:hint="eastAsia" w:ascii="仿宋" w:hAnsi="仿宋" w:eastAsia="仿宋" w:cs="仿宋"/>
          <w:b w:val="0"/>
          <w:bCs w:val="0"/>
          <w:spacing w:val="-8"/>
          <w:sz w:val="28"/>
          <w:szCs w:val="28"/>
        </w:rPr>
        <w:t>表</w:t>
      </w:r>
      <w:r>
        <w:rPr>
          <w:rFonts w:hint="eastAsia" w:ascii="仿宋" w:hAnsi="仿宋" w:eastAsia="仿宋" w:cs="仿宋"/>
          <w:b w:val="0"/>
          <w:bCs w:val="0"/>
          <w:spacing w:val="-39"/>
          <w:sz w:val="28"/>
          <w:szCs w:val="28"/>
          <w:lang w:val="en-US" w:eastAsia="zh-CN"/>
        </w:rPr>
        <w:t>:</w:t>
      </w:r>
      <w:r>
        <w:rPr>
          <w:rFonts w:hint="eastAsia" w:ascii="仿宋" w:hAnsi="仿宋" w:eastAsia="仿宋" w:cs="仿宋"/>
          <w:b w:val="0"/>
          <w:bCs w:val="0"/>
          <w:spacing w:val="-8"/>
          <w:sz w:val="28"/>
          <w:szCs w:val="28"/>
        </w:rPr>
        <w:t>乡村公共服务设施配置表</w:t>
      </w:r>
    </w:p>
    <w:p>
      <w:pPr>
        <w:spacing w:line="125" w:lineRule="exact"/>
      </w:pPr>
    </w:p>
    <w:tbl>
      <w:tblPr>
        <w:tblStyle w:val="34"/>
        <w:tblW w:w="8839"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417"/>
        <w:gridCol w:w="2408"/>
        <w:gridCol w:w="1621"/>
        <w:gridCol w:w="1622"/>
        <w:gridCol w:w="177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7" w:hRule="atLeast"/>
        </w:trPr>
        <w:tc>
          <w:tcPr>
            <w:tcW w:w="1417" w:type="dxa"/>
            <w:vMerge w:val="restart"/>
            <w:tcBorders>
              <w:bottom w:val="nil"/>
            </w:tcBorders>
            <w:shd w:val="clear" w:color="auto" w:fill="F1F1F1"/>
            <w:vAlign w:val="top"/>
          </w:tcPr>
          <w:p>
            <w:pPr>
              <w:spacing w:line="279" w:lineRule="auto"/>
              <w:rPr>
                <w:rFonts w:hint="eastAsia" w:ascii="仿宋" w:hAnsi="仿宋" w:eastAsia="仿宋" w:cs="仿宋"/>
                <w:sz w:val="28"/>
                <w:szCs w:val="28"/>
              </w:rPr>
            </w:pPr>
          </w:p>
          <w:p>
            <w:pPr>
              <w:pStyle w:val="65"/>
              <w:spacing w:before="78" w:line="213" w:lineRule="auto"/>
              <w:ind w:left="476"/>
              <w:rPr>
                <w:rFonts w:hint="eastAsia" w:ascii="仿宋" w:hAnsi="仿宋" w:eastAsia="仿宋" w:cs="仿宋"/>
                <w:sz w:val="28"/>
                <w:szCs w:val="28"/>
              </w:rPr>
            </w:pPr>
            <w:r>
              <w:rPr>
                <w:rFonts w:hint="eastAsia" w:ascii="仿宋" w:hAnsi="仿宋" w:eastAsia="仿宋" w:cs="仿宋"/>
                <w:b/>
                <w:bCs/>
                <w:spacing w:val="-9"/>
                <w:sz w:val="28"/>
                <w:szCs w:val="28"/>
              </w:rPr>
              <w:t>分类</w:t>
            </w:r>
          </w:p>
        </w:tc>
        <w:tc>
          <w:tcPr>
            <w:tcW w:w="2408" w:type="dxa"/>
            <w:vMerge w:val="restart"/>
            <w:tcBorders>
              <w:bottom w:val="nil"/>
            </w:tcBorders>
            <w:shd w:val="clear" w:color="auto" w:fill="F1F1F1"/>
            <w:vAlign w:val="top"/>
          </w:tcPr>
          <w:p>
            <w:pPr>
              <w:pStyle w:val="65"/>
              <w:spacing w:before="126" w:line="315" w:lineRule="auto"/>
              <w:ind w:left="727" w:right="480" w:hanging="206"/>
              <w:rPr>
                <w:rFonts w:hint="eastAsia" w:ascii="仿宋" w:hAnsi="仿宋" w:eastAsia="仿宋" w:cs="仿宋"/>
                <w:sz w:val="28"/>
                <w:szCs w:val="28"/>
              </w:rPr>
            </w:pPr>
            <w:r>
              <w:rPr>
                <w:rFonts w:hint="eastAsia" w:ascii="仿宋" w:hAnsi="仿宋" w:eastAsia="仿宋" w:cs="仿宋"/>
                <w:b/>
                <w:bCs/>
                <w:spacing w:val="-9"/>
                <w:sz w:val="28"/>
                <w:szCs w:val="28"/>
              </w:rPr>
              <w:t>乡村公共服务</w:t>
            </w:r>
            <w:r>
              <w:rPr>
                <w:rFonts w:hint="eastAsia" w:ascii="仿宋" w:hAnsi="仿宋" w:eastAsia="仿宋" w:cs="仿宋"/>
                <w:b/>
                <w:bCs/>
                <w:spacing w:val="-5"/>
                <w:sz w:val="28"/>
                <w:szCs w:val="28"/>
              </w:rPr>
              <w:t>设施名称</w:t>
            </w:r>
          </w:p>
        </w:tc>
        <w:tc>
          <w:tcPr>
            <w:tcW w:w="3243" w:type="dxa"/>
            <w:gridSpan w:val="2"/>
            <w:shd w:val="clear" w:color="auto" w:fill="F1F1F1"/>
            <w:vAlign w:val="top"/>
          </w:tcPr>
          <w:p>
            <w:pPr>
              <w:pStyle w:val="65"/>
              <w:spacing w:before="121" w:line="218" w:lineRule="auto"/>
              <w:ind w:left="1041"/>
              <w:rPr>
                <w:rFonts w:hint="eastAsia" w:ascii="仿宋" w:hAnsi="仿宋" w:eastAsia="仿宋" w:cs="仿宋"/>
                <w:sz w:val="28"/>
                <w:szCs w:val="28"/>
              </w:rPr>
            </w:pPr>
            <w:r>
              <w:rPr>
                <w:rFonts w:hint="eastAsia" w:ascii="仿宋" w:hAnsi="仿宋" w:eastAsia="仿宋" w:cs="仿宋"/>
                <w:b/>
                <w:bCs/>
                <w:spacing w:val="-7"/>
                <w:sz w:val="28"/>
                <w:szCs w:val="28"/>
              </w:rPr>
              <w:t>生活圈层级</w:t>
            </w:r>
          </w:p>
        </w:tc>
        <w:tc>
          <w:tcPr>
            <w:tcW w:w="1771" w:type="dxa"/>
            <w:vMerge w:val="restart"/>
            <w:tcBorders>
              <w:bottom w:val="nil"/>
            </w:tcBorders>
            <w:shd w:val="clear" w:color="auto" w:fill="F1F1F1"/>
            <w:vAlign w:val="top"/>
          </w:tcPr>
          <w:p>
            <w:pPr>
              <w:spacing w:line="279" w:lineRule="auto"/>
              <w:rPr>
                <w:rFonts w:hint="eastAsia" w:ascii="仿宋" w:hAnsi="仿宋" w:eastAsia="仿宋" w:cs="仿宋"/>
                <w:sz w:val="28"/>
                <w:szCs w:val="28"/>
              </w:rPr>
            </w:pPr>
          </w:p>
          <w:p>
            <w:pPr>
              <w:pStyle w:val="65"/>
              <w:spacing w:before="78" w:line="216" w:lineRule="auto"/>
              <w:ind w:left="419"/>
              <w:rPr>
                <w:rFonts w:hint="eastAsia" w:ascii="仿宋" w:hAnsi="仿宋" w:eastAsia="仿宋" w:cs="仿宋"/>
                <w:sz w:val="28"/>
                <w:szCs w:val="28"/>
              </w:rPr>
            </w:pPr>
            <w:r>
              <w:rPr>
                <w:rFonts w:hint="eastAsia" w:ascii="仿宋" w:hAnsi="仿宋" w:eastAsia="仿宋" w:cs="仿宋"/>
                <w:b/>
                <w:bCs/>
                <w:spacing w:val="-7"/>
                <w:sz w:val="28"/>
                <w:szCs w:val="28"/>
              </w:rPr>
              <w:t>配置要求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continue"/>
            <w:tcBorders>
              <w:top w:val="nil"/>
            </w:tcBorders>
            <w:vAlign w:val="top"/>
          </w:tcPr>
          <w:p>
            <w:pPr>
              <w:rPr>
                <w:rFonts w:hint="eastAsia" w:ascii="仿宋" w:hAnsi="仿宋" w:eastAsia="仿宋" w:cs="仿宋"/>
                <w:sz w:val="28"/>
                <w:szCs w:val="28"/>
              </w:rPr>
            </w:pPr>
          </w:p>
        </w:tc>
        <w:tc>
          <w:tcPr>
            <w:tcW w:w="2408" w:type="dxa"/>
            <w:vMerge w:val="continue"/>
            <w:tcBorders>
              <w:top w:val="nil"/>
            </w:tcBorders>
            <w:vAlign w:val="top"/>
          </w:tcPr>
          <w:p>
            <w:pPr>
              <w:rPr>
                <w:rFonts w:hint="eastAsia" w:ascii="仿宋" w:hAnsi="仿宋" w:eastAsia="仿宋" w:cs="仿宋"/>
                <w:sz w:val="28"/>
                <w:szCs w:val="28"/>
              </w:rPr>
            </w:pPr>
          </w:p>
        </w:tc>
        <w:tc>
          <w:tcPr>
            <w:tcW w:w="1621" w:type="dxa"/>
            <w:shd w:val="clear" w:color="auto" w:fill="F1F1F1"/>
            <w:vAlign w:val="top"/>
          </w:tcPr>
          <w:p>
            <w:pPr>
              <w:pStyle w:val="65"/>
              <w:spacing w:before="116" w:line="214" w:lineRule="auto"/>
              <w:ind w:left="489"/>
              <w:rPr>
                <w:rFonts w:hint="eastAsia" w:ascii="仿宋" w:hAnsi="仿宋" w:eastAsia="仿宋" w:cs="仿宋"/>
                <w:sz w:val="28"/>
                <w:szCs w:val="28"/>
              </w:rPr>
            </w:pPr>
            <w:r>
              <w:rPr>
                <w:rFonts w:hint="eastAsia" w:ascii="仿宋" w:hAnsi="仿宋" w:eastAsia="仿宋" w:cs="仿宋"/>
                <w:b/>
                <w:bCs/>
                <w:spacing w:val="-17"/>
                <w:sz w:val="28"/>
                <w:szCs w:val="28"/>
              </w:rPr>
              <w:t>乡集镇</w:t>
            </w:r>
          </w:p>
        </w:tc>
        <w:tc>
          <w:tcPr>
            <w:tcW w:w="1622" w:type="dxa"/>
            <w:shd w:val="clear" w:color="auto" w:fill="F1F1F1"/>
            <w:vAlign w:val="top"/>
          </w:tcPr>
          <w:p>
            <w:pPr>
              <w:pStyle w:val="65"/>
              <w:spacing w:before="116" w:line="214" w:lineRule="auto"/>
              <w:ind w:left="516"/>
              <w:rPr>
                <w:rFonts w:hint="eastAsia" w:ascii="仿宋" w:hAnsi="仿宋" w:eastAsia="仿宋" w:cs="仿宋"/>
                <w:sz w:val="28"/>
                <w:szCs w:val="28"/>
              </w:rPr>
            </w:pPr>
            <w:r>
              <w:rPr>
                <w:rFonts w:hint="eastAsia" w:ascii="仿宋" w:hAnsi="仿宋" w:eastAsia="仿宋" w:cs="仿宋"/>
                <w:b/>
                <w:bCs/>
                <w:spacing w:val="-5"/>
                <w:sz w:val="28"/>
                <w:szCs w:val="28"/>
              </w:rPr>
              <w:t>村/组</w:t>
            </w:r>
          </w:p>
        </w:tc>
        <w:tc>
          <w:tcPr>
            <w:tcW w:w="1771" w:type="dxa"/>
            <w:vMerge w:val="continue"/>
            <w:tcBorders>
              <w:top w:val="nil"/>
            </w:tcBorders>
            <w:vAlign w:val="top"/>
          </w:tcPr>
          <w:p>
            <w:pPr>
              <w:rPr>
                <w:rFonts w:hint="eastAsia" w:ascii="仿宋" w:hAnsi="仿宋" w:eastAsia="仿宋" w:cs="仿宋"/>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restart"/>
            <w:tcBorders>
              <w:bottom w:val="nil"/>
            </w:tcBorders>
            <w:vAlign w:val="top"/>
          </w:tcPr>
          <w:p>
            <w:pPr>
              <w:spacing w:line="256" w:lineRule="auto"/>
              <w:rPr>
                <w:rFonts w:hint="eastAsia" w:ascii="仿宋" w:hAnsi="仿宋" w:eastAsia="仿宋" w:cs="仿宋"/>
                <w:sz w:val="28"/>
                <w:szCs w:val="28"/>
              </w:rPr>
            </w:pPr>
          </w:p>
          <w:p>
            <w:pPr>
              <w:spacing w:line="256" w:lineRule="auto"/>
              <w:rPr>
                <w:rFonts w:hint="eastAsia" w:ascii="仿宋" w:hAnsi="仿宋" w:eastAsia="仿宋" w:cs="仿宋"/>
                <w:sz w:val="28"/>
                <w:szCs w:val="28"/>
              </w:rPr>
            </w:pPr>
          </w:p>
          <w:p>
            <w:pPr>
              <w:pStyle w:val="65"/>
              <w:spacing w:before="78" w:line="214" w:lineRule="auto"/>
              <w:ind w:left="230"/>
              <w:rPr>
                <w:rFonts w:hint="eastAsia" w:ascii="仿宋" w:hAnsi="仿宋" w:eastAsia="仿宋" w:cs="仿宋"/>
                <w:sz w:val="28"/>
                <w:szCs w:val="28"/>
              </w:rPr>
            </w:pPr>
            <w:r>
              <w:rPr>
                <w:rFonts w:hint="eastAsia" w:ascii="仿宋" w:hAnsi="仿宋" w:eastAsia="仿宋" w:cs="仿宋"/>
                <w:spacing w:val="-2"/>
                <w:sz w:val="28"/>
                <w:szCs w:val="28"/>
              </w:rPr>
              <w:t>健康管理</w:t>
            </w:r>
          </w:p>
        </w:tc>
        <w:tc>
          <w:tcPr>
            <w:tcW w:w="2408" w:type="dxa"/>
            <w:vAlign w:val="top"/>
          </w:tcPr>
          <w:p>
            <w:pPr>
              <w:pStyle w:val="65"/>
              <w:spacing w:before="116" w:line="214" w:lineRule="auto"/>
              <w:ind w:left="643"/>
              <w:rPr>
                <w:rFonts w:hint="eastAsia" w:ascii="仿宋" w:hAnsi="仿宋" w:eastAsia="仿宋" w:cs="仿宋"/>
                <w:sz w:val="28"/>
                <w:szCs w:val="28"/>
              </w:rPr>
            </w:pPr>
            <w:r>
              <w:rPr>
                <w:rFonts w:hint="eastAsia" w:ascii="仿宋" w:hAnsi="仿宋" w:eastAsia="仿宋" w:cs="仿宋"/>
                <w:spacing w:val="-9"/>
                <w:sz w:val="28"/>
                <w:szCs w:val="28"/>
              </w:rPr>
              <w:t>乡镇卫生院</w:t>
            </w:r>
          </w:p>
        </w:tc>
        <w:tc>
          <w:tcPr>
            <w:tcW w:w="1621" w:type="dxa"/>
            <w:vAlign w:val="top"/>
          </w:tcPr>
          <w:p>
            <w:pPr>
              <w:spacing w:before="99" w:line="266" w:lineRule="exact"/>
              <w:ind w:left="720"/>
              <w:rPr>
                <w:rFonts w:hint="eastAsia" w:ascii="仿宋" w:hAnsi="仿宋" w:eastAsia="仿宋" w:cs="仿宋"/>
                <w:sz w:val="28"/>
                <w:szCs w:val="28"/>
              </w:rPr>
            </w:pPr>
            <w:r>
              <w:rPr>
                <w:rFonts w:hint="eastAsia" w:ascii="仿宋" w:hAnsi="仿宋" w:eastAsia="仿宋" w:cs="仿宋"/>
                <w:position w:val="-5"/>
                <w:sz w:val="28"/>
                <w:szCs w:val="28"/>
              </w:rPr>
              <w:drawing>
                <wp:inline distT="0" distB="0" distL="0" distR="0">
                  <wp:extent cx="122555" cy="168275"/>
                  <wp:effectExtent l="0" t="0" r="10795" b="2540"/>
                  <wp:docPr id="2" name="IM 2"/>
                  <wp:cNvGraphicFramePr/>
                  <a:graphic xmlns:a="http://schemas.openxmlformats.org/drawingml/2006/main">
                    <a:graphicData uri="http://schemas.openxmlformats.org/drawingml/2006/picture">
                      <pic:pic xmlns:pic="http://schemas.openxmlformats.org/drawingml/2006/picture">
                        <pic:nvPicPr>
                          <pic:cNvPr id="2" name="IM 2"/>
                          <pic:cNvPicPr/>
                        </pic:nvPicPr>
                        <pic:blipFill>
                          <a:blip r:embed="rId13"/>
                          <a:stretch>
                            <a:fillRect/>
                          </a:stretch>
                        </pic:blipFill>
                        <pic:spPr>
                          <a:xfrm>
                            <a:off x="0" y="0"/>
                            <a:ext cx="122986" cy="168859"/>
                          </a:xfrm>
                          <a:prstGeom prst="rect">
                            <a:avLst/>
                          </a:prstGeom>
                        </pic:spPr>
                      </pic:pic>
                    </a:graphicData>
                  </a:graphic>
                </wp:inline>
              </w:drawing>
            </w:r>
          </w:p>
        </w:tc>
        <w:tc>
          <w:tcPr>
            <w:tcW w:w="1622" w:type="dxa"/>
            <w:vAlign w:val="top"/>
          </w:tcPr>
          <w:p>
            <w:pPr>
              <w:pStyle w:val="65"/>
              <w:spacing w:before="228" w:line="163" w:lineRule="exact"/>
              <w:ind w:left="590"/>
              <w:rPr>
                <w:rFonts w:hint="eastAsia" w:ascii="仿宋" w:hAnsi="仿宋" w:eastAsia="仿宋" w:cs="仿宋"/>
                <w:sz w:val="28"/>
                <w:szCs w:val="28"/>
              </w:rPr>
            </w:pPr>
            <w:r>
              <w:rPr>
                <w:rFonts w:hint="eastAsia" w:ascii="仿宋" w:hAnsi="仿宋" w:eastAsia="仿宋" w:cs="仿宋"/>
                <w:position w:val="-4"/>
                <w:sz w:val="28"/>
                <w:szCs w:val="28"/>
              </w:rPr>
              <w:t>——</w:t>
            </w:r>
          </w:p>
        </w:tc>
        <w:tc>
          <w:tcPr>
            <w:tcW w:w="1771" w:type="dxa"/>
            <w:vAlign w:val="top"/>
          </w:tcPr>
          <w:p>
            <w:pPr>
              <w:pStyle w:val="65"/>
              <w:spacing w:before="117" w:line="219" w:lineRule="auto"/>
              <w:ind w:left="304"/>
              <w:rPr>
                <w:rFonts w:hint="eastAsia" w:ascii="仿宋" w:hAnsi="仿宋" w:eastAsia="仿宋" w:cs="仿宋"/>
                <w:sz w:val="28"/>
                <w:szCs w:val="28"/>
              </w:rPr>
            </w:pPr>
            <w:r>
              <w:rPr>
                <w:rFonts w:hint="eastAsia" w:ascii="仿宋" w:hAnsi="仿宋" w:eastAsia="仿宋" w:cs="仿宋"/>
                <w:spacing w:val="-5"/>
                <w:sz w:val="28"/>
                <w:szCs w:val="28"/>
              </w:rPr>
              <w:t>宜独立占地</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continue"/>
            <w:tcBorders>
              <w:top w:val="nil"/>
              <w:bottom w:val="nil"/>
            </w:tcBorders>
            <w:vAlign w:val="top"/>
          </w:tcPr>
          <w:p>
            <w:pPr>
              <w:rPr>
                <w:rFonts w:hint="eastAsia" w:ascii="仿宋" w:hAnsi="仿宋" w:eastAsia="仿宋" w:cs="仿宋"/>
                <w:sz w:val="28"/>
                <w:szCs w:val="28"/>
              </w:rPr>
            </w:pPr>
          </w:p>
        </w:tc>
        <w:tc>
          <w:tcPr>
            <w:tcW w:w="2408" w:type="dxa"/>
            <w:vAlign w:val="top"/>
          </w:tcPr>
          <w:p>
            <w:pPr>
              <w:pStyle w:val="65"/>
              <w:spacing w:before="115" w:line="214" w:lineRule="auto"/>
              <w:ind w:left="616"/>
              <w:rPr>
                <w:rFonts w:hint="eastAsia" w:ascii="仿宋" w:hAnsi="仿宋" w:eastAsia="仿宋" w:cs="仿宋"/>
                <w:sz w:val="28"/>
                <w:szCs w:val="28"/>
              </w:rPr>
            </w:pPr>
            <w:r>
              <w:rPr>
                <w:rFonts w:hint="eastAsia" w:ascii="仿宋" w:hAnsi="仿宋" w:eastAsia="仿宋" w:cs="仿宋"/>
                <w:spacing w:val="-4"/>
                <w:sz w:val="28"/>
                <w:szCs w:val="28"/>
              </w:rPr>
              <w:t>卫生服务站</w:t>
            </w:r>
          </w:p>
        </w:tc>
        <w:tc>
          <w:tcPr>
            <w:tcW w:w="1621" w:type="dxa"/>
            <w:vAlign w:val="top"/>
          </w:tcPr>
          <w:p>
            <w:pPr>
              <w:spacing w:before="107" w:line="207" w:lineRule="auto"/>
              <w:ind w:left="720"/>
              <w:rPr>
                <w:rFonts w:hint="eastAsia" w:ascii="仿宋" w:hAnsi="仿宋" w:eastAsia="仿宋" w:cs="仿宋"/>
                <w:sz w:val="28"/>
                <w:szCs w:val="28"/>
              </w:rPr>
            </w:pPr>
            <w:r>
              <w:rPr>
                <w:rFonts w:hint="eastAsia" w:ascii="仿宋" w:hAnsi="仿宋" w:eastAsia="仿宋" w:cs="仿宋"/>
                <w:spacing w:val="37"/>
                <w:sz w:val="28"/>
                <w:szCs w:val="28"/>
              </w:rPr>
              <w:t>●</w:t>
            </w:r>
          </w:p>
        </w:tc>
        <w:tc>
          <w:tcPr>
            <w:tcW w:w="1622" w:type="dxa"/>
            <w:vAlign w:val="top"/>
          </w:tcPr>
          <w:p>
            <w:pPr>
              <w:pStyle w:val="65"/>
              <w:spacing w:before="228" w:line="163" w:lineRule="exact"/>
              <w:ind w:left="590"/>
              <w:rPr>
                <w:rFonts w:hint="eastAsia" w:ascii="仿宋" w:hAnsi="仿宋" w:eastAsia="仿宋" w:cs="仿宋"/>
                <w:sz w:val="28"/>
                <w:szCs w:val="28"/>
              </w:rPr>
            </w:pPr>
            <w:r>
              <w:rPr>
                <w:rFonts w:hint="eastAsia" w:ascii="仿宋" w:hAnsi="仿宋" w:eastAsia="仿宋" w:cs="仿宋"/>
                <w:position w:val="-4"/>
                <w:sz w:val="28"/>
                <w:szCs w:val="28"/>
              </w:rPr>
              <w:t>——</w:t>
            </w:r>
          </w:p>
        </w:tc>
        <w:tc>
          <w:tcPr>
            <w:tcW w:w="1771" w:type="dxa"/>
            <w:vAlign w:val="top"/>
          </w:tcPr>
          <w:p>
            <w:pPr>
              <w:pStyle w:val="65"/>
              <w:spacing w:before="116" w:line="217" w:lineRule="auto"/>
              <w:ind w:left="304"/>
              <w:rPr>
                <w:rFonts w:hint="eastAsia" w:ascii="仿宋" w:hAnsi="仿宋" w:eastAsia="仿宋" w:cs="仿宋"/>
                <w:sz w:val="28"/>
                <w:szCs w:val="28"/>
              </w:rPr>
            </w:pPr>
            <w:r>
              <w:rPr>
                <w:rFonts w:hint="eastAsia" w:ascii="仿宋" w:hAnsi="仿宋" w:eastAsia="仿宋" w:cs="仿宋"/>
                <w:spacing w:val="-5"/>
                <w:sz w:val="28"/>
                <w:szCs w:val="28"/>
              </w:rPr>
              <w:t>宜综合设置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continue"/>
            <w:tcBorders>
              <w:top w:val="nil"/>
            </w:tcBorders>
            <w:vAlign w:val="top"/>
          </w:tcPr>
          <w:p>
            <w:pPr>
              <w:rPr>
                <w:rFonts w:hint="eastAsia" w:ascii="仿宋" w:hAnsi="仿宋" w:eastAsia="仿宋" w:cs="仿宋"/>
                <w:sz w:val="28"/>
                <w:szCs w:val="28"/>
              </w:rPr>
            </w:pPr>
          </w:p>
        </w:tc>
        <w:tc>
          <w:tcPr>
            <w:tcW w:w="2408" w:type="dxa"/>
            <w:vAlign w:val="top"/>
          </w:tcPr>
          <w:p>
            <w:pPr>
              <w:pStyle w:val="65"/>
              <w:spacing w:before="115" w:line="214" w:lineRule="auto"/>
              <w:ind w:left="729"/>
              <w:rPr>
                <w:rFonts w:hint="eastAsia" w:ascii="仿宋" w:hAnsi="仿宋" w:eastAsia="仿宋" w:cs="仿宋"/>
                <w:sz w:val="28"/>
                <w:szCs w:val="28"/>
              </w:rPr>
            </w:pPr>
            <w:r>
              <w:rPr>
                <w:rFonts w:hint="eastAsia" w:ascii="仿宋" w:hAnsi="仿宋" w:eastAsia="仿宋" w:cs="仿宋"/>
                <w:spacing w:val="-3"/>
                <w:sz w:val="28"/>
                <w:szCs w:val="28"/>
              </w:rPr>
              <w:t>村卫生室</w:t>
            </w:r>
          </w:p>
        </w:tc>
        <w:tc>
          <w:tcPr>
            <w:tcW w:w="1621" w:type="dxa"/>
            <w:vAlign w:val="top"/>
          </w:tcPr>
          <w:p>
            <w:pPr>
              <w:pStyle w:val="65"/>
              <w:spacing w:before="228" w:line="162" w:lineRule="exact"/>
              <w:ind w:left="589"/>
              <w:rPr>
                <w:rFonts w:hint="eastAsia" w:ascii="仿宋" w:hAnsi="仿宋" w:eastAsia="仿宋" w:cs="仿宋"/>
                <w:sz w:val="28"/>
                <w:szCs w:val="28"/>
              </w:rPr>
            </w:pPr>
            <w:r>
              <w:rPr>
                <w:rFonts w:hint="eastAsia" w:ascii="仿宋" w:hAnsi="仿宋" w:eastAsia="仿宋" w:cs="仿宋"/>
                <w:position w:val="-4"/>
                <w:sz w:val="28"/>
                <w:szCs w:val="28"/>
              </w:rPr>
              <w:t>——</w:t>
            </w:r>
          </w:p>
        </w:tc>
        <w:tc>
          <w:tcPr>
            <w:tcW w:w="1622" w:type="dxa"/>
            <w:vAlign w:val="top"/>
          </w:tcPr>
          <w:p>
            <w:pPr>
              <w:spacing w:before="106" w:line="208" w:lineRule="auto"/>
              <w:ind w:left="724"/>
              <w:rPr>
                <w:rFonts w:hint="eastAsia" w:ascii="仿宋" w:hAnsi="仿宋" w:eastAsia="仿宋" w:cs="仿宋"/>
                <w:sz w:val="28"/>
                <w:szCs w:val="28"/>
              </w:rPr>
            </w:pPr>
            <w:r>
              <w:rPr>
                <w:rFonts w:hint="eastAsia" w:ascii="仿宋" w:hAnsi="仿宋" w:eastAsia="仿宋" w:cs="仿宋"/>
                <w:spacing w:val="37"/>
                <w:sz w:val="28"/>
                <w:szCs w:val="28"/>
              </w:rPr>
              <w:t>●</w:t>
            </w:r>
          </w:p>
        </w:tc>
        <w:tc>
          <w:tcPr>
            <w:tcW w:w="1771" w:type="dxa"/>
            <w:vAlign w:val="top"/>
          </w:tcPr>
          <w:p>
            <w:pPr>
              <w:pStyle w:val="65"/>
              <w:spacing w:before="116" w:line="217" w:lineRule="auto"/>
              <w:ind w:left="304"/>
              <w:rPr>
                <w:rFonts w:hint="eastAsia" w:ascii="仿宋" w:hAnsi="仿宋" w:eastAsia="仿宋" w:cs="仿宋"/>
                <w:sz w:val="28"/>
                <w:szCs w:val="28"/>
              </w:rPr>
            </w:pPr>
            <w:r>
              <w:rPr>
                <w:rFonts w:hint="eastAsia" w:ascii="仿宋" w:hAnsi="仿宋" w:eastAsia="仿宋" w:cs="仿宋"/>
                <w:spacing w:val="-5"/>
                <w:sz w:val="28"/>
                <w:szCs w:val="28"/>
              </w:rPr>
              <w:t>宜综合设置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1417" w:type="dxa"/>
            <w:vMerge w:val="restart"/>
            <w:tcBorders>
              <w:bottom w:val="nil"/>
            </w:tcBorders>
            <w:vAlign w:val="top"/>
          </w:tcPr>
          <w:p>
            <w:pPr>
              <w:spacing w:line="249" w:lineRule="auto"/>
              <w:rPr>
                <w:rFonts w:hint="eastAsia" w:ascii="仿宋" w:hAnsi="仿宋" w:eastAsia="仿宋" w:cs="仿宋"/>
                <w:sz w:val="28"/>
                <w:szCs w:val="28"/>
              </w:rPr>
            </w:pPr>
          </w:p>
          <w:p>
            <w:pPr>
              <w:spacing w:line="250" w:lineRule="auto"/>
              <w:rPr>
                <w:rFonts w:hint="eastAsia" w:ascii="仿宋" w:hAnsi="仿宋" w:eastAsia="仿宋" w:cs="仿宋"/>
                <w:sz w:val="28"/>
                <w:szCs w:val="28"/>
              </w:rPr>
            </w:pPr>
          </w:p>
          <w:p>
            <w:pPr>
              <w:spacing w:line="250" w:lineRule="auto"/>
              <w:rPr>
                <w:rFonts w:hint="eastAsia" w:ascii="仿宋" w:hAnsi="仿宋" w:eastAsia="仿宋" w:cs="仿宋"/>
                <w:sz w:val="28"/>
                <w:szCs w:val="28"/>
              </w:rPr>
            </w:pPr>
          </w:p>
          <w:p>
            <w:pPr>
              <w:pStyle w:val="65"/>
              <w:spacing w:before="78" w:line="214" w:lineRule="auto"/>
              <w:ind w:left="241"/>
              <w:rPr>
                <w:rFonts w:hint="eastAsia" w:ascii="仿宋" w:hAnsi="仿宋" w:eastAsia="仿宋" w:cs="仿宋"/>
                <w:sz w:val="28"/>
                <w:szCs w:val="28"/>
              </w:rPr>
            </w:pPr>
            <w:r>
              <w:rPr>
                <w:rFonts w:hint="eastAsia" w:ascii="仿宋" w:hAnsi="仿宋" w:eastAsia="仿宋" w:cs="仿宋"/>
                <w:spacing w:val="-5"/>
                <w:sz w:val="28"/>
                <w:szCs w:val="28"/>
              </w:rPr>
              <w:t>为老服务</w:t>
            </w:r>
          </w:p>
        </w:tc>
        <w:tc>
          <w:tcPr>
            <w:tcW w:w="2408" w:type="dxa"/>
            <w:vAlign w:val="top"/>
          </w:tcPr>
          <w:p>
            <w:pPr>
              <w:pStyle w:val="65"/>
              <w:spacing w:before="115" w:line="214" w:lineRule="auto"/>
              <w:ind w:left="851"/>
              <w:rPr>
                <w:rFonts w:hint="eastAsia" w:ascii="仿宋" w:hAnsi="仿宋" w:eastAsia="仿宋" w:cs="仿宋"/>
                <w:sz w:val="28"/>
                <w:szCs w:val="28"/>
              </w:rPr>
            </w:pPr>
            <w:r>
              <w:rPr>
                <w:rFonts w:hint="eastAsia" w:ascii="仿宋" w:hAnsi="仿宋" w:eastAsia="仿宋" w:cs="仿宋"/>
                <w:spacing w:val="-4"/>
                <w:sz w:val="28"/>
                <w:szCs w:val="28"/>
              </w:rPr>
              <w:t>养老院</w:t>
            </w:r>
          </w:p>
        </w:tc>
        <w:tc>
          <w:tcPr>
            <w:tcW w:w="1621" w:type="dxa"/>
            <w:vAlign w:val="top"/>
          </w:tcPr>
          <w:p>
            <w:pPr>
              <w:spacing w:before="100" w:line="266" w:lineRule="exact"/>
              <w:ind w:left="720"/>
              <w:rPr>
                <w:rFonts w:hint="eastAsia" w:ascii="仿宋" w:hAnsi="仿宋" w:eastAsia="仿宋" w:cs="仿宋"/>
                <w:sz w:val="28"/>
                <w:szCs w:val="28"/>
              </w:rPr>
            </w:pPr>
            <w:r>
              <w:rPr>
                <w:rFonts w:hint="eastAsia" w:ascii="仿宋" w:hAnsi="仿宋" w:eastAsia="仿宋" w:cs="仿宋"/>
                <w:position w:val="-5"/>
                <w:sz w:val="28"/>
                <w:szCs w:val="28"/>
              </w:rPr>
              <w:drawing>
                <wp:inline distT="0" distB="0" distL="0" distR="0">
                  <wp:extent cx="122555" cy="168275"/>
                  <wp:effectExtent l="0" t="0" r="10795" b="2540"/>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13"/>
                          <a:stretch>
                            <a:fillRect/>
                          </a:stretch>
                        </pic:blipFill>
                        <pic:spPr>
                          <a:xfrm>
                            <a:off x="0" y="0"/>
                            <a:ext cx="122986" cy="168859"/>
                          </a:xfrm>
                          <a:prstGeom prst="rect">
                            <a:avLst/>
                          </a:prstGeom>
                        </pic:spPr>
                      </pic:pic>
                    </a:graphicData>
                  </a:graphic>
                </wp:inline>
              </w:drawing>
            </w:r>
          </w:p>
        </w:tc>
        <w:tc>
          <w:tcPr>
            <w:tcW w:w="1622" w:type="dxa"/>
            <w:vAlign w:val="top"/>
          </w:tcPr>
          <w:p>
            <w:pPr>
              <w:pStyle w:val="65"/>
              <w:spacing w:before="227" w:line="163" w:lineRule="exact"/>
              <w:ind w:left="590"/>
              <w:rPr>
                <w:rFonts w:hint="eastAsia" w:ascii="仿宋" w:hAnsi="仿宋" w:eastAsia="仿宋" w:cs="仿宋"/>
                <w:sz w:val="28"/>
                <w:szCs w:val="28"/>
              </w:rPr>
            </w:pPr>
            <w:r>
              <w:rPr>
                <w:rFonts w:hint="eastAsia" w:ascii="仿宋" w:hAnsi="仿宋" w:eastAsia="仿宋" w:cs="仿宋"/>
                <w:position w:val="-4"/>
                <w:sz w:val="28"/>
                <w:szCs w:val="28"/>
              </w:rPr>
              <w:t>——</w:t>
            </w:r>
          </w:p>
        </w:tc>
        <w:tc>
          <w:tcPr>
            <w:tcW w:w="1771" w:type="dxa"/>
            <w:vAlign w:val="top"/>
          </w:tcPr>
          <w:p>
            <w:pPr>
              <w:pStyle w:val="65"/>
              <w:spacing w:before="116" w:line="219" w:lineRule="auto"/>
              <w:ind w:left="304"/>
              <w:rPr>
                <w:rFonts w:hint="eastAsia" w:ascii="仿宋" w:hAnsi="仿宋" w:eastAsia="仿宋" w:cs="仿宋"/>
                <w:sz w:val="28"/>
                <w:szCs w:val="28"/>
              </w:rPr>
            </w:pPr>
            <w:r>
              <w:rPr>
                <w:rFonts w:hint="eastAsia" w:ascii="仿宋" w:hAnsi="仿宋" w:eastAsia="仿宋" w:cs="仿宋"/>
                <w:spacing w:val="-5"/>
                <w:sz w:val="28"/>
                <w:szCs w:val="28"/>
              </w:rPr>
              <w:t>宜独立占地</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continue"/>
            <w:tcBorders>
              <w:top w:val="nil"/>
              <w:bottom w:val="nil"/>
            </w:tcBorders>
            <w:vAlign w:val="top"/>
          </w:tcPr>
          <w:p>
            <w:pPr>
              <w:rPr>
                <w:rFonts w:hint="eastAsia" w:ascii="仿宋" w:hAnsi="仿宋" w:eastAsia="仿宋" w:cs="仿宋"/>
                <w:sz w:val="28"/>
                <w:szCs w:val="28"/>
              </w:rPr>
            </w:pPr>
          </w:p>
        </w:tc>
        <w:tc>
          <w:tcPr>
            <w:tcW w:w="2408" w:type="dxa"/>
            <w:vAlign w:val="top"/>
          </w:tcPr>
          <w:p>
            <w:pPr>
              <w:pStyle w:val="65"/>
              <w:spacing w:before="118" w:line="216" w:lineRule="auto"/>
              <w:ind w:left="609"/>
              <w:rPr>
                <w:rFonts w:hint="eastAsia" w:ascii="仿宋" w:hAnsi="仿宋" w:eastAsia="仿宋" w:cs="仿宋"/>
                <w:sz w:val="28"/>
                <w:szCs w:val="28"/>
              </w:rPr>
            </w:pPr>
            <w:r>
              <w:rPr>
                <w:rFonts w:hint="eastAsia" w:ascii="仿宋" w:hAnsi="仿宋" w:eastAsia="仿宋" w:cs="仿宋"/>
                <w:spacing w:val="-2"/>
                <w:sz w:val="28"/>
                <w:szCs w:val="28"/>
              </w:rPr>
              <w:t>老年活动室</w:t>
            </w:r>
          </w:p>
        </w:tc>
        <w:tc>
          <w:tcPr>
            <w:tcW w:w="1621" w:type="dxa"/>
            <w:vAlign w:val="top"/>
          </w:tcPr>
          <w:p>
            <w:pPr>
              <w:spacing w:before="107" w:line="207" w:lineRule="auto"/>
              <w:ind w:left="720"/>
              <w:rPr>
                <w:rFonts w:hint="eastAsia" w:ascii="仿宋" w:hAnsi="仿宋" w:eastAsia="仿宋" w:cs="仿宋"/>
                <w:sz w:val="28"/>
                <w:szCs w:val="28"/>
              </w:rPr>
            </w:pPr>
            <w:r>
              <w:rPr>
                <w:rFonts w:hint="eastAsia" w:ascii="仿宋" w:hAnsi="仿宋" w:eastAsia="仿宋" w:cs="仿宋"/>
                <w:spacing w:val="37"/>
                <w:sz w:val="28"/>
                <w:szCs w:val="28"/>
              </w:rPr>
              <w:t>●</w:t>
            </w:r>
          </w:p>
        </w:tc>
        <w:tc>
          <w:tcPr>
            <w:tcW w:w="1622" w:type="dxa"/>
            <w:vAlign w:val="top"/>
          </w:tcPr>
          <w:p>
            <w:pPr>
              <w:spacing w:before="107" w:line="207" w:lineRule="auto"/>
              <w:ind w:left="724"/>
              <w:rPr>
                <w:rFonts w:hint="eastAsia" w:ascii="仿宋" w:hAnsi="仿宋" w:eastAsia="仿宋" w:cs="仿宋"/>
                <w:sz w:val="28"/>
                <w:szCs w:val="28"/>
              </w:rPr>
            </w:pPr>
            <w:r>
              <w:rPr>
                <w:rFonts w:hint="eastAsia" w:ascii="仿宋" w:hAnsi="仿宋" w:eastAsia="仿宋" w:cs="仿宋"/>
                <w:spacing w:val="37"/>
                <w:sz w:val="28"/>
                <w:szCs w:val="28"/>
              </w:rPr>
              <w:t>●</w:t>
            </w:r>
          </w:p>
        </w:tc>
        <w:tc>
          <w:tcPr>
            <w:tcW w:w="1771" w:type="dxa"/>
            <w:vAlign w:val="top"/>
          </w:tcPr>
          <w:p>
            <w:pPr>
              <w:pStyle w:val="65"/>
              <w:spacing w:before="118" w:line="217" w:lineRule="auto"/>
              <w:ind w:left="304"/>
              <w:rPr>
                <w:rFonts w:hint="eastAsia" w:ascii="仿宋" w:hAnsi="仿宋" w:eastAsia="仿宋" w:cs="仿宋"/>
                <w:sz w:val="28"/>
                <w:szCs w:val="28"/>
              </w:rPr>
            </w:pPr>
            <w:r>
              <w:rPr>
                <w:rFonts w:hint="eastAsia" w:ascii="仿宋" w:hAnsi="仿宋" w:eastAsia="仿宋" w:cs="仿宋"/>
                <w:spacing w:val="-5"/>
                <w:sz w:val="28"/>
                <w:szCs w:val="28"/>
              </w:rPr>
              <w:t>宜综合设置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continue"/>
            <w:tcBorders>
              <w:top w:val="nil"/>
              <w:bottom w:val="nil"/>
            </w:tcBorders>
            <w:vAlign w:val="top"/>
          </w:tcPr>
          <w:p>
            <w:pPr>
              <w:rPr>
                <w:rFonts w:hint="eastAsia" w:ascii="仿宋" w:hAnsi="仿宋" w:eastAsia="仿宋" w:cs="仿宋"/>
                <w:sz w:val="28"/>
                <w:szCs w:val="28"/>
              </w:rPr>
            </w:pPr>
          </w:p>
        </w:tc>
        <w:tc>
          <w:tcPr>
            <w:tcW w:w="2408" w:type="dxa"/>
            <w:vAlign w:val="top"/>
          </w:tcPr>
          <w:p>
            <w:pPr>
              <w:pStyle w:val="65"/>
              <w:spacing w:before="117" w:line="214" w:lineRule="auto"/>
              <w:ind w:left="129"/>
              <w:rPr>
                <w:rFonts w:hint="eastAsia" w:ascii="仿宋" w:hAnsi="仿宋" w:eastAsia="仿宋" w:cs="仿宋"/>
                <w:sz w:val="28"/>
                <w:szCs w:val="28"/>
              </w:rPr>
            </w:pPr>
            <w:r>
              <w:rPr>
                <w:rFonts w:hint="eastAsia" w:ascii="仿宋" w:hAnsi="仿宋" w:eastAsia="仿宋" w:cs="仿宋"/>
                <w:spacing w:val="-2"/>
                <w:sz w:val="28"/>
                <w:szCs w:val="28"/>
              </w:rPr>
              <w:t>老年人日间照料中心</w:t>
            </w:r>
          </w:p>
        </w:tc>
        <w:tc>
          <w:tcPr>
            <w:tcW w:w="1621" w:type="dxa"/>
            <w:vAlign w:val="top"/>
          </w:tcPr>
          <w:p>
            <w:pPr>
              <w:spacing w:before="106" w:line="208" w:lineRule="auto"/>
              <w:ind w:left="720"/>
              <w:rPr>
                <w:rFonts w:hint="eastAsia" w:ascii="仿宋" w:hAnsi="仿宋" w:eastAsia="仿宋" w:cs="仿宋"/>
                <w:sz w:val="28"/>
                <w:szCs w:val="28"/>
              </w:rPr>
            </w:pPr>
            <w:r>
              <w:rPr>
                <w:rFonts w:hint="eastAsia" w:ascii="仿宋" w:hAnsi="仿宋" w:eastAsia="仿宋" w:cs="仿宋"/>
                <w:spacing w:val="37"/>
                <w:sz w:val="28"/>
                <w:szCs w:val="28"/>
              </w:rPr>
              <w:t>●</w:t>
            </w:r>
          </w:p>
        </w:tc>
        <w:tc>
          <w:tcPr>
            <w:tcW w:w="1622" w:type="dxa"/>
            <w:vAlign w:val="top"/>
          </w:tcPr>
          <w:p>
            <w:pPr>
              <w:spacing w:before="100" w:line="266" w:lineRule="exact"/>
              <w:ind w:left="724"/>
              <w:rPr>
                <w:rFonts w:hint="eastAsia" w:ascii="仿宋" w:hAnsi="仿宋" w:eastAsia="仿宋" w:cs="仿宋"/>
                <w:sz w:val="28"/>
                <w:szCs w:val="28"/>
              </w:rPr>
            </w:pPr>
            <w:r>
              <w:rPr>
                <w:rFonts w:hint="eastAsia" w:ascii="仿宋" w:hAnsi="仿宋" w:eastAsia="仿宋" w:cs="仿宋"/>
                <w:position w:val="-5"/>
                <w:sz w:val="28"/>
                <w:szCs w:val="28"/>
              </w:rPr>
              <w:drawing>
                <wp:inline distT="0" distB="0" distL="0" distR="0">
                  <wp:extent cx="122555" cy="168275"/>
                  <wp:effectExtent l="0" t="0" r="10795" b="2540"/>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14"/>
                          <a:stretch>
                            <a:fillRect/>
                          </a:stretch>
                        </pic:blipFill>
                        <pic:spPr>
                          <a:xfrm>
                            <a:off x="0" y="0"/>
                            <a:ext cx="122986" cy="168859"/>
                          </a:xfrm>
                          <a:prstGeom prst="rect">
                            <a:avLst/>
                          </a:prstGeom>
                        </pic:spPr>
                      </pic:pic>
                    </a:graphicData>
                  </a:graphic>
                </wp:inline>
              </w:drawing>
            </w:r>
          </w:p>
        </w:tc>
        <w:tc>
          <w:tcPr>
            <w:tcW w:w="1771" w:type="dxa"/>
            <w:vAlign w:val="top"/>
          </w:tcPr>
          <w:p>
            <w:pPr>
              <w:pStyle w:val="65"/>
              <w:spacing w:before="118" w:line="217" w:lineRule="auto"/>
              <w:ind w:left="304"/>
              <w:rPr>
                <w:rFonts w:hint="eastAsia" w:ascii="仿宋" w:hAnsi="仿宋" w:eastAsia="仿宋" w:cs="仿宋"/>
                <w:sz w:val="28"/>
                <w:szCs w:val="28"/>
              </w:rPr>
            </w:pPr>
            <w:r>
              <w:rPr>
                <w:rFonts w:hint="eastAsia" w:ascii="仿宋" w:hAnsi="仿宋" w:eastAsia="仿宋" w:cs="仿宋"/>
                <w:spacing w:val="-5"/>
                <w:sz w:val="28"/>
                <w:szCs w:val="28"/>
              </w:rPr>
              <w:t>宜综合设置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continue"/>
            <w:tcBorders>
              <w:top w:val="nil"/>
            </w:tcBorders>
            <w:vAlign w:val="top"/>
          </w:tcPr>
          <w:p>
            <w:pPr>
              <w:rPr>
                <w:rFonts w:hint="eastAsia" w:ascii="仿宋" w:hAnsi="仿宋" w:eastAsia="仿宋" w:cs="仿宋"/>
                <w:sz w:val="28"/>
                <w:szCs w:val="28"/>
              </w:rPr>
            </w:pPr>
          </w:p>
        </w:tc>
        <w:tc>
          <w:tcPr>
            <w:tcW w:w="2408" w:type="dxa"/>
            <w:vAlign w:val="top"/>
          </w:tcPr>
          <w:p>
            <w:pPr>
              <w:pStyle w:val="65"/>
              <w:spacing w:before="117" w:line="214" w:lineRule="auto"/>
              <w:ind w:left="609"/>
              <w:rPr>
                <w:rFonts w:hint="eastAsia" w:ascii="仿宋" w:hAnsi="仿宋" w:eastAsia="仿宋" w:cs="仿宋"/>
                <w:sz w:val="28"/>
                <w:szCs w:val="28"/>
              </w:rPr>
            </w:pPr>
            <w:r>
              <w:rPr>
                <w:rFonts w:hint="eastAsia" w:ascii="仿宋" w:hAnsi="仿宋" w:eastAsia="仿宋" w:cs="仿宋"/>
                <w:spacing w:val="-2"/>
                <w:sz w:val="28"/>
                <w:szCs w:val="28"/>
              </w:rPr>
              <w:t>村级幸福院</w:t>
            </w:r>
          </w:p>
        </w:tc>
        <w:tc>
          <w:tcPr>
            <w:tcW w:w="1621" w:type="dxa"/>
            <w:vAlign w:val="top"/>
          </w:tcPr>
          <w:p>
            <w:pPr>
              <w:pStyle w:val="65"/>
              <w:spacing w:before="229" w:line="163" w:lineRule="exact"/>
              <w:ind w:left="589"/>
              <w:rPr>
                <w:rFonts w:hint="eastAsia" w:ascii="仿宋" w:hAnsi="仿宋" w:eastAsia="仿宋" w:cs="仿宋"/>
                <w:sz w:val="28"/>
                <w:szCs w:val="28"/>
              </w:rPr>
            </w:pPr>
            <w:r>
              <w:rPr>
                <w:rFonts w:hint="eastAsia" w:ascii="仿宋" w:hAnsi="仿宋" w:eastAsia="仿宋" w:cs="仿宋"/>
                <w:position w:val="-4"/>
                <w:sz w:val="28"/>
                <w:szCs w:val="28"/>
              </w:rPr>
              <w:t>——</w:t>
            </w:r>
          </w:p>
        </w:tc>
        <w:tc>
          <w:tcPr>
            <w:tcW w:w="1622" w:type="dxa"/>
            <w:vAlign w:val="top"/>
          </w:tcPr>
          <w:p>
            <w:pPr>
              <w:spacing w:before="100" w:line="266" w:lineRule="exact"/>
              <w:ind w:left="724"/>
              <w:rPr>
                <w:rFonts w:hint="eastAsia" w:ascii="仿宋" w:hAnsi="仿宋" w:eastAsia="仿宋" w:cs="仿宋"/>
                <w:sz w:val="28"/>
                <w:szCs w:val="28"/>
              </w:rPr>
            </w:pPr>
            <w:r>
              <w:rPr>
                <w:rFonts w:hint="eastAsia" w:ascii="仿宋" w:hAnsi="仿宋" w:eastAsia="仿宋" w:cs="仿宋"/>
                <w:position w:val="-5"/>
                <w:sz w:val="28"/>
                <w:szCs w:val="28"/>
              </w:rPr>
              <w:drawing>
                <wp:inline distT="0" distB="0" distL="0" distR="0">
                  <wp:extent cx="122555" cy="168275"/>
                  <wp:effectExtent l="0" t="0" r="10795" b="2540"/>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15"/>
                          <a:stretch>
                            <a:fillRect/>
                          </a:stretch>
                        </pic:blipFill>
                        <pic:spPr>
                          <a:xfrm>
                            <a:off x="0" y="0"/>
                            <a:ext cx="122986" cy="168859"/>
                          </a:xfrm>
                          <a:prstGeom prst="rect">
                            <a:avLst/>
                          </a:prstGeom>
                        </pic:spPr>
                      </pic:pic>
                    </a:graphicData>
                  </a:graphic>
                </wp:inline>
              </w:drawing>
            </w:r>
          </w:p>
        </w:tc>
        <w:tc>
          <w:tcPr>
            <w:tcW w:w="1771" w:type="dxa"/>
            <w:vAlign w:val="top"/>
          </w:tcPr>
          <w:p>
            <w:pPr>
              <w:pStyle w:val="65"/>
              <w:spacing w:before="117" w:line="217" w:lineRule="auto"/>
              <w:ind w:left="297"/>
              <w:rPr>
                <w:rFonts w:hint="eastAsia" w:ascii="仿宋" w:hAnsi="仿宋" w:eastAsia="仿宋" w:cs="仿宋"/>
                <w:sz w:val="28"/>
                <w:szCs w:val="28"/>
              </w:rPr>
            </w:pPr>
            <w:r>
              <w:rPr>
                <w:rFonts w:hint="eastAsia" w:ascii="仿宋" w:hAnsi="仿宋" w:eastAsia="仿宋" w:cs="仿宋"/>
                <w:spacing w:val="-4"/>
                <w:sz w:val="28"/>
                <w:szCs w:val="28"/>
              </w:rPr>
              <w:t>应独立占地</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restart"/>
            <w:tcBorders>
              <w:bottom w:val="nil"/>
            </w:tcBorders>
            <w:vAlign w:val="top"/>
          </w:tcPr>
          <w:p>
            <w:pPr>
              <w:spacing w:line="250" w:lineRule="auto"/>
              <w:rPr>
                <w:rFonts w:hint="eastAsia" w:ascii="仿宋" w:hAnsi="仿宋" w:eastAsia="仿宋" w:cs="仿宋"/>
                <w:sz w:val="28"/>
                <w:szCs w:val="28"/>
              </w:rPr>
            </w:pPr>
          </w:p>
          <w:p>
            <w:pPr>
              <w:spacing w:line="250" w:lineRule="auto"/>
              <w:rPr>
                <w:rFonts w:hint="eastAsia" w:ascii="仿宋" w:hAnsi="仿宋" w:eastAsia="仿宋" w:cs="仿宋"/>
                <w:sz w:val="28"/>
                <w:szCs w:val="28"/>
              </w:rPr>
            </w:pPr>
          </w:p>
          <w:p>
            <w:pPr>
              <w:spacing w:line="251" w:lineRule="auto"/>
              <w:rPr>
                <w:rFonts w:hint="eastAsia" w:ascii="仿宋" w:hAnsi="仿宋" w:eastAsia="仿宋" w:cs="仿宋"/>
                <w:sz w:val="28"/>
                <w:szCs w:val="28"/>
              </w:rPr>
            </w:pPr>
          </w:p>
          <w:p>
            <w:pPr>
              <w:pStyle w:val="65"/>
              <w:spacing w:before="78" w:line="214" w:lineRule="auto"/>
              <w:ind w:left="235"/>
              <w:rPr>
                <w:rFonts w:hint="eastAsia" w:ascii="仿宋" w:hAnsi="仿宋" w:eastAsia="仿宋" w:cs="仿宋"/>
                <w:sz w:val="28"/>
                <w:szCs w:val="28"/>
              </w:rPr>
            </w:pPr>
            <w:r>
              <w:rPr>
                <w:rFonts w:hint="eastAsia" w:ascii="仿宋" w:hAnsi="仿宋" w:eastAsia="仿宋" w:cs="仿宋"/>
                <w:spacing w:val="-3"/>
                <w:sz w:val="28"/>
                <w:szCs w:val="28"/>
              </w:rPr>
              <w:t>终身教育</w:t>
            </w:r>
          </w:p>
        </w:tc>
        <w:tc>
          <w:tcPr>
            <w:tcW w:w="2408" w:type="dxa"/>
            <w:vAlign w:val="top"/>
          </w:tcPr>
          <w:p>
            <w:pPr>
              <w:pStyle w:val="65"/>
              <w:spacing w:before="116" w:line="214" w:lineRule="auto"/>
              <w:ind w:left="980"/>
              <w:rPr>
                <w:rFonts w:hint="eastAsia" w:ascii="仿宋" w:hAnsi="仿宋" w:eastAsia="仿宋" w:cs="仿宋"/>
                <w:sz w:val="28"/>
                <w:szCs w:val="28"/>
              </w:rPr>
            </w:pPr>
            <w:r>
              <w:rPr>
                <w:rFonts w:hint="eastAsia" w:ascii="仿宋" w:hAnsi="仿宋" w:eastAsia="仿宋" w:cs="仿宋"/>
                <w:spacing w:val="-10"/>
                <w:sz w:val="28"/>
                <w:szCs w:val="28"/>
              </w:rPr>
              <w:t>高中</w:t>
            </w:r>
          </w:p>
        </w:tc>
        <w:tc>
          <w:tcPr>
            <w:tcW w:w="1621" w:type="dxa"/>
            <w:vAlign w:val="top"/>
          </w:tcPr>
          <w:p>
            <w:pPr>
              <w:spacing w:before="102" w:line="266" w:lineRule="exact"/>
              <w:ind w:left="720"/>
              <w:rPr>
                <w:rFonts w:hint="eastAsia" w:ascii="仿宋" w:hAnsi="仿宋" w:eastAsia="仿宋" w:cs="仿宋"/>
                <w:sz w:val="28"/>
                <w:szCs w:val="28"/>
              </w:rPr>
            </w:pPr>
            <w:r>
              <w:rPr>
                <w:rFonts w:hint="eastAsia" w:ascii="仿宋" w:hAnsi="仿宋" w:eastAsia="仿宋" w:cs="仿宋"/>
                <w:position w:val="-5"/>
                <w:sz w:val="28"/>
                <w:szCs w:val="28"/>
              </w:rPr>
              <w:drawing>
                <wp:inline distT="0" distB="0" distL="0" distR="0">
                  <wp:extent cx="122555" cy="168275"/>
                  <wp:effectExtent l="0" t="0" r="10795" b="2540"/>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16"/>
                          <a:stretch>
                            <a:fillRect/>
                          </a:stretch>
                        </pic:blipFill>
                        <pic:spPr>
                          <a:xfrm>
                            <a:off x="0" y="0"/>
                            <a:ext cx="122986" cy="168859"/>
                          </a:xfrm>
                          <a:prstGeom prst="rect">
                            <a:avLst/>
                          </a:prstGeom>
                        </pic:spPr>
                      </pic:pic>
                    </a:graphicData>
                  </a:graphic>
                </wp:inline>
              </w:drawing>
            </w:r>
          </w:p>
        </w:tc>
        <w:tc>
          <w:tcPr>
            <w:tcW w:w="1622" w:type="dxa"/>
            <w:vAlign w:val="top"/>
          </w:tcPr>
          <w:p>
            <w:pPr>
              <w:pStyle w:val="65"/>
              <w:spacing w:before="229" w:line="163" w:lineRule="exact"/>
              <w:ind w:left="590"/>
              <w:rPr>
                <w:rFonts w:hint="eastAsia" w:ascii="仿宋" w:hAnsi="仿宋" w:eastAsia="仿宋" w:cs="仿宋"/>
                <w:sz w:val="28"/>
                <w:szCs w:val="28"/>
              </w:rPr>
            </w:pPr>
            <w:r>
              <w:rPr>
                <w:rFonts w:hint="eastAsia" w:ascii="仿宋" w:hAnsi="仿宋" w:eastAsia="仿宋" w:cs="仿宋"/>
                <w:position w:val="-4"/>
                <w:sz w:val="28"/>
                <w:szCs w:val="28"/>
              </w:rPr>
              <w:t>——</w:t>
            </w:r>
          </w:p>
        </w:tc>
        <w:tc>
          <w:tcPr>
            <w:tcW w:w="1771" w:type="dxa"/>
            <w:vAlign w:val="top"/>
          </w:tcPr>
          <w:p>
            <w:pPr>
              <w:pStyle w:val="65"/>
              <w:spacing w:before="117" w:line="219" w:lineRule="auto"/>
              <w:ind w:left="304"/>
              <w:rPr>
                <w:rFonts w:hint="eastAsia" w:ascii="仿宋" w:hAnsi="仿宋" w:eastAsia="仿宋" w:cs="仿宋"/>
                <w:sz w:val="28"/>
                <w:szCs w:val="28"/>
              </w:rPr>
            </w:pPr>
            <w:r>
              <w:rPr>
                <w:rFonts w:hint="eastAsia" w:ascii="仿宋" w:hAnsi="仿宋" w:eastAsia="仿宋" w:cs="仿宋"/>
                <w:spacing w:val="-5"/>
                <w:sz w:val="28"/>
                <w:szCs w:val="28"/>
              </w:rPr>
              <w:t>宜独立占地</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continue"/>
            <w:tcBorders>
              <w:top w:val="nil"/>
              <w:bottom w:val="nil"/>
            </w:tcBorders>
            <w:vAlign w:val="top"/>
          </w:tcPr>
          <w:p>
            <w:pPr>
              <w:rPr>
                <w:rFonts w:hint="eastAsia" w:ascii="仿宋" w:hAnsi="仿宋" w:eastAsia="仿宋" w:cs="仿宋"/>
                <w:sz w:val="28"/>
                <w:szCs w:val="28"/>
              </w:rPr>
            </w:pPr>
          </w:p>
        </w:tc>
        <w:tc>
          <w:tcPr>
            <w:tcW w:w="2408" w:type="dxa"/>
            <w:vAlign w:val="top"/>
          </w:tcPr>
          <w:p>
            <w:pPr>
              <w:pStyle w:val="65"/>
              <w:spacing w:before="116" w:line="214" w:lineRule="auto"/>
              <w:ind w:left="969"/>
              <w:rPr>
                <w:rFonts w:hint="eastAsia" w:ascii="仿宋" w:hAnsi="仿宋" w:eastAsia="仿宋" w:cs="仿宋"/>
                <w:sz w:val="28"/>
                <w:szCs w:val="28"/>
              </w:rPr>
            </w:pPr>
            <w:r>
              <w:rPr>
                <w:rFonts w:hint="eastAsia" w:ascii="仿宋" w:hAnsi="仿宋" w:eastAsia="仿宋" w:cs="仿宋"/>
                <w:spacing w:val="-5"/>
                <w:sz w:val="28"/>
                <w:szCs w:val="28"/>
              </w:rPr>
              <w:t>初中</w:t>
            </w:r>
          </w:p>
        </w:tc>
        <w:tc>
          <w:tcPr>
            <w:tcW w:w="1621" w:type="dxa"/>
            <w:vAlign w:val="top"/>
          </w:tcPr>
          <w:p>
            <w:pPr>
              <w:spacing w:before="107" w:line="207" w:lineRule="auto"/>
              <w:ind w:left="720"/>
              <w:rPr>
                <w:rFonts w:hint="eastAsia" w:ascii="仿宋" w:hAnsi="仿宋" w:eastAsia="仿宋" w:cs="仿宋"/>
                <w:sz w:val="28"/>
                <w:szCs w:val="28"/>
              </w:rPr>
            </w:pPr>
            <w:r>
              <w:rPr>
                <w:rFonts w:hint="eastAsia" w:ascii="仿宋" w:hAnsi="仿宋" w:eastAsia="仿宋" w:cs="仿宋"/>
                <w:spacing w:val="37"/>
                <w:sz w:val="28"/>
                <w:szCs w:val="28"/>
              </w:rPr>
              <w:t>●</w:t>
            </w:r>
          </w:p>
        </w:tc>
        <w:tc>
          <w:tcPr>
            <w:tcW w:w="1622" w:type="dxa"/>
            <w:vAlign w:val="top"/>
          </w:tcPr>
          <w:p>
            <w:pPr>
              <w:pStyle w:val="65"/>
              <w:spacing w:before="229" w:line="162" w:lineRule="exact"/>
              <w:ind w:left="590"/>
              <w:rPr>
                <w:rFonts w:hint="eastAsia" w:ascii="仿宋" w:hAnsi="仿宋" w:eastAsia="仿宋" w:cs="仿宋"/>
                <w:sz w:val="28"/>
                <w:szCs w:val="28"/>
              </w:rPr>
            </w:pPr>
            <w:r>
              <w:rPr>
                <w:rFonts w:hint="eastAsia" w:ascii="仿宋" w:hAnsi="仿宋" w:eastAsia="仿宋" w:cs="仿宋"/>
                <w:position w:val="-4"/>
                <w:sz w:val="28"/>
                <w:szCs w:val="28"/>
              </w:rPr>
              <w:t>——</w:t>
            </w:r>
          </w:p>
        </w:tc>
        <w:tc>
          <w:tcPr>
            <w:tcW w:w="1771" w:type="dxa"/>
            <w:vAlign w:val="top"/>
          </w:tcPr>
          <w:p>
            <w:pPr>
              <w:pStyle w:val="65"/>
              <w:spacing w:before="117" w:line="219" w:lineRule="auto"/>
              <w:ind w:left="304"/>
              <w:rPr>
                <w:rFonts w:hint="eastAsia" w:ascii="仿宋" w:hAnsi="仿宋" w:eastAsia="仿宋" w:cs="仿宋"/>
                <w:sz w:val="28"/>
                <w:szCs w:val="28"/>
              </w:rPr>
            </w:pPr>
            <w:r>
              <w:rPr>
                <w:rFonts w:hint="eastAsia" w:ascii="仿宋" w:hAnsi="仿宋" w:eastAsia="仿宋" w:cs="仿宋"/>
                <w:spacing w:val="-5"/>
                <w:sz w:val="28"/>
                <w:szCs w:val="28"/>
              </w:rPr>
              <w:t>宜独立占地</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continue"/>
            <w:tcBorders>
              <w:top w:val="nil"/>
              <w:bottom w:val="nil"/>
            </w:tcBorders>
            <w:vAlign w:val="top"/>
          </w:tcPr>
          <w:p>
            <w:pPr>
              <w:rPr>
                <w:rFonts w:hint="eastAsia" w:ascii="仿宋" w:hAnsi="仿宋" w:eastAsia="仿宋" w:cs="仿宋"/>
                <w:sz w:val="28"/>
                <w:szCs w:val="28"/>
              </w:rPr>
            </w:pPr>
          </w:p>
        </w:tc>
        <w:tc>
          <w:tcPr>
            <w:tcW w:w="2408" w:type="dxa"/>
            <w:vAlign w:val="top"/>
          </w:tcPr>
          <w:p>
            <w:pPr>
              <w:pStyle w:val="65"/>
              <w:spacing w:before="116" w:line="216" w:lineRule="auto"/>
              <w:ind w:left="971"/>
              <w:rPr>
                <w:rFonts w:hint="eastAsia" w:ascii="仿宋" w:hAnsi="仿宋" w:eastAsia="仿宋" w:cs="仿宋"/>
                <w:sz w:val="28"/>
                <w:szCs w:val="28"/>
              </w:rPr>
            </w:pPr>
            <w:r>
              <w:rPr>
                <w:rFonts w:hint="eastAsia" w:ascii="仿宋" w:hAnsi="仿宋" w:eastAsia="仿宋" w:cs="仿宋"/>
                <w:spacing w:val="-6"/>
                <w:sz w:val="28"/>
                <w:szCs w:val="28"/>
              </w:rPr>
              <w:t>小学</w:t>
            </w:r>
          </w:p>
        </w:tc>
        <w:tc>
          <w:tcPr>
            <w:tcW w:w="1621" w:type="dxa"/>
            <w:vAlign w:val="top"/>
          </w:tcPr>
          <w:p>
            <w:pPr>
              <w:spacing w:before="107" w:line="207" w:lineRule="auto"/>
              <w:ind w:left="720"/>
              <w:rPr>
                <w:rFonts w:hint="eastAsia" w:ascii="仿宋" w:hAnsi="仿宋" w:eastAsia="仿宋" w:cs="仿宋"/>
                <w:sz w:val="28"/>
                <w:szCs w:val="28"/>
              </w:rPr>
            </w:pPr>
            <w:r>
              <w:rPr>
                <w:rFonts w:hint="eastAsia" w:ascii="仿宋" w:hAnsi="仿宋" w:eastAsia="仿宋" w:cs="仿宋"/>
                <w:spacing w:val="37"/>
                <w:sz w:val="28"/>
                <w:szCs w:val="28"/>
              </w:rPr>
              <w:t>●</w:t>
            </w:r>
          </w:p>
        </w:tc>
        <w:tc>
          <w:tcPr>
            <w:tcW w:w="1622" w:type="dxa"/>
            <w:vAlign w:val="top"/>
          </w:tcPr>
          <w:p>
            <w:pPr>
              <w:spacing w:before="101" w:line="266" w:lineRule="exact"/>
              <w:ind w:left="724"/>
              <w:rPr>
                <w:rFonts w:hint="eastAsia" w:ascii="仿宋" w:hAnsi="仿宋" w:eastAsia="仿宋" w:cs="仿宋"/>
                <w:sz w:val="28"/>
                <w:szCs w:val="28"/>
              </w:rPr>
            </w:pPr>
            <w:r>
              <w:rPr>
                <w:rFonts w:hint="eastAsia" w:ascii="仿宋" w:hAnsi="仿宋" w:eastAsia="仿宋" w:cs="仿宋"/>
                <w:position w:val="-5"/>
                <w:sz w:val="28"/>
                <w:szCs w:val="28"/>
              </w:rPr>
              <w:drawing>
                <wp:inline distT="0" distB="0" distL="0" distR="0">
                  <wp:extent cx="122555" cy="168275"/>
                  <wp:effectExtent l="0" t="0" r="10795" b="2540"/>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15"/>
                          <a:stretch>
                            <a:fillRect/>
                          </a:stretch>
                        </pic:blipFill>
                        <pic:spPr>
                          <a:xfrm>
                            <a:off x="0" y="0"/>
                            <a:ext cx="122986" cy="168859"/>
                          </a:xfrm>
                          <a:prstGeom prst="rect">
                            <a:avLst/>
                          </a:prstGeom>
                        </pic:spPr>
                      </pic:pic>
                    </a:graphicData>
                  </a:graphic>
                </wp:inline>
              </w:drawing>
            </w:r>
          </w:p>
        </w:tc>
        <w:tc>
          <w:tcPr>
            <w:tcW w:w="1771" w:type="dxa"/>
            <w:vAlign w:val="top"/>
          </w:tcPr>
          <w:p>
            <w:pPr>
              <w:pStyle w:val="65"/>
              <w:spacing w:before="116" w:line="217" w:lineRule="auto"/>
              <w:ind w:left="297"/>
              <w:rPr>
                <w:rFonts w:hint="eastAsia" w:ascii="仿宋" w:hAnsi="仿宋" w:eastAsia="仿宋" w:cs="仿宋"/>
                <w:sz w:val="28"/>
                <w:szCs w:val="28"/>
              </w:rPr>
            </w:pPr>
            <w:r>
              <w:rPr>
                <w:rFonts w:hint="eastAsia" w:ascii="仿宋" w:hAnsi="仿宋" w:eastAsia="仿宋" w:cs="仿宋"/>
                <w:spacing w:val="-4"/>
                <w:sz w:val="28"/>
                <w:szCs w:val="28"/>
              </w:rPr>
              <w:t>应独立占地</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continue"/>
            <w:tcBorders>
              <w:top w:val="nil"/>
            </w:tcBorders>
            <w:vAlign w:val="top"/>
          </w:tcPr>
          <w:p>
            <w:pPr>
              <w:rPr>
                <w:rFonts w:hint="eastAsia" w:ascii="仿宋" w:hAnsi="仿宋" w:eastAsia="仿宋" w:cs="仿宋"/>
                <w:sz w:val="28"/>
                <w:szCs w:val="28"/>
              </w:rPr>
            </w:pPr>
          </w:p>
        </w:tc>
        <w:tc>
          <w:tcPr>
            <w:tcW w:w="2408" w:type="dxa"/>
            <w:vAlign w:val="top"/>
          </w:tcPr>
          <w:p>
            <w:pPr>
              <w:pStyle w:val="65"/>
              <w:spacing w:before="118" w:line="214" w:lineRule="auto"/>
              <w:ind w:left="860"/>
              <w:rPr>
                <w:rFonts w:hint="eastAsia" w:ascii="仿宋" w:hAnsi="仿宋" w:eastAsia="仿宋" w:cs="仿宋"/>
                <w:sz w:val="28"/>
                <w:szCs w:val="28"/>
              </w:rPr>
            </w:pPr>
            <w:r>
              <w:rPr>
                <w:rFonts w:hint="eastAsia" w:ascii="仿宋" w:hAnsi="仿宋" w:eastAsia="仿宋" w:cs="仿宋"/>
                <w:spacing w:val="-7"/>
                <w:sz w:val="28"/>
                <w:szCs w:val="28"/>
              </w:rPr>
              <w:t>幼儿园</w:t>
            </w:r>
          </w:p>
        </w:tc>
        <w:tc>
          <w:tcPr>
            <w:tcW w:w="1621" w:type="dxa"/>
            <w:vAlign w:val="top"/>
          </w:tcPr>
          <w:p>
            <w:pPr>
              <w:spacing w:before="107" w:line="207" w:lineRule="auto"/>
              <w:ind w:left="720"/>
              <w:rPr>
                <w:rFonts w:hint="eastAsia" w:ascii="仿宋" w:hAnsi="仿宋" w:eastAsia="仿宋" w:cs="仿宋"/>
                <w:sz w:val="28"/>
                <w:szCs w:val="28"/>
              </w:rPr>
            </w:pPr>
            <w:r>
              <w:rPr>
                <w:rFonts w:hint="eastAsia" w:ascii="仿宋" w:hAnsi="仿宋" w:eastAsia="仿宋" w:cs="仿宋"/>
                <w:spacing w:val="37"/>
                <w:sz w:val="28"/>
                <w:szCs w:val="28"/>
              </w:rPr>
              <w:t>●</w:t>
            </w:r>
          </w:p>
        </w:tc>
        <w:tc>
          <w:tcPr>
            <w:tcW w:w="1622" w:type="dxa"/>
            <w:vAlign w:val="top"/>
          </w:tcPr>
          <w:p>
            <w:pPr>
              <w:spacing w:before="101" w:line="265" w:lineRule="exact"/>
              <w:ind w:left="724"/>
              <w:rPr>
                <w:rFonts w:hint="eastAsia" w:ascii="仿宋" w:hAnsi="仿宋" w:eastAsia="仿宋" w:cs="仿宋"/>
                <w:sz w:val="28"/>
                <w:szCs w:val="28"/>
              </w:rPr>
            </w:pPr>
            <w:r>
              <w:rPr>
                <w:rFonts w:hint="eastAsia" w:ascii="仿宋" w:hAnsi="仿宋" w:eastAsia="仿宋" w:cs="仿宋"/>
                <w:position w:val="-5"/>
                <w:sz w:val="28"/>
                <w:szCs w:val="28"/>
              </w:rPr>
              <w:drawing>
                <wp:inline distT="0" distB="0" distL="0" distR="0">
                  <wp:extent cx="122555" cy="168275"/>
                  <wp:effectExtent l="0" t="0" r="10795" b="2540"/>
                  <wp:docPr id="14" name="IM 14"/>
                  <wp:cNvGraphicFramePr/>
                  <a:graphic xmlns:a="http://schemas.openxmlformats.org/drawingml/2006/main">
                    <a:graphicData uri="http://schemas.openxmlformats.org/drawingml/2006/picture">
                      <pic:pic xmlns:pic="http://schemas.openxmlformats.org/drawingml/2006/picture">
                        <pic:nvPicPr>
                          <pic:cNvPr id="14" name="IM 14"/>
                          <pic:cNvPicPr/>
                        </pic:nvPicPr>
                        <pic:blipFill>
                          <a:blip r:embed="rId14"/>
                          <a:stretch>
                            <a:fillRect/>
                          </a:stretch>
                        </pic:blipFill>
                        <pic:spPr>
                          <a:xfrm>
                            <a:off x="0" y="0"/>
                            <a:ext cx="122986" cy="168859"/>
                          </a:xfrm>
                          <a:prstGeom prst="rect">
                            <a:avLst/>
                          </a:prstGeom>
                        </pic:spPr>
                      </pic:pic>
                    </a:graphicData>
                  </a:graphic>
                </wp:inline>
              </w:drawing>
            </w:r>
          </w:p>
        </w:tc>
        <w:tc>
          <w:tcPr>
            <w:tcW w:w="1771" w:type="dxa"/>
            <w:vAlign w:val="top"/>
          </w:tcPr>
          <w:p>
            <w:pPr>
              <w:pStyle w:val="65"/>
              <w:spacing w:before="118" w:line="217" w:lineRule="auto"/>
              <w:ind w:left="297"/>
              <w:rPr>
                <w:rFonts w:hint="eastAsia" w:ascii="仿宋" w:hAnsi="仿宋" w:eastAsia="仿宋" w:cs="仿宋"/>
                <w:sz w:val="28"/>
                <w:szCs w:val="28"/>
              </w:rPr>
            </w:pPr>
            <w:r>
              <w:rPr>
                <w:rFonts w:hint="eastAsia" w:ascii="仿宋" w:hAnsi="仿宋" w:eastAsia="仿宋" w:cs="仿宋"/>
                <w:spacing w:val="-4"/>
                <w:sz w:val="28"/>
                <w:szCs w:val="28"/>
              </w:rPr>
              <w:t>应独立占地</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restart"/>
            <w:tcBorders>
              <w:bottom w:val="nil"/>
            </w:tcBorders>
            <w:vAlign w:val="top"/>
          </w:tcPr>
          <w:p>
            <w:pPr>
              <w:spacing w:line="247" w:lineRule="auto"/>
              <w:rPr>
                <w:rFonts w:hint="eastAsia" w:ascii="仿宋" w:hAnsi="仿宋" w:eastAsia="仿宋" w:cs="仿宋"/>
                <w:sz w:val="28"/>
                <w:szCs w:val="28"/>
              </w:rPr>
            </w:pPr>
          </w:p>
          <w:p>
            <w:pPr>
              <w:spacing w:line="247" w:lineRule="auto"/>
              <w:rPr>
                <w:rFonts w:hint="eastAsia" w:ascii="仿宋" w:hAnsi="仿宋" w:eastAsia="仿宋" w:cs="仿宋"/>
                <w:sz w:val="28"/>
                <w:szCs w:val="28"/>
              </w:rPr>
            </w:pPr>
          </w:p>
          <w:p>
            <w:pPr>
              <w:spacing w:line="247" w:lineRule="auto"/>
              <w:rPr>
                <w:rFonts w:hint="eastAsia" w:ascii="仿宋" w:hAnsi="仿宋" w:eastAsia="仿宋" w:cs="仿宋"/>
                <w:sz w:val="28"/>
                <w:szCs w:val="28"/>
              </w:rPr>
            </w:pPr>
          </w:p>
          <w:p>
            <w:pPr>
              <w:spacing w:line="247" w:lineRule="auto"/>
              <w:rPr>
                <w:rFonts w:hint="eastAsia" w:ascii="仿宋" w:hAnsi="仿宋" w:eastAsia="仿宋" w:cs="仿宋"/>
                <w:sz w:val="28"/>
                <w:szCs w:val="28"/>
              </w:rPr>
            </w:pPr>
          </w:p>
          <w:p>
            <w:pPr>
              <w:pStyle w:val="65"/>
              <w:spacing w:before="78" w:line="216" w:lineRule="auto"/>
              <w:ind w:left="244"/>
              <w:rPr>
                <w:rFonts w:hint="eastAsia" w:ascii="仿宋" w:hAnsi="仿宋" w:eastAsia="仿宋" w:cs="仿宋"/>
                <w:sz w:val="28"/>
                <w:szCs w:val="28"/>
              </w:rPr>
            </w:pPr>
            <w:r>
              <w:rPr>
                <w:rFonts w:hint="eastAsia" w:ascii="仿宋" w:hAnsi="仿宋" w:eastAsia="仿宋" w:cs="仿宋"/>
                <w:spacing w:val="-5"/>
                <w:sz w:val="28"/>
                <w:szCs w:val="28"/>
              </w:rPr>
              <w:t>文化活动</w:t>
            </w:r>
          </w:p>
        </w:tc>
        <w:tc>
          <w:tcPr>
            <w:tcW w:w="2408" w:type="dxa"/>
            <w:vAlign w:val="top"/>
          </w:tcPr>
          <w:p>
            <w:pPr>
              <w:pStyle w:val="65"/>
              <w:spacing w:before="117" w:line="214" w:lineRule="auto"/>
              <w:ind w:left="283"/>
              <w:rPr>
                <w:rFonts w:hint="eastAsia" w:ascii="仿宋" w:hAnsi="仿宋" w:eastAsia="仿宋" w:cs="仿宋"/>
                <w:sz w:val="28"/>
                <w:szCs w:val="28"/>
              </w:rPr>
            </w:pPr>
            <w:r>
              <w:rPr>
                <w:rFonts w:hint="eastAsia" w:ascii="仿宋" w:hAnsi="仿宋" w:eastAsia="仿宋" w:cs="仿宋"/>
                <w:spacing w:val="-6"/>
                <w:sz w:val="28"/>
                <w:szCs w:val="28"/>
              </w:rPr>
              <w:t>乡镇文化活动中心</w:t>
            </w:r>
          </w:p>
        </w:tc>
        <w:tc>
          <w:tcPr>
            <w:tcW w:w="1621" w:type="dxa"/>
            <w:vAlign w:val="top"/>
          </w:tcPr>
          <w:p>
            <w:pPr>
              <w:spacing w:before="100" w:line="266" w:lineRule="exact"/>
              <w:ind w:left="720"/>
              <w:rPr>
                <w:rFonts w:hint="eastAsia" w:ascii="仿宋" w:hAnsi="仿宋" w:eastAsia="仿宋" w:cs="仿宋"/>
                <w:sz w:val="28"/>
                <w:szCs w:val="28"/>
              </w:rPr>
            </w:pPr>
            <w:r>
              <w:rPr>
                <w:rFonts w:hint="eastAsia" w:ascii="仿宋" w:hAnsi="仿宋" w:eastAsia="仿宋" w:cs="仿宋"/>
                <w:position w:val="-5"/>
                <w:sz w:val="28"/>
                <w:szCs w:val="28"/>
              </w:rPr>
              <w:drawing>
                <wp:inline distT="0" distB="0" distL="0" distR="0">
                  <wp:extent cx="122555" cy="168275"/>
                  <wp:effectExtent l="0" t="0" r="10795" b="2540"/>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16"/>
                          <a:stretch>
                            <a:fillRect/>
                          </a:stretch>
                        </pic:blipFill>
                        <pic:spPr>
                          <a:xfrm>
                            <a:off x="0" y="0"/>
                            <a:ext cx="122986" cy="168859"/>
                          </a:xfrm>
                          <a:prstGeom prst="rect">
                            <a:avLst/>
                          </a:prstGeom>
                        </pic:spPr>
                      </pic:pic>
                    </a:graphicData>
                  </a:graphic>
                </wp:inline>
              </w:drawing>
            </w:r>
          </w:p>
        </w:tc>
        <w:tc>
          <w:tcPr>
            <w:tcW w:w="1622" w:type="dxa"/>
            <w:vAlign w:val="top"/>
          </w:tcPr>
          <w:p>
            <w:pPr>
              <w:pStyle w:val="65"/>
              <w:spacing w:before="230" w:line="163" w:lineRule="exact"/>
              <w:ind w:left="590"/>
              <w:rPr>
                <w:rFonts w:hint="eastAsia" w:ascii="仿宋" w:hAnsi="仿宋" w:eastAsia="仿宋" w:cs="仿宋"/>
                <w:sz w:val="28"/>
                <w:szCs w:val="28"/>
              </w:rPr>
            </w:pPr>
            <w:r>
              <w:rPr>
                <w:rFonts w:hint="eastAsia" w:ascii="仿宋" w:hAnsi="仿宋" w:eastAsia="仿宋" w:cs="仿宋"/>
                <w:position w:val="-4"/>
                <w:sz w:val="28"/>
                <w:szCs w:val="28"/>
              </w:rPr>
              <w:t>——</w:t>
            </w:r>
          </w:p>
        </w:tc>
        <w:tc>
          <w:tcPr>
            <w:tcW w:w="1771" w:type="dxa"/>
            <w:vAlign w:val="top"/>
          </w:tcPr>
          <w:p>
            <w:pPr>
              <w:pStyle w:val="65"/>
              <w:spacing w:before="118" w:line="217" w:lineRule="auto"/>
              <w:ind w:left="302"/>
              <w:rPr>
                <w:rFonts w:hint="eastAsia" w:ascii="仿宋" w:hAnsi="仿宋" w:eastAsia="仿宋" w:cs="仿宋"/>
                <w:sz w:val="28"/>
                <w:szCs w:val="28"/>
              </w:rPr>
            </w:pPr>
            <w:r>
              <w:rPr>
                <w:rFonts w:hint="eastAsia" w:ascii="仿宋" w:hAnsi="仿宋" w:eastAsia="仿宋" w:cs="仿宋"/>
                <w:spacing w:val="-4"/>
                <w:sz w:val="28"/>
                <w:szCs w:val="28"/>
              </w:rPr>
              <w:t>可综合设置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1417" w:type="dxa"/>
            <w:vMerge w:val="continue"/>
            <w:tcBorders>
              <w:top w:val="nil"/>
              <w:bottom w:val="nil"/>
            </w:tcBorders>
            <w:vAlign w:val="top"/>
          </w:tcPr>
          <w:p>
            <w:pPr>
              <w:rPr>
                <w:rFonts w:hint="eastAsia" w:ascii="仿宋" w:hAnsi="仿宋" w:eastAsia="仿宋" w:cs="仿宋"/>
                <w:sz w:val="28"/>
                <w:szCs w:val="28"/>
              </w:rPr>
            </w:pPr>
          </w:p>
        </w:tc>
        <w:tc>
          <w:tcPr>
            <w:tcW w:w="2408" w:type="dxa"/>
            <w:vAlign w:val="top"/>
          </w:tcPr>
          <w:p>
            <w:pPr>
              <w:pStyle w:val="65"/>
              <w:spacing w:before="117" w:line="216" w:lineRule="auto"/>
              <w:ind w:left="620"/>
              <w:rPr>
                <w:rFonts w:hint="eastAsia" w:ascii="仿宋" w:hAnsi="仿宋" w:eastAsia="仿宋" w:cs="仿宋"/>
                <w:sz w:val="28"/>
                <w:szCs w:val="28"/>
              </w:rPr>
            </w:pPr>
            <w:r>
              <w:rPr>
                <w:rFonts w:hint="eastAsia" w:ascii="仿宋" w:hAnsi="仿宋" w:eastAsia="仿宋" w:cs="仿宋"/>
                <w:spacing w:val="-4"/>
                <w:sz w:val="28"/>
                <w:szCs w:val="28"/>
              </w:rPr>
              <w:t>文化活动室</w:t>
            </w:r>
          </w:p>
        </w:tc>
        <w:tc>
          <w:tcPr>
            <w:tcW w:w="1621" w:type="dxa"/>
            <w:vAlign w:val="top"/>
          </w:tcPr>
          <w:p>
            <w:pPr>
              <w:spacing w:before="108" w:line="206" w:lineRule="auto"/>
              <w:ind w:left="720"/>
              <w:rPr>
                <w:rFonts w:hint="eastAsia" w:ascii="仿宋" w:hAnsi="仿宋" w:eastAsia="仿宋" w:cs="仿宋"/>
                <w:sz w:val="28"/>
                <w:szCs w:val="28"/>
              </w:rPr>
            </w:pPr>
            <w:r>
              <w:rPr>
                <w:rFonts w:hint="eastAsia" w:ascii="仿宋" w:hAnsi="仿宋" w:eastAsia="仿宋" w:cs="仿宋"/>
                <w:spacing w:val="37"/>
                <w:sz w:val="28"/>
                <w:szCs w:val="28"/>
              </w:rPr>
              <w:t>●</w:t>
            </w:r>
          </w:p>
        </w:tc>
        <w:tc>
          <w:tcPr>
            <w:tcW w:w="1622" w:type="dxa"/>
            <w:vAlign w:val="top"/>
          </w:tcPr>
          <w:p>
            <w:pPr>
              <w:spacing w:before="108" w:line="206" w:lineRule="auto"/>
              <w:ind w:left="724"/>
              <w:rPr>
                <w:rFonts w:hint="eastAsia" w:ascii="仿宋" w:hAnsi="仿宋" w:eastAsia="仿宋" w:cs="仿宋"/>
                <w:sz w:val="28"/>
                <w:szCs w:val="28"/>
              </w:rPr>
            </w:pPr>
            <w:r>
              <w:rPr>
                <w:rFonts w:hint="eastAsia" w:ascii="仿宋" w:hAnsi="仿宋" w:eastAsia="仿宋" w:cs="仿宋"/>
                <w:spacing w:val="37"/>
                <w:sz w:val="28"/>
                <w:szCs w:val="28"/>
              </w:rPr>
              <w:t>●</w:t>
            </w:r>
          </w:p>
        </w:tc>
        <w:tc>
          <w:tcPr>
            <w:tcW w:w="1771" w:type="dxa"/>
            <w:vAlign w:val="top"/>
          </w:tcPr>
          <w:p>
            <w:pPr>
              <w:pStyle w:val="65"/>
              <w:spacing w:before="118" w:line="217" w:lineRule="auto"/>
              <w:ind w:left="304"/>
              <w:rPr>
                <w:rFonts w:hint="eastAsia" w:ascii="仿宋" w:hAnsi="仿宋" w:eastAsia="仿宋" w:cs="仿宋"/>
                <w:sz w:val="28"/>
                <w:szCs w:val="28"/>
              </w:rPr>
            </w:pPr>
            <w:r>
              <w:rPr>
                <w:rFonts w:hint="eastAsia" w:ascii="仿宋" w:hAnsi="仿宋" w:eastAsia="仿宋" w:cs="仿宋"/>
                <w:spacing w:val="-5"/>
                <w:sz w:val="28"/>
                <w:szCs w:val="28"/>
              </w:rPr>
              <w:t>宜综合设置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continue"/>
            <w:tcBorders>
              <w:top w:val="nil"/>
              <w:bottom w:val="nil"/>
            </w:tcBorders>
            <w:vAlign w:val="top"/>
          </w:tcPr>
          <w:p>
            <w:pPr>
              <w:rPr>
                <w:rFonts w:hint="eastAsia" w:ascii="仿宋" w:hAnsi="仿宋" w:eastAsia="仿宋" w:cs="仿宋"/>
                <w:sz w:val="28"/>
                <w:szCs w:val="28"/>
              </w:rPr>
            </w:pPr>
          </w:p>
        </w:tc>
        <w:tc>
          <w:tcPr>
            <w:tcW w:w="2408" w:type="dxa"/>
            <w:vAlign w:val="top"/>
          </w:tcPr>
          <w:p>
            <w:pPr>
              <w:pStyle w:val="65"/>
              <w:spacing w:before="118" w:line="216" w:lineRule="auto"/>
              <w:ind w:left="731"/>
              <w:rPr>
                <w:rFonts w:hint="eastAsia" w:ascii="仿宋" w:hAnsi="仿宋" w:eastAsia="仿宋" w:cs="仿宋"/>
                <w:sz w:val="28"/>
                <w:szCs w:val="28"/>
              </w:rPr>
            </w:pPr>
            <w:r>
              <w:rPr>
                <w:rFonts w:hint="eastAsia" w:ascii="仿宋" w:hAnsi="仿宋" w:eastAsia="仿宋" w:cs="仿宋"/>
                <w:spacing w:val="-3"/>
                <w:sz w:val="28"/>
                <w:szCs w:val="28"/>
              </w:rPr>
              <w:t>农家书屋</w:t>
            </w:r>
          </w:p>
        </w:tc>
        <w:tc>
          <w:tcPr>
            <w:tcW w:w="1621" w:type="dxa"/>
            <w:vAlign w:val="top"/>
          </w:tcPr>
          <w:p>
            <w:pPr>
              <w:pStyle w:val="65"/>
              <w:spacing w:before="230" w:line="163" w:lineRule="exact"/>
              <w:ind w:left="589"/>
              <w:rPr>
                <w:rFonts w:hint="eastAsia" w:ascii="仿宋" w:hAnsi="仿宋" w:eastAsia="仿宋" w:cs="仿宋"/>
                <w:sz w:val="28"/>
                <w:szCs w:val="28"/>
              </w:rPr>
            </w:pPr>
            <w:r>
              <w:rPr>
                <w:rFonts w:hint="eastAsia" w:ascii="仿宋" w:hAnsi="仿宋" w:eastAsia="仿宋" w:cs="仿宋"/>
                <w:position w:val="-4"/>
                <w:sz w:val="28"/>
                <w:szCs w:val="28"/>
              </w:rPr>
              <w:t>——</w:t>
            </w:r>
          </w:p>
        </w:tc>
        <w:tc>
          <w:tcPr>
            <w:tcW w:w="1622" w:type="dxa"/>
            <w:vAlign w:val="top"/>
          </w:tcPr>
          <w:p>
            <w:pPr>
              <w:spacing w:before="109" w:line="206" w:lineRule="auto"/>
              <w:ind w:left="724"/>
              <w:rPr>
                <w:rFonts w:hint="eastAsia" w:ascii="仿宋" w:hAnsi="仿宋" w:eastAsia="仿宋" w:cs="仿宋"/>
                <w:sz w:val="28"/>
                <w:szCs w:val="28"/>
              </w:rPr>
            </w:pPr>
            <w:r>
              <w:rPr>
                <w:rFonts w:hint="eastAsia" w:ascii="仿宋" w:hAnsi="仿宋" w:eastAsia="仿宋" w:cs="仿宋"/>
                <w:spacing w:val="37"/>
                <w:sz w:val="28"/>
                <w:szCs w:val="28"/>
              </w:rPr>
              <w:t>●</w:t>
            </w:r>
          </w:p>
        </w:tc>
        <w:tc>
          <w:tcPr>
            <w:tcW w:w="1771" w:type="dxa"/>
            <w:vAlign w:val="top"/>
          </w:tcPr>
          <w:p>
            <w:pPr>
              <w:pStyle w:val="65"/>
              <w:spacing w:before="118" w:line="217" w:lineRule="auto"/>
              <w:ind w:left="304"/>
              <w:rPr>
                <w:rFonts w:hint="eastAsia" w:ascii="仿宋" w:hAnsi="仿宋" w:eastAsia="仿宋" w:cs="仿宋"/>
                <w:sz w:val="28"/>
                <w:szCs w:val="28"/>
              </w:rPr>
            </w:pPr>
            <w:r>
              <w:rPr>
                <w:rFonts w:hint="eastAsia" w:ascii="仿宋" w:hAnsi="仿宋" w:eastAsia="仿宋" w:cs="仿宋"/>
                <w:spacing w:val="-5"/>
                <w:sz w:val="28"/>
                <w:szCs w:val="28"/>
              </w:rPr>
              <w:t>宜综合设置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1417" w:type="dxa"/>
            <w:vMerge w:val="continue"/>
            <w:tcBorders>
              <w:top w:val="nil"/>
              <w:bottom w:val="nil"/>
            </w:tcBorders>
            <w:vAlign w:val="top"/>
          </w:tcPr>
          <w:p>
            <w:pPr>
              <w:rPr>
                <w:rFonts w:hint="eastAsia" w:ascii="仿宋" w:hAnsi="仿宋" w:eastAsia="仿宋" w:cs="仿宋"/>
                <w:sz w:val="28"/>
                <w:szCs w:val="28"/>
              </w:rPr>
            </w:pPr>
          </w:p>
        </w:tc>
        <w:tc>
          <w:tcPr>
            <w:tcW w:w="2408" w:type="dxa"/>
            <w:vAlign w:val="top"/>
          </w:tcPr>
          <w:p>
            <w:pPr>
              <w:pStyle w:val="65"/>
              <w:spacing w:before="117" w:line="214" w:lineRule="auto"/>
              <w:ind w:left="615"/>
              <w:rPr>
                <w:rFonts w:hint="eastAsia" w:ascii="仿宋" w:hAnsi="仿宋" w:eastAsia="仿宋" w:cs="仿宋"/>
                <w:sz w:val="28"/>
                <w:szCs w:val="28"/>
              </w:rPr>
            </w:pPr>
            <w:r>
              <w:rPr>
                <w:rFonts w:hint="eastAsia" w:ascii="仿宋" w:hAnsi="仿宋" w:eastAsia="仿宋" w:cs="仿宋"/>
                <w:spacing w:val="-4"/>
                <w:sz w:val="28"/>
                <w:szCs w:val="28"/>
              </w:rPr>
              <w:t>红白喜事厅</w:t>
            </w:r>
          </w:p>
        </w:tc>
        <w:tc>
          <w:tcPr>
            <w:tcW w:w="1621" w:type="dxa"/>
            <w:vAlign w:val="top"/>
          </w:tcPr>
          <w:p>
            <w:pPr>
              <w:pStyle w:val="65"/>
              <w:spacing w:before="230" w:line="162" w:lineRule="exact"/>
              <w:ind w:left="589"/>
              <w:rPr>
                <w:rFonts w:hint="eastAsia" w:ascii="仿宋" w:hAnsi="仿宋" w:eastAsia="仿宋" w:cs="仿宋"/>
                <w:sz w:val="28"/>
                <w:szCs w:val="28"/>
              </w:rPr>
            </w:pPr>
            <w:r>
              <w:rPr>
                <w:rFonts w:hint="eastAsia" w:ascii="仿宋" w:hAnsi="仿宋" w:eastAsia="仿宋" w:cs="仿宋"/>
                <w:position w:val="-4"/>
                <w:sz w:val="28"/>
                <w:szCs w:val="28"/>
              </w:rPr>
              <w:t>——</w:t>
            </w:r>
          </w:p>
        </w:tc>
        <w:tc>
          <w:tcPr>
            <w:tcW w:w="1622" w:type="dxa"/>
            <w:vAlign w:val="top"/>
          </w:tcPr>
          <w:p>
            <w:pPr>
              <w:spacing w:before="102" w:line="266" w:lineRule="exact"/>
              <w:ind w:left="724"/>
              <w:rPr>
                <w:rFonts w:hint="eastAsia" w:ascii="仿宋" w:hAnsi="仿宋" w:eastAsia="仿宋" w:cs="仿宋"/>
                <w:sz w:val="28"/>
                <w:szCs w:val="28"/>
              </w:rPr>
            </w:pPr>
            <w:r>
              <w:rPr>
                <w:rFonts w:hint="eastAsia" w:ascii="仿宋" w:hAnsi="仿宋" w:eastAsia="仿宋" w:cs="仿宋"/>
                <w:position w:val="-5"/>
                <w:sz w:val="28"/>
                <w:szCs w:val="28"/>
              </w:rPr>
              <w:drawing>
                <wp:inline distT="0" distB="0" distL="0" distR="0">
                  <wp:extent cx="122555" cy="168275"/>
                  <wp:effectExtent l="0" t="0" r="10795" b="2540"/>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15"/>
                          <a:stretch>
                            <a:fillRect/>
                          </a:stretch>
                        </pic:blipFill>
                        <pic:spPr>
                          <a:xfrm>
                            <a:off x="0" y="0"/>
                            <a:ext cx="122986" cy="168859"/>
                          </a:xfrm>
                          <a:prstGeom prst="rect">
                            <a:avLst/>
                          </a:prstGeom>
                        </pic:spPr>
                      </pic:pic>
                    </a:graphicData>
                  </a:graphic>
                </wp:inline>
              </w:drawing>
            </w:r>
          </w:p>
        </w:tc>
        <w:tc>
          <w:tcPr>
            <w:tcW w:w="1771" w:type="dxa"/>
            <w:vAlign w:val="top"/>
          </w:tcPr>
          <w:p>
            <w:pPr>
              <w:pStyle w:val="65"/>
              <w:spacing w:before="118" w:line="217" w:lineRule="auto"/>
              <w:ind w:left="304"/>
              <w:rPr>
                <w:rFonts w:hint="eastAsia" w:ascii="仿宋" w:hAnsi="仿宋" w:eastAsia="仿宋" w:cs="仿宋"/>
                <w:sz w:val="28"/>
                <w:szCs w:val="28"/>
              </w:rPr>
            </w:pPr>
            <w:r>
              <w:rPr>
                <w:rFonts w:hint="eastAsia" w:ascii="仿宋" w:hAnsi="仿宋" w:eastAsia="仿宋" w:cs="仿宋"/>
                <w:spacing w:val="-5"/>
                <w:sz w:val="28"/>
                <w:szCs w:val="28"/>
              </w:rPr>
              <w:t>宜综合设置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continue"/>
            <w:tcBorders>
              <w:top w:val="nil"/>
            </w:tcBorders>
            <w:vAlign w:val="top"/>
          </w:tcPr>
          <w:p>
            <w:pPr>
              <w:rPr>
                <w:rFonts w:hint="eastAsia" w:ascii="仿宋" w:hAnsi="仿宋" w:eastAsia="仿宋" w:cs="仿宋"/>
                <w:sz w:val="28"/>
                <w:szCs w:val="28"/>
              </w:rPr>
            </w:pPr>
          </w:p>
        </w:tc>
        <w:tc>
          <w:tcPr>
            <w:tcW w:w="2408" w:type="dxa"/>
            <w:vAlign w:val="top"/>
          </w:tcPr>
          <w:p>
            <w:pPr>
              <w:pStyle w:val="65"/>
              <w:spacing w:before="118" w:line="216" w:lineRule="auto"/>
              <w:ind w:left="372"/>
              <w:rPr>
                <w:rFonts w:hint="eastAsia" w:ascii="仿宋" w:hAnsi="仿宋" w:eastAsia="仿宋" w:cs="仿宋"/>
                <w:sz w:val="28"/>
                <w:szCs w:val="28"/>
              </w:rPr>
            </w:pPr>
            <w:r>
              <w:rPr>
                <w:rFonts w:hint="eastAsia" w:ascii="仿宋" w:hAnsi="仿宋" w:eastAsia="仿宋" w:cs="仿宋"/>
                <w:spacing w:val="-2"/>
                <w:sz w:val="28"/>
                <w:szCs w:val="28"/>
              </w:rPr>
              <w:t>特色民俗活动点</w:t>
            </w:r>
          </w:p>
        </w:tc>
        <w:tc>
          <w:tcPr>
            <w:tcW w:w="1621" w:type="dxa"/>
            <w:vAlign w:val="top"/>
          </w:tcPr>
          <w:p>
            <w:pPr>
              <w:pStyle w:val="65"/>
              <w:spacing w:before="230" w:line="163" w:lineRule="exact"/>
              <w:ind w:left="589"/>
              <w:rPr>
                <w:rFonts w:hint="eastAsia" w:ascii="仿宋" w:hAnsi="仿宋" w:eastAsia="仿宋" w:cs="仿宋"/>
                <w:sz w:val="28"/>
                <w:szCs w:val="28"/>
              </w:rPr>
            </w:pPr>
            <w:r>
              <w:rPr>
                <w:rFonts w:hint="eastAsia" w:ascii="仿宋" w:hAnsi="仿宋" w:eastAsia="仿宋" w:cs="仿宋"/>
                <w:position w:val="-4"/>
                <w:sz w:val="28"/>
                <w:szCs w:val="28"/>
              </w:rPr>
              <w:t>——</w:t>
            </w:r>
          </w:p>
        </w:tc>
        <w:tc>
          <w:tcPr>
            <w:tcW w:w="1622" w:type="dxa"/>
            <w:vAlign w:val="top"/>
          </w:tcPr>
          <w:p>
            <w:pPr>
              <w:spacing w:before="103" w:line="266" w:lineRule="exact"/>
              <w:ind w:left="724"/>
              <w:rPr>
                <w:rFonts w:hint="eastAsia" w:ascii="仿宋" w:hAnsi="仿宋" w:eastAsia="仿宋" w:cs="仿宋"/>
                <w:sz w:val="28"/>
                <w:szCs w:val="28"/>
              </w:rPr>
            </w:pPr>
            <w:r>
              <w:rPr>
                <w:rFonts w:hint="eastAsia" w:ascii="仿宋" w:hAnsi="仿宋" w:eastAsia="仿宋" w:cs="仿宋"/>
                <w:position w:val="-5"/>
                <w:sz w:val="28"/>
                <w:szCs w:val="28"/>
              </w:rPr>
              <w:drawing>
                <wp:inline distT="0" distB="0" distL="0" distR="0">
                  <wp:extent cx="122555" cy="168275"/>
                  <wp:effectExtent l="0" t="0" r="10795" b="2540"/>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14"/>
                          <a:stretch>
                            <a:fillRect/>
                          </a:stretch>
                        </pic:blipFill>
                        <pic:spPr>
                          <a:xfrm>
                            <a:off x="0" y="0"/>
                            <a:ext cx="122986" cy="168859"/>
                          </a:xfrm>
                          <a:prstGeom prst="rect">
                            <a:avLst/>
                          </a:prstGeom>
                        </pic:spPr>
                      </pic:pic>
                    </a:graphicData>
                  </a:graphic>
                </wp:inline>
              </w:drawing>
            </w:r>
          </w:p>
        </w:tc>
        <w:tc>
          <w:tcPr>
            <w:tcW w:w="1771" w:type="dxa"/>
            <w:vAlign w:val="top"/>
          </w:tcPr>
          <w:p>
            <w:pPr>
              <w:pStyle w:val="65"/>
              <w:spacing w:before="118" w:line="217" w:lineRule="auto"/>
              <w:ind w:left="304"/>
              <w:rPr>
                <w:rFonts w:hint="eastAsia" w:ascii="仿宋" w:hAnsi="仿宋" w:eastAsia="仿宋" w:cs="仿宋"/>
                <w:sz w:val="28"/>
                <w:szCs w:val="28"/>
              </w:rPr>
            </w:pPr>
            <w:r>
              <w:rPr>
                <w:rFonts w:hint="eastAsia" w:ascii="仿宋" w:hAnsi="仿宋" w:eastAsia="仿宋" w:cs="仿宋"/>
                <w:spacing w:val="-5"/>
                <w:sz w:val="28"/>
                <w:szCs w:val="28"/>
              </w:rPr>
              <w:t>宜综合设置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1417" w:type="dxa"/>
            <w:vMerge w:val="restart"/>
            <w:tcBorders>
              <w:bottom w:val="nil"/>
            </w:tcBorders>
            <w:vAlign w:val="top"/>
          </w:tcPr>
          <w:p>
            <w:pPr>
              <w:spacing w:line="258" w:lineRule="auto"/>
              <w:rPr>
                <w:rFonts w:hint="eastAsia" w:ascii="仿宋" w:hAnsi="仿宋" w:eastAsia="仿宋" w:cs="仿宋"/>
                <w:sz w:val="28"/>
                <w:szCs w:val="28"/>
              </w:rPr>
            </w:pPr>
          </w:p>
          <w:p>
            <w:pPr>
              <w:spacing w:line="258" w:lineRule="auto"/>
              <w:rPr>
                <w:rFonts w:hint="eastAsia" w:ascii="仿宋" w:hAnsi="仿宋" w:eastAsia="仿宋" w:cs="仿宋"/>
                <w:sz w:val="28"/>
                <w:szCs w:val="28"/>
              </w:rPr>
            </w:pPr>
          </w:p>
          <w:p>
            <w:pPr>
              <w:pStyle w:val="65"/>
              <w:spacing w:before="78" w:line="214" w:lineRule="auto"/>
              <w:ind w:left="228"/>
              <w:rPr>
                <w:rFonts w:hint="eastAsia" w:ascii="仿宋" w:hAnsi="仿宋" w:eastAsia="仿宋" w:cs="仿宋"/>
                <w:sz w:val="28"/>
                <w:szCs w:val="28"/>
              </w:rPr>
            </w:pPr>
            <w:r>
              <w:rPr>
                <w:rFonts w:hint="eastAsia" w:ascii="仿宋" w:hAnsi="仿宋" w:eastAsia="仿宋" w:cs="仿宋"/>
                <w:spacing w:val="-1"/>
                <w:sz w:val="28"/>
                <w:szCs w:val="28"/>
              </w:rPr>
              <w:t>体育健康</w:t>
            </w:r>
          </w:p>
        </w:tc>
        <w:tc>
          <w:tcPr>
            <w:tcW w:w="2408" w:type="dxa"/>
            <w:vAlign w:val="top"/>
          </w:tcPr>
          <w:p>
            <w:pPr>
              <w:pStyle w:val="65"/>
              <w:spacing w:before="120" w:line="214" w:lineRule="auto"/>
              <w:ind w:left="523"/>
              <w:rPr>
                <w:rFonts w:hint="eastAsia" w:ascii="仿宋" w:hAnsi="仿宋" w:eastAsia="仿宋" w:cs="仿宋"/>
                <w:sz w:val="28"/>
                <w:szCs w:val="28"/>
              </w:rPr>
            </w:pPr>
            <w:r>
              <w:rPr>
                <w:rFonts w:hint="eastAsia" w:ascii="仿宋" w:hAnsi="仿宋" w:eastAsia="仿宋" w:cs="仿宋"/>
                <w:spacing w:val="-8"/>
                <w:sz w:val="28"/>
                <w:szCs w:val="28"/>
              </w:rPr>
              <w:t>乡镇体育中心</w:t>
            </w:r>
          </w:p>
        </w:tc>
        <w:tc>
          <w:tcPr>
            <w:tcW w:w="1621" w:type="dxa"/>
            <w:vAlign w:val="top"/>
          </w:tcPr>
          <w:p>
            <w:pPr>
              <w:spacing w:before="103" w:line="266" w:lineRule="exact"/>
              <w:ind w:left="720"/>
              <w:rPr>
                <w:rFonts w:hint="eastAsia" w:ascii="仿宋" w:hAnsi="仿宋" w:eastAsia="仿宋" w:cs="仿宋"/>
                <w:sz w:val="28"/>
                <w:szCs w:val="28"/>
              </w:rPr>
            </w:pPr>
            <w:r>
              <w:rPr>
                <w:rFonts w:hint="eastAsia" w:ascii="仿宋" w:hAnsi="仿宋" w:eastAsia="仿宋" w:cs="仿宋"/>
                <w:position w:val="-5"/>
                <w:sz w:val="28"/>
                <w:szCs w:val="28"/>
              </w:rPr>
              <w:drawing>
                <wp:inline distT="0" distB="0" distL="0" distR="0">
                  <wp:extent cx="122555" cy="168275"/>
                  <wp:effectExtent l="0" t="0" r="10795" b="2540"/>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16"/>
                          <a:stretch>
                            <a:fillRect/>
                          </a:stretch>
                        </pic:blipFill>
                        <pic:spPr>
                          <a:xfrm>
                            <a:off x="0" y="0"/>
                            <a:ext cx="122986" cy="168859"/>
                          </a:xfrm>
                          <a:prstGeom prst="rect">
                            <a:avLst/>
                          </a:prstGeom>
                        </pic:spPr>
                      </pic:pic>
                    </a:graphicData>
                  </a:graphic>
                </wp:inline>
              </w:drawing>
            </w:r>
          </w:p>
        </w:tc>
        <w:tc>
          <w:tcPr>
            <w:tcW w:w="1622" w:type="dxa"/>
            <w:vAlign w:val="top"/>
          </w:tcPr>
          <w:p>
            <w:pPr>
              <w:pStyle w:val="65"/>
              <w:spacing w:before="232" w:line="163" w:lineRule="exact"/>
              <w:ind w:left="590"/>
              <w:rPr>
                <w:rFonts w:hint="eastAsia" w:ascii="仿宋" w:hAnsi="仿宋" w:eastAsia="仿宋" w:cs="仿宋"/>
                <w:sz w:val="28"/>
                <w:szCs w:val="28"/>
              </w:rPr>
            </w:pPr>
            <w:r>
              <w:rPr>
                <w:rFonts w:hint="eastAsia" w:ascii="仿宋" w:hAnsi="仿宋" w:eastAsia="仿宋" w:cs="仿宋"/>
                <w:position w:val="-4"/>
                <w:sz w:val="28"/>
                <w:szCs w:val="28"/>
              </w:rPr>
              <w:t>——</w:t>
            </w:r>
          </w:p>
        </w:tc>
        <w:tc>
          <w:tcPr>
            <w:tcW w:w="1771" w:type="dxa"/>
            <w:vAlign w:val="top"/>
          </w:tcPr>
          <w:p>
            <w:pPr>
              <w:pStyle w:val="65"/>
              <w:spacing w:before="120" w:line="217" w:lineRule="auto"/>
              <w:ind w:left="302"/>
              <w:rPr>
                <w:rFonts w:hint="eastAsia" w:ascii="仿宋" w:hAnsi="仿宋" w:eastAsia="仿宋" w:cs="仿宋"/>
                <w:sz w:val="28"/>
                <w:szCs w:val="28"/>
              </w:rPr>
            </w:pPr>
            <w:r>
              <w:rPr>
                <w:rFonts w:hint="eastAsia" w:ascii="仿宋" w:hAnsi="仿宋" w:eastAsia="仿宋" w:cs="仿宋"/>
                <w:spacing w:val="-4"/>
                <w:sz w:val="28"/>
                <w:szCs w:val="28"/>
              </w:rPr>
              <w:t>可综合设置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continue"/>
            <w:tcBorders>
              <w:top w:val="nil"/>
              <w:bottom w:val="nil"/>
            </w:tcBorders>
            <w:vAlign w:val="top"/>
          </w:tcPr>
          <w:p>
            <w:pPr>
              <w:rPr>
                <w:rFonts w:hint="eastAsia" w:ascii="仿宋" w:hAnsi="仿宋" w:eastAsia="仿宋" w:cs="仿宋"/>
                <w:sz w:val="28"/>
                <w:szCs w:val="28"/>
              </w:rPr>
            </w:pPr>
          </w:p>
        </w:tc>
        <w:tc>
          <w:tcPr>
            <w:tcW w:w="2408" w:type="dxa"/>
            <w:vAlign w:val="top"/>
          </w:tcPr>
          <w:p>
            <w:pPr>
              <w:pStyle w:val="65"/>
              <w:spacing w:before="121" w:line="214" w:lineRule="auto"/>
              <w:ind w:left="265"/>
              <w:rPr>
                <w:rFonts w:hint="eastAsia" w:ascii="仿宋" w:hAnsi="仿宋" w:eastAsia="仿宋" w:cs="仿宋"/>
                <w:sz w:val="28"/>
                <w:szCs w:val="28"/>
              </w:rPr>
            </w:pPr>
            <w:r>
              <w:rPr>
                <w:rFonts w:hint="eastAsia" w:ascii="仿宋" w:hAnsi="仿宋" w:eastAsia="仿宋" w:cs="仿宋"/>
                <w:spacing w:val="-4"/>
                <w:sz w:val="28"/>
                <w:szCs w:val="28"/>
              </w:rPr>
              <w:t>室外综合健身场地</w:t>
            </w:r>
          </w:p>
        </w:tc>
        <w:tc>
          <w:tcPr>
            <w:tcW w:w="1621" w:type="dxa"/>
            <w:vAlign w:val="top"/>
          </w:tcPr>
          <w:p>
            <w:pPr>
              <w:spacing w:before="109" w:line="206" w:lineRule="auto"/>
              <w:ind w:left="720"/>
              <w:rPr>
                <w:rFonts w:hint="eastAsia" w:ascii="仿宋" w:hAnsi="仿宋" w:eastAsia="仿宋" w:cs="仿宋"/>
                <w:sz w:val="28"/>
                <w:szCs w:val="28"/>
              </w:rPr>
            </w:pPr>
            <w:r>
              <w:rPr>
                <w:rFonts w:hint="eastAsia" w:ascii="仿宋" w:hAnsi="仿宋" w:eastAsia="仿宋" w:cs="仿宋"/>
                <w:spacing w:val="37"/>
                <w:sz w:val="28"/>
                <w:szCs w:val="28"/>
              </w:rPr>
              <w:t>●</w:t>
            </w:r>
          </w:p>
        </w:tc>
        <w:tc>
          <w:tcPr>
            <w:tcW w:w="1622" w:type="dxa"/>
            <w:vAlign w:val="top"/>
          </w:tcPr>
          <w:p>
            <w:pPr>
              <w:pStyle w:val="65"/>
              <w:spacing w:before="233" w:line="163" w:lineRule="exact"/>
              <w:ind w:left="590"/>
              <w:rPr>
                <w:rFonts w:hint="eastAsia" w:ascii="仿宋" w:hAnsi="仿宋" w:eastAsia="仿宋" w:cs="仿宋"/>
                <w:sz w:val="28"/>
                <w:szCs w:val="28"/>
              </w:rPr>
            </w:pPr>
            <w:r>
              <w:rPr>
                <w:rFonts w:hint="eastAsia" w:ascii="仿宋" w:hAnsi="仿宋" w:eastAsia="仿宋" w:cs="仿宋"/>
                <w:position w:val="-4"/>
                <w:sz w:val="28"/>
                <w:szCs w:val="28"/>
              </w:rPr>
              <w:t>——</w:t>
            </w:r>
          </w:p>
        </w:tc>
        <w:tc>
          <w:tcPr>
            <w:tcW w:w="1771" w:type="dxa"/>
            <w:vAlign w:val="top"/>
          </w:tcPr>
          <w:p>
            <w:pPr>
              <w:pStyle w:val="65"/>
              <w:spacing w:before="121" w:line="217" w:lineRule="auto"/>
              <w:ind w:left="304"/>
              <w:rPr>
                <w:rFonts w:hint="eastAsia" w:ascii="仿宋" w:hAnsi="仿宋" w:eastAsia="仿宋" w:cs="仿宋"/>
                <w:sz w:val="28"/>
                <w:szCs w:val="28"/>
              </w:rPr>
            </w:pPr>
            <w:r>
              <w:rPr>
                <w:rFonts w:hint="eastAsia" w:ascii="仿宋" w:hAnsi="仿宋" w:eastAsia="仿宋" w:cs="仿宋"/>
                <w:spacing w:val="-5"/>
                <w:sz w:val="28"/>
                <w:szCs w:val="28"/>
              </w:rPr>
              <w:t>宜综合设置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continue"/>
            <w:tcBorders>
              <w:top w:val="nil"/>
            </w:tcBorders>
            <w:vAlign w:val="top"/>
          </w:tcPr>
          <w:p>
            <w:pPr>
              <w:rPr>
                <w:rFonts w:hint="eastAsia" w:ascii="仿宋" w:hAnsi="仿宋" w:eastAsia="仿宋" w:cs="仿宋"/>
                <w:sz w:val="28"/>
                <w:szCs w:val="28"/>
              </w:rPr>
            </w:pPr>
          </w:p>
        </w:tc>
        <w:tc>
          <w:tcPr>
            <w:tcW w:w="2408" w:type="dxa"/>
            <w:vAlign w:val="top"/>
          </w:tcPr>
          <w:p>
            <w:pPr>
              <w:pStyle w:val="65"/>
              <w:spacing w:before="120" w:line="216" w:lineRule="auto"/>
              <w:ind w:left="726"/>
              <w:rPr>
                <w:rFonts w:hint="eastAsia" w:ascii="仿宋" w:hAnsi="仿宋" w:eastAsia="仿宋" w:cs="仿宋"/>
                <w:sz w:val="28"/>
                <w:szCs w:val="28"/>
              </w:rPr>
            </w:pPr>
            <w:r>
              <w:rPr>
                <w:rFonts w:hint="eastAsia" w:ascii="仿宋" w:hAnsi="仿宋" w:eastAsia="仿宋" w:cs="仿宋"/>
                <w:spacing w:val="-2"/>
                <w:sz w:val="28"/>
                <w:szCs w:val="28"/>
              </w:rPr>
              <w:t>健身广场</w:t>
            </w:r>
          </w:p>
        </w:tc>
        <w:tc>
          <w:tcPr>
            <w:tcW w:w="1621" w:type="dxa"/>
            <w:vAlign w:val="top"/>
          </w:tcPr>
          <w:p>
            <w:pPr>
              <w:pStyle w:val="65"/>
              <w:spacing w:before="232" w:line="163" w:lineRule="exact"/>
              <w:ind w:left="589"/>
              <w:rPr>
                <w:rFonts w:hint="eastAsia" w:ascii="仿宋" w:hAnsi="仿宋" w:eastAsia="仿宋" w:cs="仿宋"/>
                <w:sz w:val="28"/>
                <w:szCs w:val="28"/>
              </w:rPr>
            </w:pPr>
            <w:r>
              <w:rPr>
                <w:rFonts w:hint="eastAsia" w:ascii="仿宋" w:hAnsi="仿宋" w:eastAsia="仿宋" w:cs="仿宋"/>
                <w:position w:val="-4"/>
                <w:sz w:val="28"/>
                <w:szCs w:val="28"/>
              </w:rPr>
              <w:t>——</w:t>
            </w:r>
          </w:p>
        </w:tc>
        <w:tc>
          <w:tcPr>
            <w:tcW w:w="1622" w:type="dxa"/>
            <w:vAlign w:val="top"/>
          </w:tcPr>
          <w:p>
            <w:pPr>
              <w:spacing w:before="103" w:line="266" w:lineRule="exact"/>
              <w:ind w:left="724"/>
              <w:rPr>
                <w:rFonts w:hint="eastAsia" w:ascii="仿宋" w:hAnsi="仿宋" w:eastAsia="仿宋" w:cs="仿宋"/>
                <w:sz w:val="28"/>
                <w:szCs w:val="28"/>
              </w:rPr>
            </w:pPr>
            <w:r>
              <w:rPr>
                <w:rFonts w:hint="eastAsia" w:ascii="仿宋" w:hAnsi="仿宋" w:eastAsia="仿宋" w:cs="仿宋"/>
                <w:position w:val="-5"/>
                <w:sz w:val="28"/>
                <w:szCs w:val="28"/>
              </w:rPr>
              <w:drawing>
                <wp:inline distT="0" distB="0" distL="0" distR="0">
                  <wp:extent cx="122555" cy="168275"/>
                  <wp:effectExtent l="0" t="0" r="10795" b="2540"/>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15"/>
                          <a:stretch>
                            <a:fillRect/>
                          </a:stretch>
                        </pic:blipFill>
                        <pic:spPr>
                          <a:xfrm>
                            <a:off x="0" y="0"/>
                            <a:ext cx="122986" cy="168859"/>
                          </a:xfrm>
                          <a:prstGeom prst="rect">
                            <a:avLst/>
                          </a:prstGeom>
                        </pic:spPr>
                      </pic:pic>
                    </a:graphicData>
                  </a:graphic>
                </wp:inline>
              </w:drawing>
            </w:r>
          </w:p>
        </w:tc>
        <w:tc>
          <w:tcPr>
            <w:tcW w:w="1771" w:type="dxa"/>
            <w:vAlign w:val="top"/>
          </w:tcPr>
          <w:p>
            <w:pPr>
              <w:pStyle w:val="65"/>
              <w:spacing w:before="120" w:line="217" w:lineRule="auto"/>
              <w:ind w:left="304"/>
              <w:rPr>
                <w:rFonts w:hint="eastAsia" w:ascii="仿宋" w:hAnsi="仿宋" w:eastAsia="仿宋" w:cs="仿宋"/>
                <w:sz w:val="28"/>
                <w:szCs w:val="28"/>
              </w:rPr>
            </w:pPr>
            <w:r>
              <w:rPr>
                <w:rFonts w:hint="eastAsia" w:ascii="仿宋" w:hAnsi="仿宋" w:eastAsia="仿宋" w:cs="仿宋"/>
                <w:spacing w:val="-5"/>
                <w:sz w:val="28"/>
                <w:szCs w:val="28"/>
              </w:rPr>
              <w:t>宜综合设置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restart"/>
            <w:tcBorders>
              <w:bottom w:val="nil"/>
            </w:tcBorders>
            <w:vAlign w:val="top"/>
          </w:tcPr>
          <w:p>
            <w:pPr>
              <w:spacing w:line="258" w:lineRule="auto"/>
              <w:rPr>
                <w:rFonts w:hint="eastAsia" w:ascii="仿宋" w:hAnsi="仿宋" w:eastAsia="仿宋" w:cs="仿宋"/>
                <w:sz w:val="28"/>
                <w:szCs w:val="28"/>
              </w:rPr>
            </w:pPr>
          </w:p>
          <w:p>
            <w:pPr>
              <w:spacing w:line="258" w:lineRule="auto"/>
              <w:rPr>
                <w:rFonts w:hint="eastAsia" w:ascii="仿宋" w:hAnsi="仿宋" w:eastAsia="仿宋" w:cs="仿宋"/>
                <w:sz w:val="28"/>
                <w:szCs w:val="28"/>
              </w:rPr>
            </w:pPr>
          </w:p>
          <w:p>
            <w:pPr>
              <w:pStyle w:val="65"/>
              <w:spacing w:before="78" w:line="214" w:lineRule="auto"/>
              <w:ind w:left="244"/>
              <w:rPr>
                <w:rFonts w:hint="eastAsia" w:ascii="仿宋" w:hAnsi="仿宋" w:eastAsia="仿宋" w:cs="仿宋"/>
                <w:sz w:val="28"/>
                <w:szCs w:val="28"/>
              </w:rPr>
            </w:pPr>
            <w:r>
              <w:rPr>
                <w:rFonts w:hint="eastAsia" w:ascii="仿宋" w:hAnsi="仿宋" w:eastAsia="仿宋" w:cs="仿宋"/>
                <w:spacing w:val="-5"/>
                <w:sz w:val="28"/>
                <w:szCs w:val="28"/>
              </w:rPr>
              <w:t>商业服务</w:t>
            </w:r>
          </w:p>
        </w:tc>
        <w:tc>
          <w:tcPr>
            <w:tcW w:w="2408" w:type="dxa"/>
            <w:vAlign w:val="top"/>
          </w:tcPr>
          <w:p>
            <w:pPr>
              <w:pStyle w:val="65"/>
              <w:spacing w:before="120" w:line="216" w:lineRule="auto"/>
              <w:ind w:left="847"/>
              <w:rPr>
                <w:rFonts w:hint="eastAsia" w:ascii="仿宋" w:hAnsi="仿宋" w:eastAsia="仿宋" w:cs="仿宋"/>
                <w:sz w:val="28"/>
                <w:szCs w:val="28"/>
              </w:rPr>
            </w:pPr>
            <w:r>
              <w:rPr>
                <w:rFonts w:hint="eastAsia" w:ascii="仿宋" w:hAnsi="仿宋" w:eastAsia="仿宋" w:cs="仿宋"/>
                <w:spacing w:val="-3"/>
                <w:sz w:val="28"/>
                <w:szCs w:val="28"/>
              </w:rPr>
              <w:t>菜市场</w:t>
            </w:r>
          </w:p>
        </w:tc>
        <w:tc>
          <w:tcPr>
            <w:tcW w:w="1621" w:type="dxa"/>
            <w:vAlign w:val="top"/>
          </w:tcPr>
          <w:p>
            <w:pPr>
              <w:spacing w:before="111" w:line="205" w:lineRule="auto"/>
              <w:ind w:left="720"/>
              <w:rPr>
                <w:rFonts w:hint="eastAsia" w:ascii="仿宋" w:hAnsi="仿宋" w:eastAsia="仿宋" w:cs="仿宋"/>
                <w:sz w:val="28"/>
                <w:szCs w:val="28"/>
              </w:rPr>
            </w:pPr>
            <w:r>
              <w:rPr>
                <w:rFonts w:hint="eastAsia" w:ascii="仿宋" w:hAnsi="仿宋" w:eastAsia="仿宋" w:cs="仿宋"/>
                <w:spacing w:val="37"/>
                <w:sz w:val="28"/>
                <w:szCs w:val="28"/>
              </w:rPr>
              <w:t>●</w:t>
            </w:r>
          </w:p>
        </w:tc>
        <w:tc>
          <w:tcPr>
            <w:tcW w:w="1622" w:type="dxa"/>
            <w:vAlign w:val="top"/>
          </w:tcPr>
          <w:p>
            <w:pPr>
              <w:pStyle w:val="65"/>
              <w:spacing w:before="232" w:line="163" w:lineRule="exact"/>
              <w:ind w:left="590"/>
              <w:rPr>
                <w:rFonts w:hint="eastAsia" w:ascii="仿宋" w:hAnsi="仿宋" w:eastAsia="仿宋" w:cs="仿宋"/>
                <w:sz w:val="28"/>
                <w:szCs w:val="28"/>
              </w:rPr>
            </w:pPr>
            <w:r>
              <w:rPr>
                <w:rFonts w:hint="eastAsia" w:ascii="仿宋" w:hAnsi="仿宋" w:eastAsia="仿宋" w:cs="仿宋"/>
                <w:position w:val="-4"/>
                <w:sz w:val="28"/>
                <w:szCs w:val="28"/>
              </w:rPr>
              <w:t>——</w:t>
            </w:r>
          </w:p>
        </w:tc>
        <w:tc>
          <w:tcPr>
            <w:tcW w:w="1771" w:type="dxa"/>
            <w:vAlign w:val="top"/>
          </w:tcPr>
          <w:p>
            <w:pPr>
              <w:pStyle w:val="65"/>
              <w:spacing w:before="120" w:line="217" w:lineRule="auto"/>
              <w:ind w:left="302"/>
              <w:rPr>
                <w:rFonts w:hint="eastAsia" w:ascii="仿宋" w:hAnsi="仿宋" w:eastAsia="仿宋" w:cs="仿宋"/>
                <w:sz w:val="28"/>
                <w:szCs w:val="28"/>
              </w:rPr>
            </w:pPr>
            <w:r>
              <w:rPr>
                <w:rFonts w:hint="eastAsia" w:ascii="仿宋" w:hAnsi="仿宋" w:eastAsia="仿宋" w:cs="仿宋"/>
                <w:spacing w:val="-4"/>
                <w:sz w:val="28"/>
                <w:szCs w:val="28"/>
              </w:rPr>
              <w:t>可综合设置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 w:hRule="atLeast"/>
        </w:trPr>
        <w:tc>
          <w:tcPr>
            <w:tcW w:w="1417" w:type="dxa"/>
            <w:vMerge w:val="continue"/>
            <w:tcBorders>
              <w:top w:val="nil"/>
              <w:bottom w:val="nil"/>
            </w:tcBorders>
            <w:vAlign w:val="top"/>
          </w:tcPr>
          <w:p>
            <w:pPr>
              <w:rPr>
                <w:rFonts w:hint="eastAsia" w:ascii="仿宋" w:hAnsi="仿宋" w:eastAsia="仿宋" w:cs="仿宋"/>
                <w:sz w:val="28"/>
                <w:szCs w:val="28"/>
              </w:rPr>
            </w:pPr>
          </w:p>
        </w:tc>
        <w:tc>
          <w:tcPr>
            <w:tcW w:w="2408" w:type="dxa"/>
            <w:vAlign w:val="top"/>
          </w:tcPr>
          <w:p>
            <w:pPr>
              <w:pStyle w:val="65"/>
              <w:spacing w:before="119" w:line="214" w:lineRule="auto"/>
              <w:ind w:left="500"/>
              <w:rPr>
                <w:rFonts w:hint="eastAsia" w:ascii="仿宋" w:hAnsi="仿宋" w:eastAsia="仿宋" w:cs="仿宋"/>
                <w:sz w:val="28"/>
                <w:szCs w:val="28"/>
              </w:rPr>
            </w:pPr>
            <w:r>
              <w:rPr>
                <w:rFonts w:hint="eastAsia" w:ascii="仿宋" w:hAnsi="仿宋" w:eastAsia="仿宋" w:cs="仿宋"/>
                <w:spacing w:val="-4"/>
                <w:sz w:val="28"/>
                <w:szCs w:val="28"/>
              </w:rPr>
              <w:t>邮政营业场所</w:t>
            </w:r>
          </w:p>
        </w:tc>
        <w:tc>
          <w:tcPr>
            <w:tcW w:w="1621" w:type="dxa"/>
            <w:vAlign w:val="top"/>
          </w:tcPr>
          <w:p>
            <w:pPr>
              <w:spacing w:before="111" w:line="205" w:lineRule="auto"/>
              <w:ind w:left="720"/>
              <w:rPr>
                <w:rFonts w:hint="eastAsia" w:ascii="仿宋" w:hAnsi="仿宋" w:eastAsia="仿宋" w:cs="仿宋"/>
                <w:sz w:val="28"/>
                <w:szCs w:val="28"/>
              </w:rPr>
            </w:pPr>
            <w:r>
              <w:rPr>
                <w:rFonts w:hint="eastAsia" w:ascii="仿宋" w:hAnsi="仿宋" w:eastAsia="仿宋" w:cs="仿宋"/>
                <w:spacing w:val="37"/>
                <w:sz w:val="28"/>
                <w:szCs w:val="28"/>
              </w:rPr>
              <w:t>●</w:t>
            </w:r>
          </w:p>
        </w:tc>
        <w:tc>
          <w:tcPr>
            <w:tcW w:w="1622" w:type="dxa"/>
            <w:vAlign w:val="top"/>
          </w:tcPr>
          <w:p>
            <w:pPr>
              <w:pStyle w:val="65"/>
              <w:spacing w:before="232" w:line="162" w:lineRule="exact"/>
              <w:ind w:left="590"/>
              <w:rPr>
                <w:rFonts w:hint="eastAsia" w:ascii="仿宋" w:hAnsi="仿宋" w:eastAsia="仿宋" w:cs="仿宋"/>
                <w:sz w:val="28"/>
                <w:szCs w:val="28"/>
              </w:rPr>
            </w:pPr>
            <w:r>
              <w:rPr>
                <w:rFonts w:hint="eastAsia" w:ascii="仿宋" w:hAnsi="仿宋" w:eastAsia="仿宋" w:cs="仿宋"/>
                <w:position w:val="-4"/>
                <w:sz w:val="28"/>
                <w:szCs w:val="28"/>
              </w:rPr>
              <w:t>——</w:t>
            </w:r>
          </w:p>
        </w:tc>
        <w:tc>
          <w:tcPr>
            <w:tcW w:w="1771" w:type="dxa"/>
            <w:vAlign w:val="top"/>
          </w:tcPr>
          <w:p>
            <w:pPr>
              <w:pStyle w:val="65"/>
              <w:spacing w:before="120" w:line="217" w:lineRule="auto"/>
              <w:ind w:left="302"/>
              <w:rPr>
                <w:rFonts w:hint="eastAsia" w:ascii="仿宋" w:hAnsi="仿宋" w:eastAsia="仿宋" w:cs="仿宋"/>
                <w:sz w:val="28"/>
                <w:szCs w:val="28"/>
              </w:rPr>
            </w:pPr>
            <w:r>
              <w:rPr>
                <w:rFonts w:hint="eastAsia" w:ascii="仿宋" w:hAnsi="仿宋" w:eastAsia="仿宋" w:cs="仿宋"/>
                <w:spacing w:val="-4"/>
                <w:sz w:val="28"/>
                <w:szCs w:val="28"/>
              </w:rPr>
              <w:t>可综合设置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5" w:hRule="atLeast"/>
        </w:trPr>
        <w:tc>
          <w:tcPr>
            <w:tcW w:w="1417" w:type="dxa"/>
            <w:vMerge w:val="continue"/>
            <w:tcBorders>
              <w:top w:val="nil"/>
              <w:bottom w:val="nil"/>
            </w:tcBorders>
            <w:vAlign w:val="top"/>
          </w:tcPr>
          <w:p>
            <w:pPr>
              <w:rPr>
                <w:rFonts w:hint="eastAsia" w:ascii="仿宋" w:hAnsi="仿宋" w:eastAsia="仿宋" w:cs="仿宋"/>
                <w:sz w:val="28"/>
                <w:szCs w:val="28"/>
              </w:rPr>
            </w:pPr>
          </w:p>
        </w:tc>
        <w:tc>
          <w:tcPr>
            <w:tcW w:w="2408" w:type="dxa"/>
            <w:vAlign w:val="top"/>
          </w:tcPr>
          <w:p>
            <w:pPr>
              <w:pStyle w:val="65"/>
              <w:spacing w:before="119" w:line="214" w:lineRule="auto"/>
              <w:ind w:left="609"/>
              <w:rPr>
                <w:rFonts w:hint="eastAsia" w:ascii="仿宋" w:hAnsi="仿宋" w:eastAsia="仿宋" w:cs="仿宋"/>
                <w:sz w:val="28"/>
                <w:szCs w:val="28"/>
              </w:rPr>
            </w:pPr>
            <w:r>
              <w:rPr>
                <w:rFonts w:hint="eastAsia" w:ascii="仿宋" w:hAnsi="仿宋" w:eastAsia="仿宋" w:cs="仿宋"/>
                <w:spacing w:val="-2"/>
                <w:sz w:val="28"/>
                <w:szCs w:val="28"/>
              </w:rPr>
              <w:t>便民农家店</w:t>
            </w:r>
          </w:p>
        </w:tc>
        <w:tc>
          <w:tcPr>
            <w:tcW w:w="1621" w:type="dxa"/>
            <w:vAlign w:val="top"/>
          </w:tcPr>
          <w:p>
            <w:pPr>
              <w:pStyle w:val="65"/>
              <w:spacing w:before="231" w:line="163" w:lineRule="exact"/>
              <w:ind w:left="589"/>
              <w:rPr>
                <w:rFonts w:hint="eastAsia" w:ascii="仿宋" w:hAnsi="仿宋" w:eastAsia="仿宋" w:cs="仿宋"/>
                <w:sz w:val="28"/>
                <w:szCs w:val="28"/>
              </w:rPr>
            </w:pPr>
            <w:r>
              <w:rPr>
                <w:rFonts w:hint="eastAsia" w:ascii="仿宋" w:hAnsi="仿宋" w:eastAsia="仿宋" w:cs="仿宋"/>
                <w:position w:val="-4"/>
                <w:sz w:val="28"/>
                <w:szCs w:val="28"/>
              </w:rPr>
              <w:t>——</w:t>
            </w:r>
          </w:p>
        </w:tc>
        <w:tc>
          <w:tcPr>
            <w:tcW w:w="1622" w:type="dxa"/>
            <w:vAlign w:val="top"/>
          </w:tcPr>
          <w:p>
            <w:pPr>
              <w:spacing w:before="109" w:line="207" w:lineRule="auto"/>
              <w:ind w:left="724"/>
              <w:rPr>
                <w:rFonts w:hint="eastAsia" w:ascii="仿宋" w:hAnsi="仿宋" w:eastAsia="仿宋" w:cs="仿宋"/>
                <w:sz w:val="28"/>
                <w:szCs w:val="28"/>
              </w:rPr>
            </w:pPr>
            <w:r>
              <w:rPr>
                <w:rFonts w:hint="eastAsia" w:ascii="仿宋" w:hAnsi="仿宋" w:eastAsia="仿宋" w:cs="仿宋"/>
                <w:spacing w:val="37"/>
                <w:sz w:val="28"/>
                <w:szCs w:val="28"/>
              </w:rPr>
              <w:t>●</w:t>
            </w:r>
          </w:p>
        </w:tc>
        <w:tc>
          <w:tcPr>
            <w:tcW w:w="1771" w:type="dxa"/>
            <w:vAlign w:val="top"/>
          </w:tcPr>
          <w:p>
            <w:pPr>
              <w:pStyle w:val="65"/>
              <w:spacing w:before="119" w:line="217" w:lineRule="auto"/>
              <w:ind w:left="304"/>
              <w:rPr>
                <w:rFonts w:hint="eastAsia" w:ascii="仿宋" w:hAnsi="仿宋" w:eastAsia="仿宋" w:cs="仿宋"/>
                <w:sz w:val="28"/>
                <w:szCs w:val="28"/>
              </w:rPr>
            </w:pPr>
            <w:r>
              <w:rPr>
                <w:rFonts w:hint="eastAsia" w:ascii="仿宋" w:hAnsi="仿宋" w:eastAsia="仿宋" w:cs="仿宋"/>
                <w:spacing w:val="-5"/>
                <w:sz w:val="28"/>
                <w:szCs w:val="28"/>
              </w:rPr>
              <w:t>宜综合设置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5" w:hRule="atLeast"/>
        </w:trPr>
        <w:tc>
          <w:tcPr>
            <w:tcW w:w="1417" w:type="dxa"/>
            <w:tcBorders>
              <w:top w:val="nil"/>
              <w:bottom w:val="nil"/>
            </w:tcBorders>
            <w:vAlign w:val="top"/>
          </w:tcPr>
          <w:p>
            <w:pPr>
              <w:rPr>
                <w:rFonts w:hint="eastAsia" w:ascii="仿宋" w:hAnsi="仿宋" w:eastAsia="仿宋" w:cs="仿宋"/>
                <w:sz w:val="28"/>
                <w:szCs w:val="28"/>
              </w:rPr>
            </w:pPr>
          </w:p>
        </w:tc>
        <w:tc>
          <w:tcPr>
            <w:tcW w:w="2408" w:type="dxa"/>
            <w:vAlign w:val="top"/>
          </w:tcPr>
          <w:p>
            <w:pPr>
              <w:pStyle w:val="65"/>
              <w:spacing w:before="118" w:line="214" w:lineRule="auto"/>
              <w:ind w:left="371" w:leftChars="0"/>
              <w:rPr>
                <w:rFonts w:hint="eastAsia" w:ascii="仿宋" w:hAnsi="仿宋" w:eastAsia="仿宋" w:cs="仿宋"/>
                <w:spacing w:val="-2"/>
                <w:sz w:val="28"/>
                <w:szCs w:val="28"/>
              </w:rPr>
            </w:pPr>
            <w:r>
              <w:rPr>
                <w:rFonts w:hint="eastAsia" w:ascii="仿宋" w:hAnsi="仿宋" w:eastAsia="仿宋" w:cs="仿宋"/>
                <w:spacing w:val="-2"/>
                <w:sz w:val="28"/>
                <w:szCs w:val="28"/>
              </w:rPr>
              <w:t>金融电信服务点</w:t>
            </w:r>
          </w:p>
        </w:tc>
        <w:tc>
          <w:tcPr>
            <w:tcW w:w="1621" w:type="dxa"/>
            <w:vAlign w:val="top"/>
          </w:tcPr>
          <w:p>
            <w:pPr>
              <w:pStyle w:val="65"/>
              <w:spacing w:before="230" w:line="163" w:lineRule="exact"/>
              <w:ind w:left="589" w:leftChars="0"/>
              <w:rPr>
                <w:rFonts w:hint="eastAsia" w:ascii="仿宋" w:hAnsi="仿宋" w:eastAsia="仿宋" w:cs="仿宋"/>
                <w:position w:val="-4"/>
                <w:sz w:val="28"/>
                <w:szCs w:val="28"/>
              </w:rPr>
            </w:pPr>
            <w:r>
              <w:rPr>
                <w:rFonts w:hint="eastAsia" w:ascii="仿宋" w:hAnsi="仿宋" w:eastAsia="仿宋" w:cs="仿宋"/>
                <w:position w:val="-4"/>
                <w:sz w:val="28"/>
                <w:szCs w:val="28"/>
              </w:rPr>
              <w:t>——</w:t>
            </w:r>
          </w:p>
        </w:tc>
        <w:tc>
          <w:tcPr>
            <w:tcW w:w="1622" w:type="dxa"/>
            <w:vAlign w:val="top"/>
          </w:tcPr>
          <w:p>
            <w:pPr>
              <w:spacing w:before="101" w:line="266" w:lineRule="exact"/>
              <w:ind w:left="724" w:leftChars="0"/>
              <w:rPr>
                <w:rFonts w:hint="eastAsia" w:ascii="仿宋" w:hAnsi="仿宋" w:eastAsia="仿宋" w:cs="仿宋"/>
                <w:spacing w:val="37"/>
                <w:sz w:val="28"/>
                <w:szCs w:val="28"/>
              </w:rPr>
            </w:pPr>
            <w:r>
              <w:rPr>
                <w:rFonts w:hint="eastAsia" w:ascii="仿宋" w:hAnsi="仿宋" w:eastAsia="仿宋" w:cs="仿宋"/>
                <w:position w:val="-5"/>
                <w:sz w:val="28"/>
                <w:szCs w:val="28"/>
              </w:rPr>
              <w:drawing>
                <wp:inline distT="0" distB="0" distL="0" distR="0">
                  <wp:extent cx="122555" cy="168275"/>
                  <wp:effectExtent l="0" t="0" r="10795" b="2540"/>
                  <wp:docPr id="9" name="IM 26"/>
                  <wp:cNvGraphicFramePr/>
                  <a:graphic xmlns:a="http://schemas.openxmlformats.org/drawingml/2006/main">
                    <a:graphicData uri="http://schemas.openxmlformats.org/drawingml/2006/picture">
                      <pic:pic xmlns:pic="http://schemas.openxmlformats.org/drawingml/2006/picture">
                        <pic:nvPicPr>
                          <pic:cNvPr id="9" name="IM 26"/>
                          <pic:cNvPicPr/>
                        </pic:nvPicPr>
                        <pic:blipFill>
                          <a:blip r:embed="rId14"/>
                          <a:stretch>
                            <a:fillRect/>
                          </a:stretch>
                        </pic:blipFill>
                        <pic:spPr>
                          <a:xfrm>
                            <a:off x="0" y="0"/>
                            <a:ext cx="122986" cy="168859"/>
                          </a:xfrm>
                          <a:prstGeom prst="rect">
                            <a:avLst/>
                          </a:prstGeom>
                        </pic:spPr>
                      </pic:pic>
                    </a:graphicData>
                  </a:graphic>
                </wp:inline>
              </w:drawing>
            </w:r>
          </w:p>
        </w:tc>
        <w:tc>
          <w:tcPr>
            <w:tcW w:w="1771" w:type="dxa"/>
            <w:vAlign w:val="top"/>
          </w:tcPr>
          <w:p>
            <w:pPr>
              <w:pStyle w:val="65"/>
              <w:spacing w:before="119" w:line="217" w:lineRule="auto"/>
              <w:ind w:left="304" w:leftChars="0"/>
              <w:rPr>
                <w:rFonts w:hint="eastAsia" w:ascii="仿宋" w:hAnsi="仿宋" w:eastAsia="仿宋" w:cs="仿宋"/>
                <w:spacing w:val="-5"/>
                <w:sz w:val="28"/>
                <w:szCs w:val="28"/>
              </w:rPr>
            </w:pPr>
            <w:r>
              <w:rPr>
                <w:rFonts w:hint="eastAsia" w:ascii="仿宋" w:hAnsi="仿宋" w:eastAsia="仿宋" w:cs="仿宋"/>
                <w:spacing w:val="-5"/>
                <w:sz w:val="28"/>
                <w:szCs w:val="28"/>
              </w:rPr>
              <w:t>宜综合设置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5" w:hRule="atLeast"/>
        </w:trPr>
        <w:tc>
          <w:tcPr>
            <w:tcW w:w="1417" w:type="dxa"/>
            <w:tcBorders>
              <w:top w:val="nil"/>
            </w:tcBorders>
            <w:vAlign w:val="top"/>
          </w:tcPr>
          <w:p>
            <w:pPr>
              <w:pStyle w:val="65"/>
              <w:spacing w:before="118" w:line="214" w:lineRule="auto"/>
              <w:ind w:left="234" w:leftChars="0"/>
              <w:rPr>
                <w:rFonts w:hint="eastAsia" w:ascii="仿宋" w:hAnsi="仿宋" w:eastAsia="仿宋" w:cs="仿宋"/>
                <w:sz w:val="28"/>
                <w:szCs w:val="28"/>
              </w:rPr>
            </w:pPr>
            <w:r>
              <w:rPr>
                <w:rFonts w:hint="eastAsia" w:ascii="仿宋" w:hAnsi="仿宋" w:eastAsia="仿宋" w:cs="仿宋"/>
                <w:spacing w:val="-3"/>
                <w:sz w:val="28"/>
                <w:szCs w:val="28"/>
              </w:rPr>
              <w:t>行政管理</w:t>
            </w:r>
          </w:p>
        </w:tc>
        <w:tc>
          <w:tcPr>
            <w:tcW w:w="2408" w:type="dxa"/>
            <w:vAlign w:val="top"/>
          </w:tcPr>
          <w:p>
            <w:pPr>
              <w:pStyle w:val="65"/>
              <w:spacing w:before="118" w:line="214" w:lineRule="auto"/>
              <w:ind w:left="849" w:leftChars="0"/>
              <w:rPr>
                <w:rFonts w:hint="eastAsia" w:ascii="仿宋" w:hAnsi="仿宋" w:eastAsia="仿宋" w:cs="仿宋"/>
                <w:spacing w:val="-2"/>
                <w:sz w:val="28"/>
                <w:szCs w:val="28"/>
              </w:rPr>
            </w:pPr>
            <w:r>
              <w:rPr>
                <w:rFonts w:hint="eastAsia" w:ascii="仿宋" w:hAnsi="仿宋" w:eastAsia="仿宋" w:cs="仿宋"/>
                <w:spacing w:val="-4"/>
                <w:sz w:val="28"/>
                <w:szCs w:val="28"/>
              </w:rPr>
              <w:t>村务室</w:t>
            </w:r>
          </w:p>
        </w:tc>
        <w:tc>
          <w:tcPr>
            <w:tcW w:w="1621" w:type="dxa"/>
            <w:vAlign w:val="top"/>
          </w:tcPr>
          <w:p>
            <w:pPr>
              <w:pStyle w:val="65"/>
              <w:spacing w:before="231" w:line="163" w:lineRule="exact"/>
              <w:ind w:left="589" w:leftChars="0"/>
              <w:rPr>
                <w:rFonts w:hint="eastAsia" w:ascii="仿宋" w:hAnsi="仿宋" w:eastAsia="仿宋" w:cs="仿宋"/>
                <w:position w:val="-4"/>
                <w:sz w:val="28"/>
                <w:szCs w:val="28"/>
              </w:rPr>
            </w:pPr>
            <w:r>
              <w:rPr>
                <w:rFonts w:hint="eastAsia" w:ascii="仿宋" w:hAnsi="仿宋" w:eastAsia="仿宋" w:cs="仿宋"/>
                <w:position w:val="-4"/>
                <w:sz w:val="28"/>
                <w:szCs w:val="28"/>
              </w:rPr>
              <w:t>——</w:t>
            </w:r>
          </w:p>
        </w:tc>
        <w:tc>
          <w:tcPr>
            <w:tcW w:w="1622" w:type="dxa"/>
            <w:vAlign w:val="top"/>
          </w:tcPr>
          <w:p>
            <w:pPr>
              <w:spacing w:before="110" w:line="207" w:lineRule="auto"/>
              <w:ind w:left="724" w:leftChars="0"/>
              <w:rPr>
                <w:rFonts w:hint="eastAsia" w:ascii="仿宋" w:hAnsi="仿宋" w:eastAsia="仿宋" w:cs="仿宋"/>
                <w:spacing w:val="37"/>
                <w:sz w:val="28"/>
                <w:szCs w:val="28"/>
              </w:rPr>
            </w:pPr>
            <w:r>
              <w:rPr>
                <w:rFonts w:hint="eastAsia" w:ascii="仿宋" w:hAnsi="仿宋" w:eastAsia="仿宋" w:cs="仿宋"/>
                <w:spacing w:val="37"/>
                <w:sz w:val="28"/>
                <w:szCs w:val="28"/>
              </w:rPr>
              <w:t>●</w:t>
            </w:r>
          </w:p>
        </w:tc>
        <w:tc>
          <w:tcPr>
            <w:tcW w:w="1771" w:type="dxa"/>
            <w:vAlign w:val="top"/>
          </w:tcPr>
          <w:p>
            <w:pPr>
              <w:pStyle w:val="65"/>
              <w:spacing w:before="119" w:line="217" w:lineRule="auto"/>
              <w:ind w:left="304" w:leftChars="0"/>
              <w:rPr>
                <w:rFonts w:hint="eastAsia" w:ascii="仿宋" w:hAnsi="仿宋" w:eastAsia="仿宋" w:cs="仿宋"/>
                <w:spacing w:val="-5"/>
                <w:sz w:val="28"/>
                <w:szCs w:val="28"/>
              </w:rPr>
            </w:pPr>
            <w:r>
              <w:rPr>
                <w:rFonts w:hint="eastAsia" w:ascii="仿宋" w:hAnsi="仿宋" w:eastAsia="仿宋" w:cs="仿宋"/>
                <w:spacing w:val="-5"/>
                <w:sz w:val="28"/>
                <w:szCs w:val="28"/>
              </w:rPr>
              <w:t>宜综合设置</w:t>
            </w:r>
          </w:p>
        </w:tc>
      </w:tr>
    </w:tbl>
    <w:p>
      <w:pPr>
        <w:pageBreakBefore w:val="0"/>
        <w:widowControl w:val="0"/>
        <w:kinsoku/>
        <w:wordWrap/>
        <w:overflowPunct/>
        <w:topLinePunct w:val="0"/>
        <w:autoSpaceDE w:val="0"/>
        <w:autoSpaceDN w:val="0"/>
        <w:bidi w:val="0"/>
        <w:adjustRightInd/>
        <w:snapToGrid/>
        <w:spacing w:line="360" w:lineRule="auto"/>
        <w:textAlignment w:val="auto"/>
        <w:rPr>
          <w:rFonts w:hint="eastAsia" w:ascii="仿宋" w:hAnsi="仿宋" w:eastAsia="仿宋" w:cs="仿宋"/>
          <w:sz w:val="28"/>
          <w:szCs w:val="28"/>
        </w:rPr>
      </w:pPr>
      <w:r>
        <w:rPr>
          <w:rFonts w:hint="eastAsia" w:ascii="仿宋" w:hAnsi="仿宋" w:eastAsia="仿宋" w:cs="仿宋"/>
          <w:spacing w:val="1"/>
          <w:sz w:val="28"/>
          <w:szCs w:val="28"/>
        </w:rPr>
        <w:t>注： ●——一般情况下建设；</w:t>
      </w:r>
      <w:r>
        <w:rPr>
          <w:rFonts w:hint="eastAsia" w:ascii="仿宋" w:hAnsi="仿宋" w:eastAsia="仿宋" w:cs="仿宋"/>
          <w:spacing w:val="-85"/>
          <w:sz w:val="28"/>
          <w:szCs w:val="28"/>
        </w:rPr>
        <w:t xml:space="preserve"> </w:t>
      </w:r>
      <w:r>
        <w:rPr>
          <w:rFonts w:hint="eastAsia" w:ascii="仿宋" w:hAnsi="仿宋" w:eastAsia="仿宋" w:cs="仿宋"/>
          <w:position w:val="-3"/>
          <w:sz w:val="28"/>
          <w:szCs w:val="28"/>
        </w:rPr>
        <w:drawing>
          <wp:inline distT="0" distB="0" distL="0" distR="0">
            <wp:extent cx="122555" cy="168275"/>
            <wp:effectExtent l="0" t="0" r="10795" b="2540"/>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17"/>
                    <a:stretch>
                      <a:fillRect/>
                    </a:stretch>
                  </pic:blipFill>
                  <pic:spPr>
                    <a:xfrm>
                      <a:off x="0" y="0"/>
                      <a:ext cx="122986" cy="168859"/>
                    </a:xfrm>
                    <a:prstGeom prst="rect">
                      <a:avLst/>
                    </a:prstGeom>
                  </pic:spPr>
                </pic:pic>
              </a:graphicData>
            </a:graphic>
          </wp:inline>
        </w:drawing>
      </w:r>
      <w:r>
        <w:rPr>
          <w:rFonts w:hint="eastAsia" w:ascii="仿宋" w:hAnsi="仿宋" w:eastAsia="仿宋" w:cs="仿宋"/>
          <w:spacing w:val="1"/>
          <w:sz w:val="28"/>
          <w:szCs w:val="28"/>
        </w:rPr>
        <w:t>——有条件情况下建设。</w:t>
      </w:r>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szCs w:val="32"/>
          <w:highlight w:val="none"/>
          <w:lang w:val="en-US" w:eastAsia="zh-CN"/>
          <w14:textFill>
            <w14:solidFill>
              <w14:schemeClr w14:val="tx1"/>
            </w14:solidFill>
          </w14:textFill>
        </w:rPr>
      </w:pPr>
      <w:bookmarkStart w:id="102" w:name="bookmark14"/>
      <w:bookmarkEnd w:id="102"/>
      <w:r>
        <w:rPr>
          <w:rFonts w:hint="eastAsia" w:eastAsia="仿宋_GB2312"/>
          <w:color w:val="000000" w:themeColor="text1"/>
          <w:w w:val="105"/>
          <w:sz w:val="32"/>
          <w:szCs w:val="32"/>
          <w:highlight w:val="none"/>
          <w:lang w:val="en-US" w:eastAsia="zh-CN"/>
          <w14:textFill>
            <w14:solidFill>
              <w14:schemeClr w14:val="tx1"/>
            </w14:solidFill>
          </w14:textFill>
        </w:rPr>
        <w:t>乡村市政公用设施用地布局要求</w:t>
      </w:r>
    </w:p>
    <w:p>
      <w:pPr>
        <w:pageBreakBefore w:val="0"/>
        <w:widowControl w:val="0"/>
        <w:kinsoku/>
        <w:wordWrap/>
        <w:overflowPunct/>
        <w:topLinePunct w:val="0"/>
        <w:autoSpaceDE w:val="0"/>
        <w:autoSpaceDN w:val="0"/>
        <w:bidi w:val="0"/>
        <w:adjustRightInd/>
        <w:snapToGrid/>
        <w:spacing w:line="360" w:lineRule="auto"/>
        <w:ind w:left="142" w:firstLine="668"/>
        <w:textAlignment w:val="auto"/>
        <w:rPr>
          <w:rFonts w:ascii="FangSong_GB2312" w:hAnsi="FangSong_GB2312" w:eastAsia="FangSong_GB2312" w:cs="FangSong_GB2312"/>
          <w:sz w:val="32"/>
          <w:szCs w:val="32"/>
        </w:rPr>
      </w:pPr>
      <w:r>
        <w:rPr>
          <w:rFonts w:ascii="FangSong_GB2312" w:hAnsi="FangSong_GB2312" w:eastAsia="FangSong_GB2312" w:cs="FangSong_GB2312"/>
          <w:spacing w:val="3"/>
          <w:sz w:val="32"/>
          <w:szCs w:val="32"/>
        </w:rPr>
        <w:t>乡村市政公用设施应充分考虑地形地貌、防灾减灾、邻避距</w:t>
      </w:r>
      <w:r>
        <w:rPr>
          <w:rFonts w:ascii="FangSong_GB2312" w:hAnsi="FangSong_GB2312" w:eastAsia="FangSong_GB2312" w:cs="FangSong_GB2312"/>
          <w:spacing w:val="6"/>
          <w:sz w:val="32"/>
          <w:szCs w:val="32"/>
        </w:rPr>
        <w:t>离等要素，在满足功能需求的前提下减少对环境和生活的影响。</w:t>
      </w:r>
    </w:p>
    <w:p>
      <w:pPr>
        <w:pageBreakBefore w:val="0"/>
        <w:widowControl w:val="0"/>
        <w:kinsoku/>
        <w:wordWrap/>
        <w:overflowPunct/>
        <w:topLinePunct w:val="0"/>
        <w:autoSpaceDE w:val="0"/>
        <w:autoSpaceDN w:val="0"/>
        <w:bidi w:val="0"/>
        <w:adjustRightInd/>
        <w:snapToGrid/>
        <w:spacing w:line="360" w:lineRule="auto"/>
        <w:ind w:left="132" w:right="18" w:firstLine="678"/>
        <w:jc w:val="both"/>
        <w:textAlignment w:val="auto"/>
        <w:rPr>
          <w:rFonts w:ascii="FangSong_GB2312" w:hAnsi="FangSong_GB2312" w:eastAsia="FangSong_GB2312" w:cs="FangSong_GB2312"/>
          <w:sz w:val="32"/>
          <w:szCs w:val="32"/>
        </w:rPr>
      </w:pPr>
      <w:r>
        <w:rPr>
          <w:rFonts w:ascii="FangSong_GB2312" w:hAnsi="FangSong_GB2312" w:eastAsia="FangSong_GB2312" w:cs="FangSong_GB2312"/>
          <w:spacing w:val="4"/>
          <w:sz w:val="32"/>
          <w:szCs w:val="32"/>
        </w:rPr>
        <w:t>乡村污水处理设施布局必须满足水源保护区划定控制要求；</w:t>
      </w:r>
      <w:r>
        <w:rPr>
          <w:rFonts w:ascii="FangSong_GB2312" w:hAnsi="FangSong_GB2312" w:eastAsia="FangSong_GB2312" w:cs="FangSong_GB2312"/>
          <w:spacing w:val="5"/>
          <w:sz w:val="32"/>
          <w:szCs w:val="32"/>
        </w:rPr>
        <w:t>应布置在居民点常年主导风向的下风向、村庄水系下游；宜靠近受纳水体或农田灌溉区；宜设置在便于污水、污泥的收集、排放</w:t>
      </w:r>
      <w:r>
        <w:rPr>
          <w:rFonts w:ascii="FangSong_GB2312" w:hAnsi="FangSong_GB2312" w:eastAsia="FangSong_GB2312" w:cs="FangSong_GB2312"/>
          <w:spacing w:val="6"/>
          <w:sz w:val="32"/>
          <w:szCs w:val="32"/>
        </w:rPr>
        <w:t>和再利用的区域；宜选址在交通、运输及供水供电较方便地段；</w:t>
      </w:r>
      <w:r>
        <w:rPr>
          <w:rFonts w:ascii="FangSong_GB2312" w:hAnsi="FangSong_GB2312" w:eastAsia="FangSong_GB2312" w:cs="FangSong_GB2312"/>
          <w:spacing w:val="8"/>
          <w:sz w:val="32"/>
          <w:szCs w:val="32"/>
        </w:rPr>
        <w:t>远离学校及医院等公共建筑；不宜设置在低洼易涝区。</w:t>
      </w:r>
    </w:p>
    <w:p>
      <w:pPr>
        <w:pageBreakBefore w:val="0"/>
        <w:widowControl w:val="0"/>
        <w:kinsoku/>
        <w:wordWrap/>
        <w:overflowPunct/>
        <w:topLinePunct w:val="0"/>
        <w:autoSpaceDE w:val="0"/>
        <w:autoSpaceDN w:val="0"/>
        <w:bidi w:val="0"/>
        <w:adjustRightInd/>
        <w:snapToGrid/>
        <w:spacing w:line="360" w:lineRule="auto"/>
        <w:ind w:left="120" w:right="18" w:firstLine="689"/>
        <w:jc w:val="both"/>
        <w:textAlignment w:val="auto"/>
        <w:rPr>
          <w:rFonts w:ascii="FangSong_GB2312" w:hAnsi="FangSong_GB2312" w:eastAsia="FangSong_GB2312" w:cs="FangSong_GB2312"/>
          <w:sz w:val="32"/>
          <w:szCs w:val="32"/>
        </w:rPr>
      </w:pPr>
      <w:r>
        <w:rPr>
          <w:rFonts w:ascii="FangSong_GB2312" w:hAnsi="FangSong_GB2312" w:eastAsia="FangSong_GB2312" w:cs="FangSong_GB2312"/>
          <w:spacing w:val="3"/>
          <w:sz w:val="32"/>
          <w:szCs w:val="32"/>
        </w:rPr>
        <w:t>乡村公厕应选择不易积存雨水的地段；宜建在公共场所等人</w:t>
      </w:r>
      <w:r>
        <w:rPr>
          <w:rFonts w:ascii="FangSong_GB2312" w:hAnsi="FangSong_GB2312" w:eastAsia="FangSong_GB2312" w:cs="FangSong_GB2312"/>
          <w:spacing w:val="5"/>
          <w:sz w:val="32"/>
          <w:szCs w:val="32"/>
        </w:rPr>
        <w:t>口较集中的区域；附属式公共厕所可优先考虑与村委会、村民活动中心、老人活动站、卫生站等设施结合建设；独立式公共厕所</w:t>
      </w:r>
      <w:r>
        <w:rPr>
          <w:rFonts w:ascii="FangSong_GB2312" w:hAnsi="FangSong_GB2312" w:eastAsia="FangSong_GB2312" w:cs="FangSong_GB2312"/>
          <w:spacing w:val="4"/>
          <w:sz w:val="32"/>
          <w:szCs w:val="32"/>
        </w:rPr>
        <w:t>可优先考虑建在村入</w:t>
      </w:r>
      <w:r>
        <w:rPr>
          <w:rFonts w:ascii="FangSong_GB2312" w:hAnsi="FangSong_GB2312" w:eastAsia="FangSong_GB2312" w:cs="FangSong_GB2312"/>
          <w:spacing w:val="-85"/>
          <w:sz w:val="32"/>
          <w:szCs w:val="32"/>
        </w:rPr>
        <w:t xml:space="preserve"> </w:t>
      </w:r>
      <w:r>
        <w:rPr>
          <w:rFonts w:ascii="FangSong_GB2312" w:hAnsi="FangSong_GB2312" w:eastAsia="FangSong_GB2312" w:cs="FangSong_GB2312"/>
          <w:spacing w:val="4"/>
          <w:sz w:val="32"/>
          <w:szCs w:val="32"/>
        </w:rPr>
        <w:t>口、活动广场、停车场、集贸市场等区域；</w:t>
      </w:r>
      <w:r>
        <w:rPr>
          <w:rFonts w:ascii="FangSong_GB2312" w:hAnsi="FangSong_GB2312" w:eastAsia="FangSong_GB2312" w:cs="FangSong_GB2312"/>
          <w:spacing w:val="8"/>
          <w:sz w:val="32"/>
          <w:szCs w:val="32"/>
        </w:rPr>
        <w:t>与集中式给水点和地下取水构筑物等的距离应大于</w:t>
      </w:r>
      <w:r>
        <w:rPr>
          <w:rFonts w:ascii="FangSong_GB2312" w:hAnsi="FangSong_GB2312" w:eastAsia="FangSong_GB2312" w:cs="FangSong_GB2312"/>
          <w:spacing w:val="-17"/>
          <w:sz w:val="32"/>
          <w:szCs w:val="32"/>
        </w:rPr>
        <w:t xml:space="preserve"> </w:t>
      </w:r>
      <w:r>
        <w:rPr>
          <w:rFonts w:ascii="FangSong_GB2312" w:hAnsi="FangSong_GB2312" w:eastAsia="FangSong_GB2312" w:cs="FangSong_GB2312"/>
          <w:spacing w:val="8"/>
          <w:sz w:val="32"/>
          <w:szCs w:val="32"/>
        </w:rPr>
        <w:t>30</w:t>
      </w:r>
      <w:r>
        <w:rPr>
          <w:rFonts w:ascii="FangSong_GB2312" w:hAnsi="FangSong_GB2312" w:eastAsia="FangSong_GB2312" w:cs="FangSong_GB2312"/>
          <w:spacing w:val="-53"/>
          <w:sz w:val="32"/>
          <w:szCs w:val="32"/>
        </w:rPr>
        <w:t xml:space="preserve"> </w:t>
      </w:r>
      <w:r>
        <w:rPr>
          <w:rFonts w:ascii="FangSong_GB2312" w:hAnsi="FangSong_GB2312" w:eastAsia="FangSong_GB2312" w:cs="FangSong_GB2312"/>
          <w:spacing w:val="8"/>
          <w:sz w:val="32"/>
          <w:szCs w:val="32"/>
        </w:rPr>
        <w:t>米；宜建</w:t>
      </w:r>
      <w:r>
        <w:rPr>
          <w:rFonts w:ascii="FangSong_GB2312" w:hAnsi="FangSong_GB2312" w:eastAsia="FangSong_GB2312" w:cs="FangSong_GB2312"/>
          <w:spacing w:val="5"/>
          <w:sz w:val="32"/>
          <w:szCs w:val="32"/>
        </w:rPr>
        <w:t>在所服务区域的常年主导风向的下风向处；不宜靠近民房、学校</w:t>
      </w:r>
      <w:r>
        <w:rPr>
          <w:rFonts w:ascii="FangSong_GB2312" w:hAnsi="FangSong_GB2312" w:eastAsia="FangSong_GB2312" w:cs="FangSong_GB2312"/>
          <w:spacing w:val="8"/>
          <w:sz w:val="32"/>
          <w:szCs w:val="32"/>
        </w:rPr>
        <w:t>及卫生设施等敏感建筑。</w:t>
      </w:r>
    </w:p>
    <w:p>
      <w:pPr>
        <w:pageBreakBefore w:val="0"/>
        <w:widowControl w:val="0"/>
        <w:kinsoku/>
        <w:wordWrap/>
        <w:overflowPunct/>
        <w:topLinePunct w:val="0"/>
        <w:autoSpaceDE w:val="0"/>
        <w:autoSpaceDN w:val="0"/>
        <w:bidi w:val="0"/>
        <w:adjustRightInd/>
        <w:snapToGrid/>
        <w:spacing w:line="360" w:lineRule="auto"/>
        <w:ind w:left="764"/>
        <w:textAlignment w:val="auto"/>
        <w:rPr>
          <w:rFonts w:ascii="FangSong_GB2312" w:hAnsi="FangSong_GB2312" w:eastAsia="FangSong_GB2312" w:cs="FangSong_GB2312"/>
          <w:spacing w:val="9"/>
          <w:sz w:val="32"/>
          <w:szCs w:val="32"/>
        </w:rPr>
      </w:pPr>
      <w:r>
        <w:rPr>
          <w:rFonts w:ascii="FangSong_GB2312" w:hAnsi="FangSong_GB2312" w:eastAsia="FangSong_GB2312" w:cs="FangSong_GB2312"/>
          <w:spacing w:val="9"/>
          <w:sz w:val="32"/>
          <w:szCs w:val="32"/>
        </w:rPr>
        <w:t>各类设施用地应符合国家和地方相关行业标准的规定。</w:t>
      </w:r>
      <w:bookmarkStart w:id="103" w:name="bookmark15"/>
      <w:bookmarkEnd w:id="103"/>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sz w:val="32"/>
          <w:szCs w:val="32"/>
        </w:rPr>
      </w:pPr>
      <w:r>
        <w:rPr>
          <w:rFonts w:hint="eastAsia" w:eastAsia="仿宋_GB2312"/>
          <w:color w:val="000000" w:themeColor="text1"/>
          <w:w w:val="105"/>
          <w:sz w:val="32"/>
          <w:szCs w:val="32"/>
          <w:highlight w:val="none"/>
          <w:lang w:val="en-US" w:eastAsia="zh-CN"/>
          <w14:textFill>
            <w14:solidFill>
              <w14:schemeClr w14:val="tx1"/>
            </w14:solidFill>
          </w14:textFill>
        </w:rPr>
        <w:t>乡村产业用地布局要求</w:t>
      </w:r>
    </w:p>
    <w:p>
      <w:pPr>
        <w:pageBreakBefore w:val="0"/>
        <w:widowControl w:val="0"/>
        <w:kinsoku/>
        <w:wordWrap/>
        <w:overflowPunct/>
        <w:topLinePunct w:val="0"/>
        <w:autoSpaceDE w:val="0"/>
        <w:autoSpaceDN w:val="0"/>
        <w:bidi w:val="0"/>
        <w:adjustRightInd/>
        <w:snapToGrid/>
        <w:spacing w:line="360" w:lineRule="auto"/>
        <w:ind w:left="34" w:right="101" w:firstLine="658"/>
        <w:textAlignment w:val="auto"/>
        <w:rPr>
          <w:rFonts w:ascii="FangSong_GB2312" w:hAnsi="FangSong_GB2312" w:eastAsia="FangSong_GB2312" w:cs="FangSong_GB2312"/>
          <w:sz w:val="32"/>
          <w:szCs w:val="32"/>
        </w:rPr>
      </w:pPr>
      <w:r>
        <w:rPr>
          <w:rFonts w:ascii="FangSong_GB2312" w:hAnsi="FangSong_GB2312" w:eastAsia="FangSong_GB2312" w:cs="FangSong_GB2312"/>
          <w:spacing w:val="5"/>
          <w:sz w:val="32"/>
          <w:szCs w:val="32"/>
        </w:rPr>
        <w:t>乡村产业必须符合《产业结构调整指导目录（2024</w:t>
      </w:r>
      <w:r>
        <w:rPr>
          <w:rFonts w:ascii="FangSong_GB2312" w:hAnsi="FangSong_GB2312" w:eastAsia="FangSong_GB2312" w:cs="FangSong_GB2312"/>
          <w:spacing w:val="-55"/>
          <w:sz w:val="32"/>
          <w:szCs w:val="32"/>
        </w:rPr>
        <w:t xml:space="preserve"> </w:t>
      </w:r>
      <w:r>
        <w:rPr>
          <w:rFonts w:ascii="FangSong_GB2312" w:hAnsi="FangSong_GB2312" w:eastAsia="FangSong_GB2312" w:cs="FangSong_GB2312"/>
          <w:spacing w:val="5"/>
          <w:sz w:val="32"/>
          <w:szCs w:val="32"/>
        </w:rPr>
        <w:t>年本）》</w:t>
      </w:r>
      <w:r>
        <w:rPr>
          <w:rFonts w:ascii="FangSong_GB2312" w:hAnsi="FangSong_GB2312" w:eastAsia="FangSong_GB2312" w:cs="FangSong_GB2312"/>
          <w:spacing w:val="7"/>
          <w:sz w:val="32"/>
          <w:szCs w:val="32"/>
        </w:rPr>
        <w:t>的要求；严禁生产、制造危险化学品及其相关产物。</w:t>
      </w:r>
    </w:p>
    <w:p>
      <w:pPr>
        <w:pageBreakBefore w:val="0"/>
        <w:widowControl w:val="0"/>
        <w:kinsoku/>
        <w:wordWrap/>
        <w:overflowPunct/>
        <w:topLinePunct w:val="0"/>
        <w:autoSpaceDE w:val="0"/>
        <w:autoSpaceDN w:val="0"/>
        <w:bidi w:val="0"/>
        <w:adjustRightInd/>
        <w:snapToGrid/>
        <w:spacing w:line="360" w:lineRule="auto"/>
        <w:ind w:left="7" w:right="255" w:firstLine="660"/>
        <w:textAlignment w:val="auto"/>
        <w:rPr>
          <w:rFonts w:ascii="FangSong_GB2312" w:hAnsi="FangSong_GB2312" w:eastAsia="FangSong_GB2312" w:cs="FangSong_GB2312"/>
          <w:sz w:val="32"/>
          <w:szCs w:val="32"/>
        </w:rPr>
      </w:pPr>
      <w:r>
        <w:rPr>
          <w:rFonts w:ascii="FangSong_GB2312" w:hAnsi="FangSong_GB2312" w:eastAsia="FangSong_GB2312" w:cs="FangSong_GB2312"/>
          <w:spacing w:val="4"/>
          <w:sz w:val="32"/>
          <w:szCs w:val="32"/>
        </w:rPr>
        <w:t>规模较大、工业化程度高、分散布局配套设施成本高的产</w:t>
      </w:r>
      <w:r>
        <w:rPr>
          <w:rFonts w:ascii="FangSong_GB2312" w:hAnsi="FangSong_GB2312" w:eastAsia="FangSong_GB2312" w:cs="FangSong_GB2312"/>
          <w:spacing w:val="5"/>
          <w:sz w:val="32"/>
          <w:szCs w:val="32"/>
        </w:rPr>
        <w:t>业项目宜在产业园区内布局；具有一定规模的农产品加工宜在城</w:t>
      </w:r>
      <w:r>
        <w:rPr>
          <w:rFonts w:ascii="FangSong_GB2312" w:hAnsi="FangSong_GB2312" w:eastAsia="FangSong_GB2312" w:cs="FangSong_GB2312"/>
          <w:spacing w:val="7"/>
          <w:sz w:val="32"/>
          <w:szCs w:val="32"/>
        </w:rPr>
        <w:t>镇开发边界内集中布局。</w:t>
      </w:r>
    </w:p>
    <w:p>
      <w:pPr>
        <w:pageBreakBefore w:val="0"/>
        <w:widowControl w:val="0"/>
        <w:kinsoku/>
        <w:wordWrap/>
        <w:overflowPunct/>
        <w:topLinePunct w:val="0"/>
        <w:autoSpaceDE w:val="0"/>
        <w:autoSpaceDN w:val="0"/>
        <w:bidi w:val="0"/>
        <w:adjustRightInd/>
        <w:snapToGrid/>
        <w:spacing w:line="360" w:lineRule="auto"/>
        <w:ind w:left="7" w:right="258" w:firstLine="653"/>
        <w:textAlignment w:val="auto"/>
        <w:rPr>
          <w:rFonts w:ascii="FangSong_GB2312" w:hAnsi="FangSong_GB2312" w:eastAsia="FangSong_GB2312" w:cs="FangSong_GB2312"/>
          <w:sz w:val="32"/>
          <w:szCs w:val="32"/>
        </w:rPr>
      </w:pPr>
      <w:r>
        <w:rPr>
          <w:rFonts w:ascii="FangSong_GB2312" w:hAnsi="FangSong_GB2312" w:eastAsia="FangSong_GB2312" w:cs="FangSong_GB2312"/>
          <w:spacing w:val="4"/>
          <w:sz w:val="32"/>
          <w:szCs w:val="32"/>
        </w:rPr>
        <w:t>直接服务种植养殖业的农产品加工、电子商务、仓储保鲜</w:t>
      </w:r>
      <w:r>
        <w:rPr>
          <w:rFonts w:ascii="FangSong_GB2312" w:hAnsi="FangSong_GB2312" w:eastAsia="FangSong_GB2312" w:cs="FangSong_GB2312"/>
          <w:spacing w:val="5"/>
          <w:sz w:val="32"/>
          <w:szCs w:val="32"/>
        </w:rPr>
        <w:t>冷链、产地低温直销配送等产业原则上应集中在行政村村庄建设</w:t>
      </w:r>
      <w:r>
        <w:rPr>
          <w:rFonts w:ascii="FangSong_GB2312" w:hAnsi="FangSong_GB2312" w:eastAsia="FangSong_GB2312" w:cs="FangSong_GB2312"/>
          <w:spacing w:val="4"/>
          <w:sz w:val="32"/>
          <w:szCs w:val="32"/>
        </w:rPr>
        <w:t>边界内。</w:t>
      </w:r>
    </w:p>
    <w:p>
      <w:pPr>
        <w:pageBreakBefore w:val="0"/>
        <w:widowControl w:val="0"/>
        <w:kinsoku/>
        <w:wordWrap/>
        <w:overflowPunct/>
        <w:topLinePunct w:val="0"/>
        <w:autoSpaceDE w:val="0"/>
        <w:autoSpaceDN w:val="0"/>
        <w:bidi w:val="0"/>
        <w:adjustRightInd/>
        <w:snapToGrid/>
        <w:spacing w:line="360" w:lineRule="auto"/>
        <w:ind w:left="13" w:firstLine="659"/>
        <w:textAlignment w:val="auto"/>
        <w:rPr>
          <w:rFonts w:ascii="FangSong_GB2312" w:hAnsi="FangSong_GB2312" w:eastAsia="FangSong_GB2312" w:cs="FangSong_GB2312"/>
          <w:sz w:val="32"/>
          <w:szCs w:val="32"/>
        </w:rPr>
      </w:pPr>
      <w:r>
        <w:rPr>
          <w:rFonts w:ascii="FangSong_GB2312" w:hAnsi="FangSong_GB2312" w:eastAsia="FangSong_GB2312" w:cs="FangSong_GB2312"/>
          <w:spacing w:val="4"/>
          <w:sz w:val="32"/>
          <w:szCs w:val="32"/>
        </w:rPr>
        <w:t>利用农村本地资源开展农产品初加工、发展休闲</w:t>
      </w:r>
      <w:r>
        <w:rPr>
          <w:rFonts w:ascii="FangSong_GB2312" w:hAnsi="FangSong_GB2312" w:eastAsia="FangSong_GB2312" w:cs="FangSong_GB2312"/>
          <w:spacing w:val="3"/>
          <w:sz w:val="32"/>
          <w:szCs w:val="32"/>
        </w:rPr>
        <w:t>观光旅游</w:t>
      </w:r>
      <w:r>
        <w:rPr>
          <w:rFonts w:ascii="FangSong_GB2312" w:hAnsi="FangSong_GB2312" w:eastAsia="FangSong_GB2312" w:cs="FangSong_GB2312"/>
          <w:spacing w:val="5"/>
          <w:sz w:val="32"/>
          <w:szCs w:val="32"/>
        </w:rPr>
        <w:t>而必需的配套设施建设，可在不占用永久基本农田和生态保护红</w:t>
      </w:r>
      <w:r>
        <w:rPr>
          <w:rFonts w:ascii="FangSong_GB2312" w:hAnsi="FangSong_GB2312" w:eastAsia="FangSong_GB2312" w:cs="FangSong_GB2312"/>
          <w:spacing w:val="3"/>
          <w:sz w:val="32"/>
          <w:szCs w:val="32"/>
        </w:rPr>
        <w:t>线、不突破乡镇级国土空间规划传导的建设用地指标等约束条件、</w:t>
      </w:r>
      <w:r>
        <w:rPr>
          <w:rFonts w:ascii="FangSong_GB2312" w:hAnsi="FangSong_GB2312" w:eastAsia="FangSong_GB2312" w:cs="FangSong_GB2312"/>
          <w:spacing w:val="5"/>
          <w:sz w:val="32"/>
          <w:szCs w:val="32"/>
        </w:rPr>
        <w:t>不破坏生态环境和乡村风貌的前提下，在村庄建设边界外安排少</w:t>
      </w:r>
      <w:r>
        <w:rPr>
          <w:rFonts w:ascii="FangSong_GB2312" w:hAnsi="FangSong_GB2312" w:eastAsia="FangSong_GB2312" w:cs="FangSong_GB2312"/>
          <w:spacing w:val="4"/>
          <w:sz w:val="32"/>
          <w:szCs w:val="32"/>
        </w:rPr>
        <w:t>量建设用地。</w:t>
      </w:r>
    </w:p>
    <w:p>
      <w:pPr>
        <w:pageBreakBefore w:val="0"/>
        <w:widowControl w:val="0"/>
        <w:kinsoku/>
        <w:wordWrap/>
        <w:overflowPunct/>
        <w:topLinePunct w:val="0"/>
        <w:autoSpaceDE w:val="0"/>
        <w:autoSpaceDN w:val="0"/>
        <w:bidi w:val="0"/>
        <w:adjustRightInd/>
        <w:snapToGrid/>
        <w:spacing w:line="360" w:lineRule="auto"/>
        <w:ind w:left="2" w:firstLine="659"/>
        <w:textAlignment w:val="auto"/>
        <w:rPr>
          <w:rFonts w:hint="eastAsia" w:ascii="FangSong_GB2312" w:hAnsi="FangSong_GB2312" w:eastAsia="FangSong_GB2312" w:cs="FangSong_GB2312"/>
          <w:spacing w:val="7"/>
          <w:sz w:val="32"/>
          <w:szCs w:val="32"/>
          <w:lang w:val="en-US" w:eastAsia="zh-CN"/>
        </w:rPr>
      </w:pPr>
      <w:r>
        <w:rPr>
          <w:rFonts w:ascii="FangSong_GB2312" w:hAnsi="FangSong_GB2312" w:eastAsia="FangSong_GB2312" w:cs="FangSong_GB2312"/>
          <w:spacing w:val="4"/>
          <w:sz w:val="32"/>
          <w:szCs w:val="32"/>
        </w:rPr>
        <w:t>文旅融合产业鼓励在传承保护优先基础上，推动历史文化</w:t>
      </w:r>
      <w:r>
        <w:rPr>
          <w:rFonts w:ascii="FangSong_GB2312" w:hAnsi="FangSong_GB2312" w:eastAsia="FangSong_GB2312" w:cs="FangSong_GB2312"/>
          <w:spacing w:val="5"/>
          <w:sz w:val="32"/>
          <w:szCs w:val="32"/>
        </w:rPr>
        <w:t>资源活化利用，进一步实现</w:t>
      </w:r>
      <w:r>
        <w:rPr>
          <w:rFonts w:hint="eastAsia" w:ascii="FangSong_GB2312" w:hAnsi="FangSong_GB2312" w:eastAsia="FangSong_GB2312" w:cs="FangSong_GB2312"/>
          <w:spacing w:val="5"/>
          <w:sz w:val="32"/>
          <w:szCs w:val="32"/>
          <w:lang w:eastAsia="zh-CN"/>
        </w:rPr>
        <w:t>一二三产业融合</w:t>
      </w:r>
      <w:r>
        <w:rPr>
          <w:rFonts w:ascii="FangSong_GB2312" w:hAnsi="FangSong_GB2312" w:eastAsia="FangSong_GB2312" w:cs="FangSong_GB2312"/>
          <w:spacing w:val="5"/>
          <w:sz w:val="32"/>
          <w:szCs w:val="32"/>
        </w:rPr>
        <w:t>发展。合理利用院落形</w:t>
      </w:r>
      <w:r>
        <w:rPr>
          <w:rFonts w:ascii="FangSong_GB2312" w:hAnsi="FangSong_GB2312" w:eastAsia="FangSong_GB2312" w:cs="FangSong_GB2312"/>
          <w:spacing w:val="6"/>
          <w:sz w:val="32"/>
          <w:szCs w:val="32"/>
        </w:rPr>
        <w:t>式建筑特色，植入文化博览、非遗体验等传统</w:t>
      </w:r>
      <w:r>
        <w:rPr>
          <w:rFonts w:ascii="FangSong_GB2312" w:hAnsi="FangSong_GB2312" w:eastAsia="FangSong_GB2312" w:cs="FangSong_GB2312"/>
          <w:spacing w:val="5"/>
          <w:sz w:val="32"/>
          <w:szCs w:val="32"/>
        </w:rPr>
        <w:t>文化功能，配套研学体验、休闲娱乐等旅游服务功能。以建设用地功能为主导，指</w:t>
      </w:r>
      <w:r>
        <w:rPr>
          <w:rFonts w:ascii="FangSong_GB2312" w:hAnsi="FangSong_GB2312" w:eastAsia="FangSong_GB2312" w:cs="FangSong_GB2312"/>
          <w:spacing w:val="6"/>
          <w:sz w:val="32"/>
          <w:szCs w:val="32"/>
        </w:rPr>
        <w:t>导非建设用地产业、环境、景观整治，结合</w:t>
      </w:r>
      <w:r>
        <w:rPr>
          <w:rFonts w:ascii="FangSong_GB2312" w:hAnsi="FangSong_GB2312" w:eastAsia="FangSong_GB2312" w:cs="FangSong_GB2312"/>
          <w:spacing w:val="5"/>
          <w:sz w:val="32"/>
          <w:szCs w:val="32"/>
        </w:rPr>
        <w:t>传统农业，拓宽文旅产业空间承载范围，实现一二三产一体</w:t>
      </w:r>
      <w:r>
        <w:rPr>
          <w:rFonts w:ascii="FangSong_GB2312" w:hAnsi="FangSong_GB2312" w:eastAsia="FangSong_GB2312" w:cs="FangSong_GB2312"/>
          <w:spacing w:val="7"/>
          <w:sz w:val="32"/>
          <w:szCs w:val="32"/>
        </w:rPr>
        <w:t>化发展格局。</w:t>
      </w:r>
      <w:r>
        <w:rPr>
          <w:rFonts w:hint="eastAsia" w:ascii="FangSong_GB2312" w:hAnsi="FangSong_GB2312" w:eastAsia="FangSong_GB2312" w:cs="FangSong_GB2312"/>
          <w:spacing w:val="7"/>
          <w:sz w:val="32"/>
          <w:szCs w:val="32"/>
          <w:lang w:val="en-US" w:eastAsia="zh-CN"/>
        </w:rPr>
        <w:t xml:space="preserve">  </w:t>
      </w:r>
    </w:p>
    <w:p>
      <w:pPr>
        <w:pageBreakBefore w:val="0"/>
        <w:widowControl w:val="0"/>
        <w:kinsoku/>
        <w:wordWrap/>
        <w:overflowPunct/>
        <w:topLinePunct w:val="0"/>
        <w:autoSpaceDE w:val="0"/>
        <w:autoSpaceDN w:val="0"/>
        <w:bidi w:val="0"/>
        <w:adjustRightInd/>
        <w:snapToGrid/>
        <w:spacing w:line="360" w:lineRule="auto"/>
        <w:ind w:left="2" w:firstLine="659"/>
        <w:textAlignment w:val="auto"/>
        <w:rPr>
          <w:rFonts w:ascii="FangSong_GB2312" w:hAnsi="FangSong_GB2312" w:eastAsia="FangSong_GB2312" w:cs="FangSong_GB2312"/>
          <w:sz w:val="32"/>
          <w:szCs w:val="32"/>
        </w:rPr>
      </w:pPr>
      <w:r>
        <w:rPr>
          <w:rFonts w:ascii="FangSong_GB2312" w:hAnsi="FangSong_GB2312" w:eastAsia="FangSong_GB2312" w:cs="FangSong_GB2312"/>
          <w:spacing w:val="4"/>
          <w:sz w:val="32"/>
          <w:szCs w:val="32"/>
        </w:rPr>
        <w:t>鼓励乡村产业用地与其他用地功能合理布局，鼓励闲置资</w:t>
      </w:r>
      <w:r>
        <w:rPr>
          <w:rFonts w:ascii="FangSong_GB2312" w:hAnsi="FangSong_GB2312" w:eastAsia="FangSong_GB2312" w:cs="FangSong_GB2312"/>
          <w:spacing w:val="5"/>
          <w:sz w:val="32"/>
          <w:szCs w:val="32"/>
        </w:rPr>
        <w:t>源活化利用，实现用地混合。在符合国土空间规划确定的用地类型、控制性高度、乡村风貌、基础设施和用途管制要求、确保安全的前提下，鼓励对闲置宅基地、闲置集体用地、古院落等农村</w:t>
      </w:r>
      <w:r>
        <w:rPr>
          <w:rFonts w:ascii="FangSong_GB2312" w:hAnsi="FangSong_GB2312" w:eastAsia="FangSong_GB2312" w:cs="FangSong_GB2312"/>
          <w:spacing w:val="-2"/>
          <w:sz w:val="32"/>
          <w:szCs w:val="32"/>
        </w:rPr>
        <w:t>建设用地，通过购买、租赁、经营权转让、资产入股、集中流</w:t>
      </w:r>
      <w:r>
        <w:rPr>
          <w:rFonts w:ascii="FangSong_GB2312" w:hAnsi="FangSong_GB2312" w:eastAsia="FangSong_GB2312" w:cs="FangSong_GB2312"/>
          <w:spacing w:val="-3"/>
          <w:sz w:val="32"/>
          <w:szCs w:val="32"/>
        </w:rPr>
        <w:t>转、</w:t>
      </w:r>
      <w:r>
        <w:rPr>
          <w:rFonts w:ascii="FangSong_GB2312" w:hAnsi="FangSong_GB2312" w:eastAsia="FangSong_GB2312" w:cs="FangSong_GB2312"/>
          <w:spacing w:val="5"/>
          <w:sz w:val="32"/>
          <w:szCs w:val="32"/>
        </w:rPr>
        <w:t>收储等方式整合活化，进行复合利用，发展乡村民宿、农产品初</w:t>
      </w:r>
      <w:r>
        <w:rPr>
          <w:rFonts w:ascii="FangSong_GB2312" w:hAnsi="FangSong_GB2312" w:eastAsia="FangSong_GB2312" w:cs="FangSong_GB2312"/>
          <w:spacing w:val="6"/>
          <w:sz w:val="32"/>
          <w:szCs w:val="32"/>
        </w:rPr>
        <w:t>加工、电子商务、</w:t>
      </w:r>
      <w:r>
        <w:rPr>
          <w:rFonts w:ascii="FangSong_GB2312" w:hAnsi="FangSong_GB2312" w:eastAsia="FangSong_GB2312" w:cs="FangSong_GB2312"/>
          <w:spacing w:val="-86"/>
          <w:sz w:val="32"/>
          <w:szCs w:val="32"/>
        </w:rPr>
        <w:t xml:space="preserve"> </w:t>
      </w:r>
      <w:r>
        <w:rPr>
          <w:rFonts w:ascii="FangSong_GB2312" w:hAnsi="FangSong_GB2312" w:eastAsia="FangSong_GB2312" w:cs="FangSong_GB2312"/>
          <w:spacing w:val="6"/>
          <w:sz w:val="32"/>
          <w:szCs w:val="32"/>
        </w:rPr>
        <w:t>民俗体验、文化创意等乡村产业。</w:t>
      </w:r>
    </w:p>
    <w:p>
      <w:pPr>
        <w:pageBreakBefore w:val="0"/>
        <w:widowControl w:val="0"/>
        <w:kinsoku/>
        <w:wordWrap/>
        <w:overflowPunct/>
        <w:topLinePunct w:val="0"/>
        <w:autoSpaceDE w:val="0"/>
        <w:autoSpaceDN w:val="0"/>
        <w:bidi w:val="0"/>
        <w:adjustRightInd/>
        <w:snapToGrid/>
        <w:spacing w:line="360" w:lineRule="auto"/>
        <w:ind w:left="5" w:right="45" w:firstLine="655"/>
        <w:textAlignment w:val="auto"/>
        <w:rPr>
          <w:sz w:val="32"/>
          <w:szCs w:val="32"/>
        </w:rPr>
      </w:pPr>
      <w:r>
        <w:rPr>
          <w:rFonts w:ascii="FangSong_GB2312" w:hAnsi="FangSong_GB2312" w:eastAsia="FangSong_GB2312" w:cs="FangSong_GB2312"/>
          <w:spacing w:val="14"/>
          <w:sz w:val="32"/>
          <w:szCs w:val="32"/>
        </w:rPr>
        <w:t>乡村产业项目原则上应为直接服务于乡村振兴</w:t>
      </w:r>
      <w:r>
        <w:rPr>
          <w:rFonts w:ascii="FangSong_GB2312" w:hAnsi="FangSong_GB2312" w:eastAsia="FangSong_GB2312" w:cs="FangSong_GB2312"/>
          <w:spacing w:val="13"/>
          <w:sz w:val="32"/>
          <w:szCs w:val="32"/>
        </w:rPr>
        <w:t>和农村生</w:t>
      </w:r>
      <w:r>
        <w:rPr>
          <w:rFonts w:ascii="FangSong_GB2312" w:hAnsi="FangSong_GB2312" w:eastAsia="FangSong_GB2312" w:cs="FangSong_GB2312"/>
          <w:spacing w:val="5"/>
          <w:sz w:val="32"/>
          <w:szCs w:val="32"/>
        </w:rPr>
        <w:t>产生活的项目，并符合村庄所在的乡镇主体功能定位和相关产业</w:t>
      </w:r>
      <w:r>
        <w:rPr>
          <w:rFonts w:ascii="FangSong_GB2312" w:hAnsi="FangSong_GB2312" w:eastAsia="FangSong_GB2312" w:cs="FangSong_GB2312"/>
          <w:spacing w:val="7"/>
          <w:sz w:val="32"/>
          <w:szCs w:val="32"/>
        </w:rPr>
        <w:t>规划，不得违背产业准入负面清单，不得用于商品住宅、别墅、酒店、公寓等房地产开发。</w:t>
      </w:r>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szCs w:val="32"/>
          <w:highlight w:val="none"/>
          <w:lang w:val="en-US" w:eastAsia="zh-CN"/>
          <w14:textFill>
            <w14:solidFill>
              <w14:schemeClr w14:val="tx1"/>
            </w14:solidFill>
          </w14:textFill>
        </w:rPr>
      </w:pPr>
      <w:bookmarkStart w:id="104" w:name="bookmark16"/>
      <w:bookmarkEnd w:id="104"/>
      <w:r>
        <w:rPr>
          <w:rFonts w:hint="eastAsia" w:eastAsia="仿宋_GB2312"/>
          <w:color w:val="000000" w:themeColor="text1"/>
          <w:w w:val="105"/>
          <w:sz w:val="32"/>
          <w:szCs w:val="32"/>
          <w:highlight w:val="none"/>
          <w:lang w:val="en-US" w:eastAsia="zh-CN"/>
          <w14:textFill>
            <w14:solidFill>
              <w14:schemeClr w14:val="tx1"/>
            </w14:solidFill>
          </w14:textFill>
        </w:rPr>
        <w:t>国土综合整治要求</w:t>
      </w:r>
    </w:p>
    <w:p>
      <w:pPr>
        <w:pageBreakBefore w:val="0"/>
        <w:widowControl w:val="0"/>
        <w:kinsoku/>
        <w:wordWrap/>
        <w:overflowPunct/>
        <w:topLinePunct w:val="0"/>
        <w:autoSpaceDE w:val="0"/>
        <w:autoSpaceDN w:val="0"/>
        <w:bidi w:val="0"/>
        <w:adjustRightInd/>
        <w:snapToGrid/>
        <w:spacing w:line="360" w:lineRule="auto"/>
        <w:ind w:left="5" w:right="95" w:firstLine="658"/>
        <w:jc w:val="both"/>
        <w:textAlignment w:val="auto"/>
        <w:rPr>
          <w:rFonts w:ascii="FangSong_GB2312" w:hAnsi="FangSong_GB2312" w:eastAsia="FangSong_GB2312" w:cs="FangSong_GB2312"/>
          <w:sz w:val="32"/>
          <w:szCs w:val="32"/>
        </w:rPr>
      </w:pPr>
      <w:r>
        <w:rPr>
          <w:rFonts w:ascii="FangSong_GB2312" w:hAnsi="FangSong_GB2312" w:eastAsia="FangSong_GB2312" w:cs="FangSong_GB2312"/>
          <w:spacing w:val="17"/>
          <w:sz w:val="32"/>
          <w:szCs w:val="32"/>
        </w:rPr>
        <w:t>落实国土空间总体规划或专项规划确定的国土综</w:t>
      </w:r>
      <w:r>
        <w:rPr>
          <w:rFonts w:ascii="FangSong_GB2312" w:hAnsi="FangSong_GB2312" w:eastAsia="FangSong_GB2312" w:cs="FangSong_GB2312"/>
          <w:spacing w:val="16"/>
          <w:sz w:val="32"/>
          <w:szCs w:val="32"/>
        </w:rPr>
        <w:t>合整治区</w:t>
      </w:r>
      <w:r>
        <w:rPr>
          <w:rFonts w:ascii="FangSong_GB2312" w:hAnsi="FangSong_GB2312" w:eastAsia="FangSong_GB2312" w:cs="FangSong_GB2312"/>
          <w:spacing w:val="5"/>
          <w:sz w:val="32"/>
          <w:szCs w:val="32"/>
        </w:rPr>
        <w:t>域及要求。以乡镇为基本实施单元，统筹推进农用地整治与建设用地整治。</w:t>
      </w:r>
    </w:p>
    <w:p>
      <w:pPr>
        <w:pageBreakBefore w:val="0"/>
        <w:widowControl w:val="0"/>
        <w:numPr>
          <w:ilvl w:val="0"/>
          <w:numId w:val="0"/>
        </w:numPr>
        <w:kinsoku/>
        <w:wordWrap/>
        <w:overflowPunct/>
        <w:topLinePunct w:val="0"/>
        <w:autoSpaceDE w:val="0"/>
        <w:autoSpaceDN w:val="0"/>
        <w:bidi w:val="0"/>
        <w:adjustRightInd/>
        <w:snapToGrid/>
        <w:spacing w:line="360" w:lineRule="auto"/>
        <w:ind w:right="263" w:rightChars="0" w:firstLine="656" w:firstLineChars="200"/>
        <w:jc w:val="both"/>
        <w:textAlignment w:val="auto"/>
        <w:rPr>
          <w:rFonts w:ascii="FangSong_GB2312" w:hAnsi="FangSong_GB2312" w:eastAsia="FangSong_GB2312" w:cs="FangSong_GB2312"/>
          <w:spacing w:val="8"/>
          <w:sz w:val="32"/>
          <w:szCs w:val="32"/>
        </w:rPr>
      </w:pPr>
      <w:r>
        <w:rPr>
          <w:rFonts w:ascii="FangSong_GB2312" w:hAnsi="FangSong_GB2312" w:eastAsia="FangSong_GB2312" w:cs="FangSong_GB2312"/>
          <w:spacing w:val="4"/>
          <w:sz w:val="32"/>
          <w:szCs w:val="32"/>
        </w:rPr>
        <w:t>农用地整治：大力推进土地综合整治，统筹实施农用地集</w:t>
      </w:r>
      <w:r>
        <w:rPr>
          <w:rFonts w:ascii="FangSong_GB2312" w:hAnsi="FangSong_GB2312" w:eastAsia="FangSong_GB2312" w:cs="FangSong_GB2312"/>
          <w:spacing w:val="5"/>
          <w:sz w:val="32"/>
          <w:szCs w:val="32"/>
        </w:rPr>
        <w:t>中连片整治、质量提升和生态化改造，开展高标准农田建设，严格保护已建成高标准农田，落实新增高标准农田建设任务，建设</w:t>
      </w:r>
      <w:r>
        <w:rPr>
          <w:rFonts w:ascii="FangSong_GB2312" w:hAnsi="FangSong_GB2312" w:eastAsia="FangSong_GB2312" w:cs="FangSong_GB2312"/>
          <w:spacing w:val="7"/>
          <w:sz w:val="32"/>
          <w:szCs w:val="32"/>
        </w:rPr>
        <w:t>“稳产、节水、生态、美观”</w:t>
      </w:r>
      <w:r>
        <w:rPr>
          <w:rFonts w:ascii="FangSong_GB2312" w:hAnsi="FangSong_GB2312" w:eastAsia="FangSong_GB2312" w:cs="FangSong_GB2312"/>
          <w:spacing w:val="-99"/>
          <w:sz w:val="32"/>
          <w:szCs w:val="32"/>
        </w:rPr>
        <w:t xml:space="preserve"> </w:t>
      </w:r>
      <w:r>
        <w:rPr>
          <w:rFonts w:ascii="FangSong_GB2312" w:hAnsi="FangSong_GB2312" w:eastAsia="FangSong_GB2312" w:cs="FangSong_GB2312"/>
          <w:spacing w:val="7"/>
          <w:sz w:val="32"/>
          <w:szCs w:val="32"/>
        </w:rPr>
        <w:t>的高标准农田。到</w:t>
      </w:r>
      <w:r>
        <w:rPr>
          <w:rFonts w:ascii="FangSong_GB2312" w:hAnsi="FangSong_GB2312" w:eastAsia="FangSong_GB2312" w:cs="FangSong_GB2312"/>
          <w:spacing w:val="-48"/>
          <w:sz w:val="32"/>
          <w:szCs w:val="32"/>
        </w:rPr>
        <w:t xml:space="preserve"> </w:t>
      </w:r>
      <w:r>
        <w:rPr>
          <w:rFonts w:ascii="FangSong_GB2312" w:hAnsi="FangSong_GB2312" w:eastAsia="FangSong_GB2312" w:cs="FangSong_GB2312"/>
          <w:spacing w:val="7"/>
          <w:sz w:val="32"/>
          <w:szCs w:val="32"/>
        </w:rPr>
        <w:t>2035</w:t>
      </w:r>
      <w:r>
        <w:rPr>
          <w:rFonts w:ascii="FangSong_GB2312" w:hAnsi="FangSong_GB2312" w:eastAsia="FangSong_GB2312" w:cs="FangSong_GB2312"/>
          <w:spacing w:val="-56"/>
          <w:sz w:val="32"/>
          <w:szCs w:val="32"/>
        </w:rPr>
        <w:t xml:space="preserve"> </w:t>
      </w:r>
      <w:r>
        <w:rPr>
          <w:rFonts w:ascii="FangSong_GB2312" w:hAnsi="FangSong_GB2312" w:eastAsia="FangSong_GB2312" w:cs="FangSong_GB2312"/>
          <w:spacing w:val="7"/>
          <w:sz w:val="32"/>
          <w:szCs w:val="32"/>
        </w:rPr>
        <w:t>年将永久</w:t>
      </w:r>
      <w:r>
        <w:rPr>
          <w:rFonts w:ascii="FangSong_GB2312" w:hAnsi="FangSong_GB2312" w:eastAsia="FangSong_GB2312" w:cs="FangSong_GB2312"/>
          <w:spacing w:val="8"/>
          <w:sz w:val="32"/>
          <w:szCs w:val="32"/>
        </w:rPr>
        <w:t>基本农田全部建设为高标准农田。</w:t>
      </w:r>
    </w:p>
    <w:p>
      <w:pPr>
        <w:pageBreakBefore w:val="0"/>
        <w:widowControl w:val="0"/>
        <w:numPr>
          <w:ilvl w:val="0"/>
          <w:numId w:val="0"/>
        </w:numPr>
        <w:kinsoku/>
        <w:wordWrap/>
        <w:overflowPunct/>
        <w:topLinePunct w:val="0"/>
        <w:autoSpaceDE w:val="0"/>
        <w:autoSpaceDN w:val="0"/>
        <w:bidi w:val="0"/>
        <w:adjustRightInd/>
        <w:snapToGrid/>
        <w:spacing w:line="360" w:lineRule="auto"/>
        <w:ind w:right="263" w:rightChars="0" w:firstLine="656" w:firstLineChars="200"/>
        <w:jc w:val="both"/>
        <w:textAlignment w:val="auto"/>
        <w:rPr>
          <w:rFonts w:ascii="FangSong_GB2312" w:hAnsi="FangSong_GB2312" w:eastAsia="FangSong_GB2312" w:cs="FangSong_GB2312"/>
          <w:sz w:val="32"/>
          <w:szCs w:val="32"/>
        </w:rPr>
      </w:pPr>
      <w:r>
        <w:rPr>
          <w:rFonts w:ascii="FangSong_GB2312" w:hAnsi="FangSong_GB2312" w:eastAsia="FangSong_GB2312" w:cs="FangSong_GB2312"/>
          <w:spacing w:val="4"/>
          <w:sz w:val="32"/>
          <w:szCs w:val="32"/>
        </w:rPr>
        <w:t>建设用地整治：适应宜居宜业和美乡村建设需要，统筹考</w:t>
      </w:r>
      <w:r>
        <w:rPr>
          <w:rFonts w:ascii="FangSong_GB2312" w:hAnsi="FangSong_GB2312" w:eastAsia="FangSong_GB2312" w:cs="FangSong_GB2312"/>
          <w:spacing w:val="5"/>
          <w:sz w:val="32"/>
          <w:szCs w:val="32"/>
        </w:rPr>
        <w:t>虑区位条件、资源禀赋、环境容量、产业基础、历史文化传承以及农民住房、产业发展、公共服务、基础设施等各类建设用地需</w:t>
      </w:r>
      <w:r>
        <w:rPr>
          <w:rFonts w:ascii="FangSong_GB2312" w:hAnsi="FangSong_GB2312" w:eastAsia="FangSong_GB2312" w:cs="FangSong_GB2312"/>
          <w:spacing w:val="7"/>
          <w:sz w:val="32"/>
          <w:szCs w:val="32"/>
        </w:rPr>
        <w:t>求，根据实施单元具备的基础条件和特点，对农村零散、闲置、</w:t>
      </w:r>
      <w:r>
        <w:rPr>
          <w:rFonts w:ascii="FangSong_GB2312" w:hAnsi="FangSong_GB2312" w:eastAsia="FangSong_GB2312" w:cs="FangSong_GB2312"/>
          <w:spacing w:val="5"/>
          <w:sz w:val="32"/>
          <w:szCs w:val="32"/>
        </w:rPr>
        <w:t>低效建设用地进行整理盘活，统筹推进建设用地布局优化、村庄建设用地整理、废弃采矿用地复垦利用、集体经营性建设用地依法流转等，确保城镇开发边界规模和扩展倍数不突破、整治区域内建设用地总面积不增加，进一步提升土地资源配置效率和节约集约利用水平，为保障农民合理居住需求、乡村基础设施建设和</w:t>
      </w:r>
      <w:r>
        <w:rPr>
          <w:rFonts w:ascii="FangSong_GB2312" w:hAnsi="FangSong_GB2312" w:eastAsia="FangSong_GB2312" w:cs="FangSong_GB2312"/>
          <w:spacing w:val="8"/>
          <w:sz w:val="32"/>
          <w:szCs w:val="32"/>
        </w:rPr>
        <w:t>产业发展提供用地支撑。</w:t>
      </w:r>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szCs w:val="32"/>
          <w:highlight w:val="none"/>
          <w:lang w:val="en-US" w:eastAsia="zh-CN"/>
          <w14:textFill>
            <w14:solidFill>
              <w14:schemeClr w14:val="tx1"/>
            </w14:solidFill>
          </w14:textFill>
        </w:rPr>
      </w:pPr>
      <w:bookmarkStart w:id="105" w:name="bookmark17"/>
      <w:bookmarkEnd w:id="105"/>
      <w:r>
        <w:rPr>
          <w:rFonts w:hint="eastAsia" w:eastAsia="仿宋_GB2312"/>
          <w:color w:val="000000" w:themeColor="text1"/>
          <w:w w:val="105"/>
          <w:sz w:val="32"/>
          <w:szCs w:val="32"/>
          <w:highlight w:val="none"/>
          <w:lang w:val="en-US" w:eastAsia="zh-CN"/>
          <w14:textFill>
            <w14:solidFill>
              <w14:schemeClr w14:val="tx1"/>
            </w14:solidFill>
          </w14:textFill>
        </w:rPr>
        <w:t>生态保护修复要求</w:t>
      </w:r>
    </w:p>
    <w:p>
      <w:pPr>
        <w:pageBreakBefore w:val="0"/>
        <w:widowControl w:val="0"/>
        <w:kinsoku/>
        <w:wordWrap/>
        <w:overflowPunct/>
        <w:topLinePunct w:val="0"/>
        <w:autoSpaceDE w:val="0"/>
        <w:autoSpaceDN w:val="0"/>
        <w:bidi w:val="0"/>
        <w:adjustRightInd/>
        <w:snapToGrid/>
        <w:spacing w:line="360" w:lineRule="auto"/>
        <w:ind w:right="263" w:firstLine="664"/>
        <w:jc w:val="both"/>
        <w:textAlignment w:val="auto"/>
        <w:rPr>
          <w:rFonts w:ascii="FangSong_GB2312" w:hAnsi="FangSong_GB2312" w:eastAsia="FangSong_GB2312" w:cs="FangSong_GB2312"/>
          <w:sz w:val="32"/>
          <w:szCs w:val="32"/>
        </w:rPr>
      </w:pPr>
      <w:r>
        <w:rPr>
          <w:rFonts w:ascii="FangSong_GB2312" w:hAnsi="FangSong_GB2312" w:eastAsia="FangSong_GB2312" w:cs="FangSong_GB2312"/>
          <w:spacing w:val="4"/>
          <w:sz w:val="32"/>
          <w:szCs w:val="32"/>
        </w:rPr>
        <w:t>落实国土空间总体规划确定的生态保护修复区域及要求。以</w:t>
      </w:r>
      <w:r>
        <w:rPr>
          <w:rFonts w:ascii="FangSong_GB2312" w:hAnsi="FangSong_GB2312" w:eastAsia="FangSong_GB2312" w:cs="FangSong_GB2312"/>
          <w:spacing w:val="5"/>
          <w:sz w:val="32"/>
          <w:szCs w:val="32"/>
        </w:rPr>
        <w:t>严守生态保护红线、改善农村人居环境、优化生态空间布局为目标，统筹考虑自然生态系统的完整性和联通性、乡村肌理格局以</w:t>
      </w:r>
      <w:r>
        <w:rPr>
          <w:rFonts w:ascii="FangSong_GB2312" w:hAnsi="FangSong_GB2312" w:eastAsia="FangSong_GB2312" w:cs="FangSong_GB2312"/>
          <w:spacing w:val="7"/>
          <w:sz w:val="32"/>
          <w:szCs w:val="32"/>
        </w:rPr>
        <w:t>及基层群众对于</w:t>
      </w:r>
      <w:r>
        <w:rPr>
          <w:rFonts w:hint="eastAsia" w:ascii="FangSong_GB2312" w:hAnsi="FangSong_GB2312" w:eastAsia="FangSong_GB2312" w:cs="FangSong_GB2312"/>
          <w:spacing w:val="7"/>
          <w:sz w:val="32"/>
          <w:szCs w:val="32"/>
          <w:lang w:val="en-US" w:eastAsia="zh-CN"/>
        </w:rPr>
        <w:t>和美</w:t>
      </w:r>
      <w:r>
        <w:rPr>
          <w:rFonts w:ascii="FangSong_GB2312" w:hAnsi="FangSong_GB2312" w:eastAsia="FangSong_GB2312" w:cs="FangSong_GB2312"/>
          <w:spacing w:val="7"/>
          <w:sz w:val="32"/>
          <w:szCs w:val="32"/>
        </w:rPr>
        <w:t>乡村建设的需要，协同开展矿山生态修复、</w:t>
      </w:r>
      <w:r>
        <w:rPr>
          <w:rFonts w:ascii="FangSong_GB2312" w:hAnsi="FangSong_GB2312" w:eastAsia="FangSong_GB2312" w:cs="FangSong_GB2312"/>
          <w:spacing w:val="5"/>
          <w:sz w:val="32"/>
          <w:szCs w:val="32"/>
        </w:rPr>
        <w:t>湿地与水域生态修复、山林生态修复等工作，加快宜居宜业和美</w:t>
      </w:r>
      <w:r>
        <w:rPr>
          <w:rFonts w:ascii="FangSong_GB2312" w:hAnsi="FangSong_GB2312" w:eastAsia="FangSong_GB2312" w:cs="FangSong_GB2312"/>
          <w:spacing w:val="6"/>
          <w:sz w:val="32"/>
          <w:szCs w:val="32"/>
        </w:rPr>
        <w:t>乡村建设。</w:t>
      </w:r>
    </w:p>
    <w:p>
      <w:pPr>
        <w:pageBreakBefore w:val="0"/>
        <w:widowControl w:val="0"/>
        <w:kinsoku/>
        <w:wordWrap/>
        <w:overflowPunct/>
        <w:topLinePunct w:val="0"/>
        <w:autoSpaceDE w:val="0"/>
        <w:autoSpaceDN w:val="0"/>
        <w:bidi w:val="0"/>
        <w:adjustRightInd/>
        <w:snapToGrid/>
        <w:spacing w:line="360" w:lineRule="auto"/>
        <w:ind w:left="19" w:firstLine="647"/>
        <w:textAlignment w:val="auto"/>
        <w:rPr>
          <w:rFonts w:ascii="FangSong_GB2312" w:hAnsi="FangSong_GB2312" w:eastAsia="FangSong_GB2312" w:cs="FangSong_GB2312"/>
          <w:sz w:val="32"/>
          <w:szCs w:val="32"/>
        </w:rPr>
      </w:pPr>
      <w:r>
        <w:rPr>
          <w:rFonts w:ascii="FangSong_GB2312" w:hAnsi="FangSong_GB2312" w:eastAsia="FangSong_GB2312" w:cs="FangSong_GB2312"/>
          <w:spacing w:val="4"/>
          <w:sz w:val="32"/>
          <w:szCs w:val="32"/>
        </w:rPr>
        <w:t>矿山生态修复：坚持“谁开发、谁保护，谁污染、谁治理”</w:t>
      </w:r>
      <w:r>
        <w:rPr>
          <w:rFonts w:ascii="FangSong_GB2312" w:hAnsi="FangSong_GB2312" w:eastAsia="FangSong_GB2312" w:cs="FangSong_GB2312"/>
          <w:spacing w:val="5"/>
          <w:sz w:val="32"/>
          <w:szCs w:val="32"/>
        </w:rPr>
        <w:t>的原则，重点加强关停矿山等区域山体修复，改善生态</w:t>
      </w:r>
      <w:r>
        <w:rPr>
          <w:rFonts w:ascii="FangSong_GB2312" w:hAnsi="FangSong_GB2312" w:eastAsia="FangSong_GB2312" w:cs="FangSong_GB2312"/>
          <w:spacing w:val="4"/>
          <w:sz w:val="32"/>
          <w:szCs w:val="32"/>
        </w:rPr>
        <w:t>环境，提</w:t>
      </w:r>
      <w:r>
        <w:rPr>
          <w:rFonts w:ascii="FangSong_GB2312" w:hAnsi="FangSong_GB2312" w:eastAsia="FangSong_GB2312" w:cs="FangSong_GB2312"/>
          <w:sz w:val="32"/>
          <w:szCs w:val="32"/>
        </w:rPr>
        <w:t xml:space="preserve"> </w:t>
      </w:r>
      <w:r>
        <w:rPr>
          <w:rFonts w:ascii="FangSong_GB2312" w:hAnsi="FangSong_GB2312" w:eastAsia="FangSong_GB2312" w:cs="FangSong_GB2312"/>
          <w:spacing w:val="5"/>
          <w:sz w:val="32"/>
          <w:szCs w:val="32"/>
        </w:rPr>
        <w:t>高生态质量。引导矿业修复与乡村振兴有机结合，积极开展</w:t>
      </w:r>
      <w:r>
        <w:rPr>
          <w:rFonts w:ascii="FangSong_GB2312" w:hAnsi="FangSong_GB2312" w:eastAsia="FangSong_GB2312" w:cs="FangSong_GB2312"/>
          <w:spacing w:val="4"/>
          <w:sz w:val="32"/>
          <w:szCs w:val="32"/>
        </w:rPr>
        <w:t>工矿</w:t>
      </w:r>
      <w:r>
        <w:rPr>
          <w:rFonts w:ascii="FangSong_GB2312" w:hAnsi="FangSong_GB2312" w:eastAsia="FangSong_GB2312" w:cs="FangSong_GB2312"/>
          <w:spacing w:val="5"/>
          <w:sz w:val="32"/>
          <w:szCs w:val="32"/>
        </w:rPr>
        <w:t>废弃地整治复垦。针对历史遗留矿山主要采取自然恢复、辅助再</w:t>
      </w:r>
      <w:r>
        <w:rPr>
          <w:rFonts w:ascii="FangSong_GB2312" w:hAnsi="FangSong_GB2312" w:eastAsia="FangSong_GB2312" w:cs="FangSong_GB2312"/>
          <w:spacing w:val="4"/>
          <w:sz w:val="32"/>
          <w:szCs w:val="32"/>
        </w:rPr>
        <w:t>生、生态重建、转型利用等生态修复方式；针对现有矿山，坚持</w:t>
      </w:r>
      <w:r>
        <w:rPr>
          <w:rFonts w:ascii="FangSong_GB2312" w:hAnsi="FangSong_GB2312" w:eastAsia="FangSong_GB2312" w:cs="FangSong_GB2312"/>
          <w:spacing w:val="-3"/>
          <w:sz w:val="32"/>
          <w:szCs w:val="32"/>
        </w:rPr>
        <w:t>“边开采边复垦复绿”，加强对矿山绿化修复工作的引导和监</w:t>
      </w:r>
      <w:r>
        <w:rPr>
          <w:rFonts w:ascii="FangSong_GB2312" w:hAnsi="FangSong_GB2312" w:eastAsia="FangSong_GB2312" w:cs="FangSong_GB2312"/>
          <w:spacing w:val="-4"/>
          <w:sz w:val="32"/>
          <w:szCs w:val="32"/>
        </w:rPr>
        <w:t>督。</w:t>
      </w:r>
    </w:p>
    <w:p>
      <w:pPr>
        <w:pageBreakBefore w:val="0"/>
        <w:widowControl w:val="0"/>
        <w:kinsoku/>
        <w:wordWrap/>
        <w:overflowPunct/>
        <w:topLinePunct w:val="0"/>
        <w:autoSpaceDE w:val="0"/>
        <w:autoSpaceDN w:val="0"/>
        <w:bidi w:val="0"/>
        <w:adjustRightInd/>
        <w:snapToGrid/>
        <w:spacing w:line="360" w:lineRule="auto"/>
        <w:ind w:left="3" w:right="45" w:firstLine="653"/>
        <w:textAlignment w:val="auto"/>
        <w:rPr>
          <w:rFonts w:ascii="FangSong_GB2312" w:hAnsi="FangSong_GB2312" w:eastAsia="FangSong_GB2312" w:cs="FangSong_GB2312"/>
          <w:sz w:val="32"/>
          <w:szCs w:val="32"/>
        </w:rPr>
      </w:pPr>
      <w:r>
        <w:rPr>
          <w:rFonts w:ascii="FangSong_GB2312" w:hAnsi="FangSong_GB2312" w:eastAsia="FangSong_GB2312" w:cs="FangSong_GB2312"/>
          <w:spacing w:val="4"/>
          <w:sz w:val="32"/>
          <w:szCs w:val="32"/>
        </w:rPr>
        <w:t>湿地与水域生态修复：优化</w:t>
      </w:r>
      <w:r>
        <w:rPr>
          <w:rFonts w:hint="eastAsia" w:ascii="FangSong_GB2312" w:hAnsi="FangSong_GB2312" w:eastAsia="FangSong_GB2312" w:cs="FangSong_GB2312"/>
          <w:spacing w:val="4"/>
          <w:sz w:val="32"/>
          <w:szCs w:val="32"/>
          <w:lang w:val="en-US" w:eastAsia="zh-CN"/>
        </w:rPr>
        <w:t>滨河</w:t>
      </w:r>
      <w:r>
        <w:rPr>
          <w:rFonts w:ascii="FangSong_GB2312" w:hAnsi="FangSong_GB2312" w:eastAsia="FangSong_GB2312" w:cs="FangSong_GB2312"/>
          <w:spacing w:val="4"/>
          <w:sz w:val="32"/>
          <w:szCs w:val="32"/>
        </w:rPr>
        <w:t>生态廊道环境。坚持“源</w:t>
      </w:r>
      <w:r>
        <w:rPr>
          <w:rFonts w:ascii="FangSong_GB2312" w:hAnsi="FangSong_GB2312" w:eastAsia="FangSong_GB2312" w:cs="FangSong_GB2312"/>
          <w:spacing w:val="5"/>
          <w:sz w:val="32"/>
          <w:szCs w:val="32"/>
        </w:rPr>
        <w:t>头保护、沿线治污、两岸增绿、生态补水、中水回用”</w:t>
      </w:r>
      <w:r>
        <w:rPr>
          <w:rFonts w:ascii="FangSong_GB2312" w:hAnsi="FangSong_GB2312" w:eastAsia="FangSong_GB2312" w:cs="FangSong_GB2312"/>
          <w:spacing w:val="-99"/>
          <w:sz w:val="32"/>
          <w:szCs w:val="32"/>
        </w:rPr>
        <w:t xml:space="preserve"> </w:t>
      </w:r>
      <w:r>
        <w:rPr>
          <w:rFonts w:ascii="FangSong_GB2312" w:hAnsi="FangSong_GB2312" w:eastAsia="FangSong_GB2312" w:cs="FangSong_GB2312"/>
          <w:spacing w:val="5"/>
          <w:sz w:val="32"/>
          <w:szCs w:val="32"/>
        </w:rPr>
        <w:t>的思路，持续实施流域生态保护工程。坚持水岸同治、河路共治，建设带状生态滨水空间，</w:t>
      </w:r>
      <w:r>
        <w:rPr>
          <w:rFonts w:ascii="FangSong_GB2312" w:hAnsi="FangSong_GB2312" w:eastAsia="FangSong_GB2312" w:cs="FangSong_GB2312"/>
          <w:spacing w:val="-92"/>
          <w:sz w:val="32"/>
          <w:szCs w:val="32"/>
        </w:rPr>
        <w:t xml:space="preserve"> </w:t>
      </w:r>
      <w:r>
        <w:rPr>
          <w:rFonts w:ascii="FangSong_GB2312" w:hAnsi="FangSong_GB2312" w:eastAsia="FangSong_GB2312" w:cs="FangSong_GB2312"/>
          <w:spacing w:val="5"/>
          <w:sz w:val="32"/>
          <w:szCs w:val="32"/>
        </w:rPr>
        <w:t>以生态步道、慢行系统串</w:t>
      </w:r>
      <w:r>
        <w:rPr>
          <w:rFonts w:ascii="FangSong_GB2312" w:hAnsi="FangSong_GB2312" w:eastAsia="FangSong_GB2312" w:cs="FangSong_GB2312"/>
          <w:spacing w:val="4"/>
          <w:sz w:val="32"/>
          <w:szCs w:val="32"/>
        </w:rPr>
        <w:t>联老城和新区。</w:t>
      </w:r>
    </w:p>
    <w:p>
      <w:pPr>
        <w:pageBreakBefore w:val="0"/>
        <w:widowControl w:val="0"/>
        <w:kinsoku/>
        <w:wordWrap/>
        <w:overflowPunct/>
        <w:topLinePunct w:val="0"/>
        <w:autoSpaceDE w:val="0"/>
        <w:autoSpaceDN w:val="0"/>
        <w:bidi w:val="0"/>
        <w:adjustRightInd/>
        <w:snapToGrid/>
        <w:spacing w:line="360" w:lineRule="auto"/>
        <w:ind w:right="89" w:firstLine="669"/>
        <w:textAlignment w:val="auto"/>
        <w:rPr>
          <w:rFonts w:ascii="FangSong_GB2312" w:hAnsi="FangSong_GB2312" w:eastAsia="FangSong_GB2312" w:cs="FangSong_GB2312"/>
          <w:spacing w:val="9"/>
          <w:sz w:val="32"/>
          <w:szCs w:val="32"/>
        </w:rPr>
      </w:pPr>
      <w:r>
        <w:rPr>
          <w:rFonts w:ascii="FangSong_GB2312" w:hAnsi="FangSong_GB2312" w:eastAsia="FangSong_GB2312" w:cs="FangSong_GB2312"/>
          <w:spacing w:val="4"/>
          <w:sz w:val="32"/>
          <w:szCs w:val="32"/>
        </w:rPr>
        <w:t>山林生态修复：实施</w:t>
      </w:r>
      <w:r>
        <w:rPr>
          <w:rFonts w:hint="eastAsia" w:ascii="FangSong_GB2312" w:hAnsi="FangSong_GB2312" w:eastAsia="FangSong_GB2312" w:cs="FangSong_GB2312"/>
          <w:spacing w:val="4"/>
          <w:sz w:val="32"/>
          <w:szCs w:val="32"/>
          <w:lang w:val="en-US" w:eastAsia="zh-CN"/>
        </w:rPr>
        <w:t>造林</w:t>
      </w:r>
      <w:r>
        <w:rPr>
          <w:rFonts w:ascii="FangSong_GB2312" w:hAnsi="FangSong_GB2312" w:eastAsia="FangSong_GB2312" w:cs="FangSong_GB2312"/>
          <w:spacing w:val="4"/>
          <w:sz w:val="32"/>
          <w:szCs w:val="32"/>
        </w:rPr>
        <w:t>绿化行动，推行置</w:t>
      </w:r>
      <w:r>
        <w:rPr>
          <w:rFonts w:ascii="FangSong_GB2312" w:hAnsi="FangSong_GB2312" w:eastAsia="FangSong_GB2312" w:cs="FangSong_GB2312"/>
          <w:spacing w:val="5"/>
          <w:sz w:val="32"/>
          <w:szCs w:val="32"/>
        </w:rPr>
        <w:t>换造林、购买式造林、碳汇造林等市场化运作机制，持续促进增绿增收双赢。重点抓好景区、林区、旅游林地建设，加强植树造林，进一步提高森林覆盖率。实施国省干道、旅游公路等道路两</w:t>
      </w:r>
      <w:r>
        <w:rPr>
          <w:rFonts w:ascii="FangSong_GB2312" w:hAnsi="FangSong_GB2312" w:eastAsia="FangSong_GB2312" w:cs="FangSong_GB2312"/>
          <w:spacing w:val="9"/>
          <w:sz w:val="32"/>
          <w:szCs w:val="32"/>
        </w:rPr>
        <w:t>侧宜林荒山绿化工程，提升通道沿线两侧生态景观。</w:t>
      </w:r>
    </w:p>
    <w:p>
      <w:pPr>
        <w:pStyle w:val="13"/>
        <w:keepNext w:val="0"/>
        <w:keepLines w:val="0"/>
        <w:pageBreakBefore w:val="0"/>
        <w:widowControl w:val="0"/>
        <w:kinsoku/>
        <w:wordWrap/>
        <w:overflowPunct/>
        <w:topLinePunct w:val="0"/>
        <w:autoSpaceDE w:val="0"/>
        <w:autoSpaceDN w:val="0"/>
        <w:bidi w:val="0"/>
        <w:adjustRightInd/>
        <w:snapToGrid w:val="0"/>
        <w:spacing w:before="240" w:beforeLines="0" w:after="240" w:line="592" w:lineRule="exact"/>
        <w:ind w:left="0" w:leftChars="0" w:right="0" w:rightChars="0" w:firstLine="0" w:firstLineChars="0"/>
        <w:jc w:val="center"/>
        <w:textAlignment w:val="auto"/>
        <w:outlineLvl w:val="1"/>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pPr>
      <w:bookmarkStart w:id="106" w:name="_Toc30086"/>
      <w:r>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t>第六节  建设控制</w:t>
      </w:r>
      <w:bookmarkEnd w:id="106"/>
    </w:p>
    <w:p>
      <w:pPr>
        <w:pStyle w:val="46"/>
        <w:pageBreakBefore w:val="0"/>
        <w:widowControl w:val="0"/>
        <w:kinsoku/>
        <w:wordWrap/>
        <w:overflowPunct/>
        <w:topLinePunct w:val="0"/>
        <w:autoSpaceDE w:val="0"/>
        <w:autoSpaceDN w:val="0"/>
        <w:bidi w:val="0"/>
        <w:adjustRightInd/>
        <w:snapToGrid/>
        <w:spacing w:before="0" w:line="360" w:lineRule="auto"/>
        <w:ind w:left="0" w:right="108" w:firstLine="675" w:firstLineChars="200"/>
        <w:textAlignment w:val="auto"/>
        <w:rPr>
          <w:rFonts w:hint="eastAsia" w:eastAsia="仿宋_GB2312"/>
          <w:color w:val="000000" w:themeColor="text1"/>
          <w:w w:val="105"/>
          <w:sz w:val="32"/>
          <w:szCs w:val="32"/>
          <w:highlight w:val="none"/>
          <w:lang w:val="en-US" w:eastAsia="zh-CN"/>
          <w14:textFill>
            <w14:solidFill>
              <w14:schemeClr w14:val="tx1"/>
            </w14:solidFill>
          </w14:textFill>
        </w:rPr>
      </w:pPr>
      <w:r>
        <w:rPr>
          <w:rFonts w:hint="eastAsia" w:eastAsia="仿宋_GB2312"/>
          <w:color w:val="000000" w:themeColor="text1"/>
          <w:w w:val="105"/>
          <w:sz w:val="32"/>
          <w:szCs w:val="32"/>
          <w:highlight w:val="none"/>
          <w:lang w:val="en-US" w:eastAsia="zh-CN"/>
          <w14:textFill>
            <w14:solidFill>
              <w14:schemeClr w14:val="tx1"/>
            </w14:solidFill>
          </w14:textFill>
        </w:rPr>
        <w:t xml:space="preserve">村民住宅建设标准 </w:t>
      </w:r>
    </w:p>
    <w:p>
      <w:pPr>
        <w:pageBreakBefore w:val="0"/>
        <w:widowControl w:val="0"/>
        <w:kinsoku/>
        <w:wordWrap/>
        <w:overflowPunct/>
        <w:topLinePunct w:val="0"/>
        <w:autoSpaceDE w:val="0"/>
        <w:autoSpaceDN w:val="0"/>
        <w:bidi w:val="0"/>
        <w:adjustRightInd/>
        <w:snapToGrid/>
        <w:spacing w:line="360" w:lineRule="auto"/>
        <w:ind w:right="89" w:firstLine="669"/>
        <w:textAlignment w:val="auto"/>
        <w:rPr>
          <w:rFonts w:hint="default" w:ascii="FangSong_GB2312" w:hAnsi="FangSong_GB2312" w:eastAsia="FangSong_GB2312" w:cs="FangSong_GB2312"/>
          <w:spacing w:val="4"/>
          <w:sz w:val="32"/>
          <w:szCs w:val="32"/>
          <w:lang w:val="en-US" w:eastAsia="zh-CN"/>
        </w:rPr>
      </w:pPr>
      <w:r>
        <w:rPr>
          <w:rFonts w:ascii="FangSong_GB2312" w:hAnsi="FangSong_GB2312" w:eastAsia="FangSong_GB2312" w:cs="FangSong_GB2312"/>
          <w:spacing w:val="4"/>
          <w:sz w:val="32"/>
          <w:szCs w:val="32"/>
          <w:lang w:val="en-US" w:eastAsia="zh-CN"/>
        </w:rPr>
        <w:t xml:space="preserve">严格落实“一户一宅”政策，宅基用地面积按照下列标准执行：城郊、农村集镇和圩区，每户不得超过 </w:t>
      </w:r>
      <w:r>
        <w:rPr>
          <w:rFonts w:hint="default" w:ascii="FangSong_GB2312" w:hAnsi="FangSong_GB2312" w:eastAsia="FangSong_GB2312" w:cs="FangSong_GB2312"/>
          <w:spacing w:val="4"/>
          <w:sz w:val="32"/>
          <w:szCs w:val="32"/>
          <w:lang w:val="en-US" w:eastAsia="zh-CN"/>
        </w:rPr>
        <w:t xml:space="preserve">160 </w:t>
      </w:r>
      <w:r>
        <w:rPr>
          <w:rFonts w:ascii="FangSong_GB2312" w:hAnsi="FangSong_GB2312" w:eastAsia="FangSong_GB2312" w:cs="FangSong_GB2312"/>
          <w:spacing w:val="4"/>
          <w:sz w:val="32"/>
          <w:szCs w:val="32"/>
          <w:lang w:val="en-US" w:eastAsia="zh-CN"/>
        </w:rPr>
        <w:t xml:space="preserve">平方米； 平原地区，每户不得超过 </w:t>
      </w:r>
      <w:r>
        <w:rPr>
          <w:rFonts w:hint="default" w:ascii="FangSong_GB2312" w:hAnsi="FangSong_GB2312" w:eastAsia="FangSong_GB2312" w:cs="FangSong_GB2312"/>
          <w:spacing w:val="4"/>
          <w:sz w:val="32"/>
          <w:szCs w:val="32"/>
          <w:lang w:val="en-US" w:eastAsia="zh-CN"/>
        </w:rPr>
        <w:t xml:space="preserve">220 </w:t>
      </w:r>
      <w:r>
        <w:rPr>
          <w:rFonts w:ascii="FangSong_GB2312" w:hAnsi="FangSong_GB2312" w:eastAsia="FangSong_GB2312" w:cs="FangSong_GB2312"/>
          <w:spacing w:val="4"/>
          <w:sz w:val="32"/>
          <w:szCs w:val="32"/>
          <w:lang w:val="en-US" w:eastAsia="zh-CN"/>
        </w:rPr>
        <w:t xml:space="preserve">平方米，且要明确选址要求和宅基用地范围。 </w:t>
      </w:r>
    </w:p>
    <w:p>
      <w:pPr>
        <w:pStyle w:val="46"/>
        <w:pageBreakBefore w:val="0"/>
        <w:widowControl w:val="0"/>
        <w:kinsoku/>
        <w:wordWrap/>
        <w:overflowPunct/>
        <w:topLinePunct w:val="0"/>
        <w:autoSpaceDE w:val="0"/>
        <w:autoSpaceDN w:val="0"/>
        <w:bidi w:val="0"/>
        <w:adjustRightInd/>
        <w:snapToGrid/>
        <w:spacing w:before="0" w:line="360" w:lineRule="auto"/>
        <w:ind w:left="0" w:leftChars="0" w:right="0" w:rightChars="0" w:firstLine="675" w:firstLineChars="200"/>
        <w:textAlignment w:val="auto"/>
        <w:rPr>
          <w:rFonts w:hint="eastAsia" w:eastAsia="仿宋_GB2312"/>
          <w:color w:val="000000" w:themeColor="text1"/>
          <w:w w:val="105"/>
          <w:sz w:val="32"/>
          <w:szCs w:val="32"/>
          <w:highlight w:val="none"/>
          <w:lang w:val="en-US" w:eastAsia="zh-CN"/>
          <w14:textFill>
            <w14:solidFill>
              <w14:schemeClr w14:val="tx1"/>
            </w14:solidFill>
          </w14:textFill>
        </w:rPr>
      </w:pPr>
      <w:bookmarkStart w:id="107" w:name="bookmark19"/>
      <w:bookmarkEnd w:id="107"/>
      <w:bookmarkStart w:id="108" w:name="bookmark20"/>
      <w:bookmarkEnd w:id="108"/>
      <w:r>
        <w:rPr>
          <w:rFonts w:hint="eastAsia" w:eastAsia="仿宋_GB2312"/>
          <w:color w:val="000000" w:themeColor="text1"/>
          <w:w w:val="105"/>
          <w:sz w:val="32"/>
          <w:szCs w:val="32"/>
          <w:highlight w:val="none"/>
          <w:lang w:val="en-US" w:eastAsia="zh-CN"/>
          <w14:textFill>
            <w14:solidFill>
              <w14:schemeClr w14:val="tx1"/>
            </w14:solidFill>
          </w14:textFill>
        </w:rPr>
        <w:t>建筑间距</w:t>
      </w:r>
    </w:p>
    <w:p>
      <w:pPr>
        <w:pageBreakBefore w:val="0"/>
        <w:widowControl w:val="0"/>
        <w:kinsoku/>
        <w:wordWrap/>
        <w:overflowPunct/>
        <w:topLinePunct w:val="0"/>
        <w:autoSpaceDE w:val="0"/>
        <w:autoSpaceDN w:val="0"/>
        <w:bidi w:val="0"/>
        <w:adjustRightInd/>
        <w:spacing w:line="360" w:lineRule="auto"/>
        <w:ind w:left="0" w:leftChars="0" w:right="0" w:rightChars="0" w:firstLine="652" w:firstLineChars="200"/>
        <w:textAlignment w:val="auto"/>
        <w:rPr>
          <w:rFonts w:ascii="FangSong_GB2312" w:hAnsi="FangSong_GB2312" w:eastAsia="FangSong_GB2312" w:cs="FangSong_GB2312"/>
          <w:sz w:val="31"/>
          <w:szCs w:val="31"/>
        </w:rPr>
      </w:pPr>
      <w:r>
        <w:rPr>
          <w:rFonts w:ascii="FangSong_GB2312" w:hAnsi="FangSong_GB2312" w:eastAsia="FangSong_GB2312" w:cs="FangSong_GB2312"/>
          <w:spacing w:val="8"/>
          <w:sz w:val="31"/>
          <w:szCs w:val="31"/>
        </w:rPr>
        <w:t>城镇开发边界外乡村建设用地内的建筑间距，应符合消防、</w:t>
      </w:r>
      <w:r>
        <w:rPr>
          <w:rFonts w:ascii="FangSong_GB2312" w:hAnsi="FangSong_GB2312" w:eastAsia="FangSong_GB2312" w:cs="FangSong_GB2312"/>
          <w:spacing w:val="-3"/>
          <w:sz w:val="31"/>
          <w:szCs w:val="31"/>
        </w:rPr>
        <w:t>环保、日照、空间景观、工程管线敷设和文物保护等方面的要求。</w:t>
      </w:r>
    </w:p>
    <w:p>
      <w:pPr>
        <w:pageBreakBefore w:val="0"/>
        <w:widowControl w:val="0"/>
        <w:kinsoku/>
        <w:wordWrap/>
        <w:overflowPunct/>
        <w:topLinePunct w:val="0"/>
        <w:autoSpaceDE w:val="0"/>
        <w:autoSpaceDN w:val="0"/>
        <w:bidi w:val="0"/>
        <w:adjustRightInd/>
        <w:spacing w:line="360" w:lineRule="auto"/>
        <w:ind w:left="0" w:leftChars="0" w:right="0" w:rightChars="0" w:firstLine="636" w:firstLineChars="200"/>
        <w:textAlignment w:val="auto"/>
        <w:rPr>
          <w:rFonts w:ascii="FangSong_GB2312" w:hAnsi="FangSong_GB2312" w:eastAsia="FangSong_GB2312" w:cs="FangSong_GB2312"/>
          <w:sz w:val="31"/>
          <w:szCs w:val="31"/>
        </w:rPr>
      </w:pPr>
      <w:r>
        <w:rPr>
          <w:rFonts w:ascii="FangSong_GB2312" w:hAnsi="FangSong_GB2312" w:eastAsia="FangSong_GB2312" w:cs="FangSong_GB2312"/>
          <w:spacing w:val="4"/>
          <w:sz w:val="31"/>
          <w:szCs w:val="31"/>
        </w:rPr>
        <w:t>农村建筑间距应不妨害相邻权、地役权，应保证相邻房屋</w:t>
      </w:r>
      <w:r>
        <w:rPr>
          <w:rFonts w:ascii="FangSong_GB2312" w:hAnsi="FangSong_GB2312" w:eastAsia="FangSong_GB2312" w:cs="FangSong_GB2312"/>
          <w:spacing w:val="9"/>
          <w:sz w:val="31"/>
          <w:szCs w:val="31"/>
        </w:rPr>
        <w:t>的正常采光和通行要求，并符合《农村防火规范（</w:t>
      </w:r>
      <w:r>
        <w:rPr>
          <w:rFonts w:ascii="FangSong_GB2312" w:hAnsi="FangSong_GB2312" w:eastAsia="FangSong_GB2312" w:cs="FangSong_GB2312"/>
          <w:sz w:val="31"/>
          <w:szCs w:val="31"/>
        </w:rPr>
        <w:t>GB</w:t>
      </w:r>
      <w:r>
        <w:rPr>
          <w:rFonts w:ascii="FangSong_GB2312" w:hAnsi="FangSong_GB2312" w:eastAsia="FangSong_GB2312" w:cs="FangSong_GB2312"/>
          <w:spacing w:val="9"/>
          <w:sz w:val="31"/>
          <w:szCs w:val="31"/>
        </w:rPr>
        <w:t>50039）》</w:t>
      </w:r>
      <w:r>
        <w:rPr>
          <w:rFonts w:ascii="FangSong_GB2312" w:hAnsi="FangSong_GB2312" w:eastAsia="FangSong_GB2312" w:cs="FangSong_GB2312"/>
          <w:spacing w:val="-3"/>
          <w:sz w:val="31"/>
          <w:szCs w:val="31"/>
        </w:rPr>
        <w:t>的规定。</w:t>
      </w:r>
    </w:p>
    <w:p>
      <w:pPr>
        <w:pageBreakBefore w:val="0"/>
        <w:widowControl w:val="0"/>
        <w:kinsoku/>
        <w:wordWrap/>
        <w:overflowPunct/>
        <w:topLinePunct w:val="0"/>
        <w:autoSpaceDE w:val="0"/>
        <w:autoSpaceDN w:val="0"/>
        <w:bidi w:val="0"/>
        <w:adjustRightInd/>
        <w:spacing w:line="360" w:lineRule="auto"/>
        <w:ind w:left="0" w:leftChars="0" w:right="0" w:rightChars="0" w:firstLine="652" w:firstLineChars="200"/>
        <w:textAlignment w:val="auto"/>
        <w:rPr>
          <w:rFonts w:ascii="FangSong_GB2312" w:hAnsi="FangSong_GB2312" w:eastAsia="FangSong_GB2312" w:cs="FangSong_GB2312"/>
          <w:sz w:val="31"/>
          <w:szCs w:val="31"/>
        </w:rPr>
      </w:pPr>
      <w:r>
        <w:rPr>
          <w:rFonts w:ascii="FangSong_GB2312" w:hAnsi="FangSong_GB2312" w:eastAsia="FangSong_GB2312" w:cs="FangSong_GB2312"/>
          <w:spacing w:val="8"/>
          <w:sz w:val="31"/>
          <w:szCs w:val="31"/>
        </w:rPr>
        <w:t>农村的厂房、仓库、公共建筑和建筑高</w:t>
      </w:r>
      <w:r>
        <w:rPr>
          <w:rFonts w:ascii="FangSong_GB2312" w:hAnsi="FangSong_GB2312" w:eastAsia="FangSong_GB2312" w:cs="FangSong_GB2312"/>
          <w:spacing w:val="7"/>
          <w:sz w:val="31"/>
          <w:szCs w:val="31"/>
        </w:rPr>
        <w:t>度超过</w:t>
      </w:r>
      <w:r>
        <w:rPr>
          <w:rFonts w:ascii="FangSong_GB2312" w:hAnsi="FangSong_GB2312" w:eastAsia="FangSong_GB2312" w:cs="FangSong_GB2312"/>
          <w:spacing w:val="-40"/>
          <w:sz w:val="31"/>
          <w:szCs w:val="31"/>
        </w:rPr>
        <w:t xml:space="preserve"> </w:t>
      </w:r>
      <w:r>
        <w:rPr>
          <w:rFonts w:ascii="FangSong_GB2312" w:hAnsi="FangSong_GB2312" w:eastAsia="FangSong_GB2312" w:cs="FangSong_GB2312"/>
          <w:spacing w:val="7"/>
          <w:sz w:val="31"/>
          <w:szCs w:val="31"/>
        </w:rPr>
        <w:t>15</w:t>
      </w:r>
      <w:r>
        <w:rPr>
          <w:rFonts w:ascii="FangSong_GB2312" w:hAnsi="FangSong_GB2312" w:eastAsia="FangSong_GB2312" w:cs="FangSong_GB2312"/>
          <w:spacing w:val="-51"/>
          <w:sz w:val="31"/>
          <w:szCs w:val="31"/>
        </w:rPr>
        <w:t xml:space="preserve"> </w:t>
      </w:r>
      <w:r>
        <w:rPr>
          <w:rFonts w:ascii="FangSong_GB2312" w:hAnsi="FangSong_GB2312" w:eastAsia="FangSong_GB2312" w:cs="FangSong_GB2312"/>
          <w:spacing w:val="7"/>
          <w:sz w:val="31"/>
          <w:szCs w:val="31"/>
        </w:rPr>
        <w:t>米的居</w:t>
      </w:r>
      <w:r>
        <w:rPr>
          <w:rFonts w:ascii="FangSong_GB2312" w:hAnsi="FangSong_GB2312" w:eastAsia="FangSong_GB2312" w:cs="FangSong_GB2312"/>
          <w:spacing w:val="54"/>
          <w:sz w:val="31"/>
          <w:szCs w:val="31"/>
        </w:rPr>
        <w:t>住建筑的建筑间距应执行国家标准《</w:t>
      </w:r>
      <w:r>
        <w:rPr>
          <w:rFonts w:ascii="FangSong_GB2312" w:hAnsi="FangSong_GB2312" w:eastAsia="FangSong_GB2312" w:cs="FangSong_GB2312"/>
          <w:spacing w:val="-53"/>
          <w:sz w:val="31"/>
          <w:szCs w:val="31"/>
        </w:rPr>
        <w:t xml:space="preserve"> </w:t>
      </w:r>
      <w:r>
        <w:rPr>
          <w:rFonts w:ascii="FangSong_GB2312" w:hAnsi="FangSong_GB2312" w:eastAsia="FangSong_GB2312" w:cs="FangSong_GB2312"/>
          <w:spacing w:val="54"/>
          <w:sz w:val="31"/>
          <w:szCs w:val="31"/>
        </w:rPr>
        <w:t>建筑设计防火规范</w:t>
      </w:r>
      <w:r>
        <w:rPr>
          <w:rFonts w:ascii="FangSong_GB2312" w:hAnsi="FangSong_GB2312" w:eastAsia="FangSong_GB2312" w:cs="FangSong_GB2312"/>
          <w:spacing w:val="7"/>
          <w:sz w:val="31"/>
          <w:szCs w:val="31"/>
        </w:rPr>
        <w:t>（</w:t>
      </w:r>
      <w:r>
        <w:rPr>
          <w:rFonts w:ascii="FangSong_GB2312" w:hAnsi="FangSong_GB2312" w:eastAsia="FangSong_GB2312" w:cs="FangSong_GB2312"/>
          <w:sz w:val="31"/>
          <w:szCs w:val="31"/>
        </w:rPr>
        <w:t>GB</w:t>
      </w:r>
      <w:r>
        <w:rPr>
          <w:rFonts w:ascii="FangSong_GB2312" w:hAnsi="FangSong_GB2312" w:eastAsia="FangSong_GB2312" w:cs="FangSong_GB2312"/>
          <w:spacing w:val="7"/>
          <w:sz w:val="31"/>
          <w:szCs w:val="31"/>
        </w:rPr>
        <w:t>50016）》的规定。</w:t>
      </w:r>
    </w:p>
    <w:p>
      <w:pPr>
        <w:pageBreakBefore w:val="0"/>
        <w:widowControl w:val="0"/>
        <w:kinsoku/>
        <w:wordWrap/>
        <w:overflowPunct/>
        <w:topLinePunct w:val="0"/>
        <w:autoSpaceDE w:val="0"/>
        <w:autoSpaceDN w:val="0"/>
        <w:bidi w:val="0"/>
        <w:adjustRightInd/>
        <w:spacing w:line="360" w:lineRule="auto"/>
        <w:ind w:left="0" w:leftChars="0" w:right="0" w:rightChars="0" w:firstLine="636" w:firstLineChars="200"/>
        <w:textAlignment w:val="auto"/>
        <w:rPr>
          <w:rFonts w:ascii="FangSong_GB2312" w:hAnsi="FangSong_GB2312" w:eastAsia="FangSong_GB2312" w:cs="FangSong_GB2312"/>
          <w:spacing w:val="7"/>
          <w:sz w:val="31"/>
          <w:szCs w:val="31"/>
        </w:rPr>
      </w:pPr>
      <w:r>
        <w:rPr>
          <w:rFonts w:ascii="FangSong_GB2312" w:hAnsi="FangSong_GB2312" w:eastAsia="FangSong_GB2312" w:cs="FangSong_GB2312"/>
          <w:spacing w:val="4"/>
          <w:sz w:val="31"/>
          <w:szCs w:val="31"/>
        </w:rPr>
        <w:t>集贸市场、厂房、仓库以及变压器、变电所（站）之间及</w:t>
      </w:r>
      <w:r>
        <w:rPr>
          <w:rFonts w:ascii="FangSong_GB2312" w:hAnsi="FangSong_GB2312" w:eastAsia="FangSong_GB2312" w:cs="FangSong_GB2312"/>
          <w:spacing w:val="5"/>
          <w:sz w:val="31"/>
          <w:szCs w:val="31"/>
        </w:rPr>
        <w:t>与居住建筑的防火间距应符合现行国家标准《建筑设计防火规范</w:t>
      </w:r>
      <w:r>
        <w:rPr>
          <w:rFonts w:ascii="FangSong_GB2312" w:hAnsi="FangSong_GB2312" w:eastAsia="FangSong_GB2312" w:cs="FangSong_GB2312"/>
          <w:spacing w:val="7"/>
          <w:sz w:val="31"/>
          <w:szCs w:val="31"/>
        </w:rPr>
        <w:t>（</w:t>
      </w:r>
      <w:r>
        <w:rPr>
          <w:rFonts w:ascii="FangSong_GB2312" w:hAnsi="FangSong_GB2312" w:eastAsia="FangSong_GB2312" w:cs="FangSong_GB2312"/>
          <w:sz w:val="31"/>
          <w:szCs w:val="31"/>
        </w:rPr>
        <w:t>GB</w:t>
      </w:r>
      <w:r>
        <w:rPr>
          <w:rFonts w:ascii="FangSong_GB2312" w:hAnsi="FangSong_GB2312" w:eastAsia="FangSong_GB2312" w:cs="FangSong_GB2312"/>
          <w:spacing w:val="7"/>
          <w:sz w:val="31"/>
          <w:szCs w:val="31"/>
        </w:rPr>
        <w:t>50016）》的要求。</w:t>
      </w:r>
      <w:bookmarkStart w:id="109" w:name="bookmark21"/>
      <w:bookmarkEnd w:id="109"/>
    </w:p>
    <w:p>
      <w:pPr>
        <w:pStyle w:val="46"/>
        <w:pageBreakBefore w:val="0"/>
        <w:widowControl w:val="0"/>
        <w:kinsoku/>
        <w:wordWrap/>
        <w:overflowPunct/>
        <w:topLinePunct w:val="0"/>
        <w:autoSpaceDE w:val="0"/>
        <w:autoSpaceDN w:val="0"/>
        <w:bidi w:val="0"/>
        <w:adjustRightInd/>
        <w:snapToGrid/>
        <w:spacing w:before="0" w:line="360" w:lineRule="auto"/>
        <w:ind w:left="0" w:leftChars="0" w:right="0" w:rightChars="0" w:firstLine="675" w:firstLineChars="200"/>
        <w:textAlignment w:val="auto"/>
        <w:rPr>
          <w:rFonts w:hint="eastAsia" w:eastAsia="仿宋_GB2312"/>
          <w:color w:val="000000" w:themeColor="text1"/>
          <w:w w:val="105"/>
          <w:sz w:val="32"/>
          <w:szCs w:val="32"/>
          <w:highlight w:val="none"/>
          <w:lang w:val="en-US" w:eastAsia="zh-CN"/>
          <w14:textFill>
            <w14:solidFill>
              <w14:schemeClr w14:val="tx1"/>
            </w14:solidFill>
          </w14:textFill>
        </w:rPr>
      </w:pPr>
      <w:r>
        <w:rPr>
          <w:rFonts w:hint="eastAsia" w:eastAsia="仿宋_GB2312"/>
          <w:color w:val="000000" w:themeColor="text1"/>
          <w:w w:val="105"/>
          <w:sz w:val="32"/>
          <w:szCs w:val="32"/>
          <w:highlight w:val="none"/>
          <w:lang w:val="en-US" w:eastAsia="zh-CN"/>
          <w14:textFill>
            <w14:solidFill>
              <w14:schemeClr w14:val="tx1"/>
            </w14:solidFill>
          </w14:textFill>
        </w:rPr>
        <w:t>建筑退界</w:t>
      </w:r>
    </w:p>
    <w:p>
      <w:pPr>
        <w:pageBreakBefore w:val="0"/>
        <w:widowControl w:val="0"/>
        <w:kinsoku/>
        <w:wordWrap/>
        <w:overflowPunct/>
        <w:topLinePunct w:val="0"/>
        <w:autoSpaceDE w:val="0"/>
        <w:autoSpaceDN w:val="0"/>
        <w:bidi w:val="0"/>
        <w:adjustRightInd/>
        <w:spacing w:line="360" w:lineRule="auto"/>
        <w:ind w:left="0" w:leftChars="0" w:right="0" w:rightChars="0" w:firstLine="636" w:firstLineChars="200"/>
        <w:textAlignment w:val="auto"/>
        <w:rPr>
          <w:rFonts w:ascii="FangSong_GB2312" w:hAnsi="FangSong_GB2312" w:eastAsia="FangSong_GB2312" w:cs="FangSong_GB2312"/>
          <w:spacing w:val="4"/>
          <w:sz w:val="31"/>
          <w:szCs w:val="31"/>
        </w:rPr>
      </w:pPr>
      <w:r>
        <w:rPr>
          <w:rFonts w:ascii="FangSong_GB2312" w:hAnsi="FangSong_GB2312" w:eastAsia="FangSong_GB2312" w:cs="FangSong_GB2312"/>
          <w:spacing w:val="4"/>
          <w:sz w:val="31"/>
          <w:szCs w:val="31"/>
        </w:rPr>
        <w:t>沿建筑用地界线和沿乡村道路、公路、河道、铁路、电力线路、工程管线布局的建筑物以及在文物保护单位、易燃易爆设施、城市基础设施周边布局的建筑物，其退让距离应符合消防、日照、环保、卫生、抗震、防洪、安全和文物保护等要求，必要时还应征求相关部门意见。</w:t>
      </w:r>
    </w:p>
    <w:p>
      <w:pPr>
        <w:pageBreakBefore w:val="0"/>
        <w:widowControl w:val="0"/>
        <w:kinsoku/>
        <w:wordWrap/>
        <w:overflowPunct/>
        <w:topLinePunct w:val="0"/>
        <w:autoSpaceDE w:val="0"/>
        <w:autoSpaceDN w:val="0"/>
        <w:bidi w:val="0"/>
        <w:adjustRightInd/>
        <w:spacing w:line="360" w:lineRule="auto"/>
        <w:ind w:left="0" w:leftChars="0" w:right="0" w:rightChars="0" w:firstLine="636" w:firstLineChars="200"/>
        <w:textAlignment w:val="auto"/>
        <w:rPr>
          <w:rFonts w:ascii="FangSong_GB2312" w:hAnsi="FangSong_GB2312" w:eastAsia="FangSong_GB2312" w:cs="FangSong_GB2312"/>
          <w:spacing w:val="4"/>
          <w:sz w:val="31"/>
          <w:szCs w:val="31"/>
        </w:rPr>
      </w:pPr>
      <w:r>
        <w:rPr>
          <w:rFonts w:ascii="FangSong_GB2312" w:hAnsi="FangSong_GB2312" w:eastAsia="FangSong_GB2312" w:cs="FangSong_GB2312"/>
          <w:spacing w:val="4"/>
          <w:sz w:val="31"/>
          <w:szCs w:val="31"/>
        </w:rPr>
        <w:t>同一建筑在建筑间距和建筑退让等多重控制要求的情况下原则上按最大的控制距离执行。</w:t>
      </w:r>
    </w:p>
    <w:p>
      <w:pPr>
        <w:pageBreakBefore w:val="0"/>
        <w:widowControl w:val="0"/>
        <w:kinsoku/>
        <w:wordWrap/>
        <w:overflowPunct/>
        <w:topLinePunct w:val="0"/>
        <w:autoSpaceDE w:val="0"/>
        <w:autoSpaceDN w:val="0"/>
        <w:bidi w:val="0"/>
        <w:adjustRightInd/>
        <w:spacing w:line="360" w:lineRule="auto"/>
        <w:ind w:left="0" w:leftChars="0" w:right="0" w:rightChars="0" w:firstLine="640" w:firstLineChars="200"/>
        <w:textAlignment w:val="auto"/>
        <w:rPr>
          <w:rFonts w:ascii="FangSong_GB2312" w:hAnsi="FangSong_GB2312" w:eastAsia="FangSong_GB2312" w:cs="FangSong_GB2312"/>
          <w:sz w:val="31"/>
          <w:szCs w:val="31"/>
        </w:rPr>
      </w:pPr>
      <w:r>
        <w:rPr>
          <w:rFonts w:ascii="FangSong_GB2312" w:hAnsi="FangSong_GB2312" w:eastAsia="FangSong_GB2312" w:cs="FangSong_GB2312"/>
          <w:spacing w:val="5"/>
          <w:sz w:val="31"/>
          <w:szCs w:val="31"/>
        </w:rPr>
        <w:t>建筑后退用地界线距离：</w:t>
      </w:r>
      <w:r>
        <w:rPr>
          <w:rFonts w:ascii="FangSong_GB2312" w:hAnsi="FangSong_GB2312" w:eastAsia="FangSong_GB2312" w:cs="FangSong_GB2312"/>
          <w:spacing w:val="2"/>
          <w:sz w:val="31"/>
          <w:szCs w:val="31"/>
        </w:rPr>
        <w:t>建筑后退用地界线原则不低于</w:t>
      </w:r>
      <w:r>
        <w:rPr>
          <w:rFonts w:ascii="FangSong_GB2312" w:hAnsi="FangSong_GB2312" w:eastAsia="FangSong_GB2312" w:cs="FangSong_GB2312"/>
          <w:spacing w:val="-22"/>
          <w:sz w:val="31"/>
          <w:szCs w:val="31"/>
        </w:rPr>
        <w:t xml:space="preserve"> </w:t>
      </w:r>
      <w:r>
        <w:rPr>
          <w:rFonts w:ascii="FangSong_GB2312" w:hAnsi="FangSong_GB2312" w:eastAsia="FangSong_GB2312" w:cs="FangSong_GB2312"/>
          <w:spacing w:val="2"/>
          <w:sz w:val="31"/>
          <w:szCs w:val="31"/>
        </w:rPr>
        <w:t>3</w:t>
      </w:r>
      <w:r>
        <w:rPr>
          <w:rFonts w:ascii="FangSong_GB2312" w:hAnsi="FangSong_GB2312" w:eastAsia="FangSong_GB2312" w:cs="FangSong_GB2312"/>
          <w:spacing w:val="-53"/>
          <w:sz w:val="31"/>
          <w:szCs w:val="31"/>
        </w:rPr>
        <w:t xml:space="preserve"> </w:t>
      </w:r>
      <w:r>
        <w:rPr>
          <w:rFonts w:ascii="FangSong_GB2312" w:hAnsi="FangSong_GB2312" w:eastAsia="FangSong_GB2312" w:cs="FangSong_GB2312"/>
          <w:spacing w:val="2"/>
          <w:sz w:val="31"/>
          <w:szCs w:val="31"/>
        </w:rPr>
        <w:t>米。用地局限时，在满足消</w:t>
      </w:r>
      <w:r>
        <w:rPr>
          <w:rFonts w:ascii="FangSong_GB2312" w:hAnsi="FangSong_GB2312" w:eastAsia="FangSong_GB2312" w:cs="FangSong_GB2312"/>
          <w:spacing w:val="5"/>
          <w:sz w:val="31"/>
          <w:szCs w:val="31"/>
        </w:rPr>
        <w:t>防、日照等要求的前提下，并经征得界外相</w:t>
      </w:r>
      <w:r>
        <w:rPr>
          <w:rFonts w:ascii="FangSong_GB2312" w:hAnsi="FangSong_GB2312" w:eastAsia="FangSong_GB2312" w:cs="FangSong_GB2312"/>
          <w:spacing w:val="4"/>
          <w:sz w:val="31"/>
          <w:szCs w:val="31"/>
        </w:rPr>
        <w:t>邻用地单位同意，建</w:t>
      </w:r>
      <w:r>
        <w:rPr>
          <w:rFonts w:ascii="FangSong_GB2312" w:hAnsi="FangSong_GB2312" w:eastAsia="FangSong_GB2312" w:cs="FangSong_GB2312"/>
          <w:spacing w:val="7"/>
          <w:sz w:val="31"/>
          <w:szCs w:val="31"/>
        </w:rPr>
        <w:t>筑后退用地界线距离可适当缩小或不作要求。</w:t>
      </w:r>
    </w:p>
    <w:p>
      <w:pPr>
        <w:pageBreakBefore w:val="0"/>
        <w:widowControl w:val="0"/>
        <w:kinsoku/>
        <w:wordWrap/>
        <w:overflowPunct/>
        <w:topLinePunct w:val="0"/>
        <w:autoSpaceDE w:val="0"/>
        <w:autoSpaceDN w:val="0"/>
        <w:bidi w:val="0"/>
        <w:adjustRightInd/>
        <w:spacing w:line="360" w:lineRule="auto"/>
        <w:ind w:left="0" w:leftChars="0" w:right="0" w:rightChars="0" w:firstLine="640" w:firstLineChars="200"/>
        <w:textAlignment w:val="auto"/>
        <w:rPr>
          <w:rFonts w:ascii="FangSong_GB2312" w:hAnsi="FangSong_GB2312" w:eastAsia="FangSong_GB2312" w:cs="FangSong_GB2312"/>
          <w:sz w:val="31"/>
          <w:szCs w:val="31"/>
        </w:rPr>
      </w:pPr>
      <w:r>
        <w:rPr>
          <w:rFonts w:ascii="FangSong_GB2312" w:hAnsi="FangSong_GB2312" w:eastAsia="FangSong_GB2312" w:cs="FangSong_GB2312"/>
          <w:spacing w:val="5"/>
          <w:sz w:val="31"/>
          <w:szCs w:val="31"/>
        </w:rPr>
        <w:t>建筑后退公路距离：</w:t>
      </w:r>
      <w:r>
        <w:rPr>
          <w:rFonts w:ascii="FangSong_GB2312" w:hAnsi="FangSong_GB2312" w:eastAsia="FangSong_GB2312" w:cs="FangSong_GB2312"/>
          <w:spacing w:val="4"/>
          <w:sz w:val="31"/>
          <w:szCs w:val="31"/>
        </w:rPr>
        <w:t>除高速公路防护、养护需要的建筑以外，其他建筑后退高速</w:t>
      </w:r>
      <w:r>
        <w:rPr>
          <w:rFonts w:ascii="FangSong_GB2312" w:hAnsi="FangSong_GB2312" w:eastAsia="FangSong_GB2312" w:cs="FangSong_GB2312"/>
          <w:spacing w:val="8"/>
          <w:sz w:val="31"/>
          <w:szCs w:val="31"/>
        </w:rPr>
        <w:t>公路边沟外缘的距离不得小于</w:t>
      </w:r>
      <w:r>
        <w:rPr>
          <w:rFonts w:ascii="FangSong_GB2312" w:hAnsi="FangSong_GB2312" w:eastAsia="FangSong_GB2312" w:cs="FangSong_GB2312"/>
          <w:spacing w:val="-19"/>
          <w:sz w:val="31"/>
          <w:szCs w:val="31"/>
        </w:rPr>
        <w:t xml:space="preserve"> </w:t>
      </w:r>
      <w:r>
        <w:rPr>
          <w:rFonts w:ascii="FangSong_GB2312" w:hAnsi="FangSong_GB2312" w:eastAsia="FangSong_GB2312" w:cs="FangSong_GB2312"/>
          <w:spacing w:val="8"/>
          <w:sz w:val="31"/>
          <w:szCs w:val="31"/>
        </w:rPr>
        <w:t>30</w:t>
      </w:r>
      <w:r>
        <w:rPr>
          <w:rFonts w:ascii="FangSong_GB2312" w:hAnsi="FangSong_GB2312" w:eastAsia="FangSong_GB2312" w:cs="FangSong_GB2312"/>
          <w:spacing w:val="-52"/>
          <w:sz w:val="31"/>
          <w:szCs w:val="31"/>
        </w:rPr>
        <w:t xml:space="preserve"> </w:t>
      </w:r>
      <w:r>
        <w:rPr>
          <w:rFonts w:ascii="FangSong_GB2312" w:hAnsi="FangSong_GB2312" w:eastAsia="FangSong_GB2312" w:cs="FangSong_GB2312"/>
          <w:spacing w:val="8"/>
          <w:sz w:val="31"/>
          <w:szCs w:val="31"/>
        </w:rPr>
        <w:t>米；后退匝道、高速公路连接</w:t>
      </w:r>
      <w:r>
        <w:rPr>
          <w:rFonts w:ascii="FangSong_GB2312" w:hAnsi="FangSong_GB2312" w:eastAsia="FangSong_GB2312" w:cs="FangSong_GB2312"/>
          <w:spacing w:val="-2"/>
          <w:sz w:val="31"/>
          <w:szCs w:val="31"/>
        </w:rPr>
        <w:t>线外缘的距离不得小于</w:t>
      </w:r>
      <w:r>
        <w:rPr>
          <w:rFonts w:ascii="FangSong_GB2312" w:hAnsi="FangSong_GB2312" w:eastAsia="FangSong_GB2312" w:cs="FangSong_GB2312"/>
          <w:spacing w:val="-77"/>
          <w:sz w:val="31"/>
          <w:szCs w:val="31"/>
        </w:rPr>
        <w:t xml:space="preserve"> </w:t>
      </w:r>
      <w:r>
        <w:rPr>
          <w:rFonts w:ascii="FangSong_GB2312" w:hAnsi="FangSong_GB2312" w:eastAsia="FangSong_GB2312" w:cs="FangSong_GB2312"/>
          <w:spacing w:val="-2"/>
          <w:sz w:val="31"/>
          <w:szCs w:val="31"/>
        </w:rPr>
        <w:t>20</w:t>
      </w:r>
      <w:r>
        <w:rPr>
          <w:rFonts w:ascii="FangSong_GB2312" w:hAnsi="FangSong_GB2312" w:eastAsia="FangSong_GB2312" w:cs="FangSong_GB2312"/>
          <w:spacing w:val="-82"/>
          <w:sz w:val="31"/>
          <w:szCs w:val="31"/>
        </w:rPr>
        <w:t xml:space="preserve"> </w:t>
      </w:r>
      <w:r>
        <w:rPr>
          <w:rFonts w:ascii="FangSong_GB2312" w:hAnsi="FangSong_GB2312" w:eastAsia="FangSong_GB2312" w:cs="FangSong_GB2312"/>
          <w:spacing w:val="-2"/>
          <w:sz w:val="31"/>
          <w:szCs w:val="31"/>
        </w:rPr>
        <w:t>米；后退收费站的距离不得小</w:t>
      </w:r>
      <w:r>
        <w:rPr>
          <w:rFonts w:ascii="FangSong_GB2312" w:hAnsi="FangSong_GB2312" w:eastAsia="FangSong_GB2312" w:cs="FangSong_GB2312"/>
          <w:spacing w:val="-3"/>
          <w:sz w:val="31"/>
          <w:szCs w:val="31"/>
        </w:rPr>
        <w:t>于</w:t>
      </w:r>
      <w:r>
        <w:rPr>
          <w:rFonts w:ascii="FangSong_GB2312" w:hAnsi="FangSong_GB2312" w:eastAsia="FangSong_GB2312" w:cs="FangSong_GB2312"/>
          <w:spacing w:val="-73"/>
          <w:sz w:val="31"/>
          <w:szCs w:val="31"/>
        </w:rPr>
        <w:t xml:space="preserve"> </w:t>
      </w:r>
      <w:r>
        <w:rPr>
          <w:rFonts w:ascii="FangSong_GB2312" w:hAnsi="FangSong_GB2312" w:eastAsia="FangSong_GB2312" w:cs="FangSong_GB2312"/>
          <w:spacing w:val="-3"/>
          <w:sz w:val="31"/>
          <w:szCs w:val="31"/>
        </w:rPr>
        <w:t>50</w:t>
      </w:r>
      <w:r>
        <w:rPr>
          <w:rFonts w:ascii="FangSong_GB2312" w:hAnsi="FangSong_GB2312" w:eastAsia="FangSong_GB2312" w:cs="FangSong_GB2312"/>
          <w:spacing w:val="-80"/>
          <w:sz w:val="31"/>
          <w:szCs w:val="31"/>
        </w:rPr>
        <w:t xml:space="preserve"> </w:t>
      </w:r>
      <w:r>
        <w:rPr>
          <w:rFonts w:ascii="FangSong_GB2312" w:hAnsi="FangSong_GB2312" w:eastAsia="FangSong_GB2312" w:cs="FangSong_GB2312"/>
          <w:spacing w:val="-3"/>
          <w:sz w:val="31"/>
          <w:szCs w:val="31"/>
        </w:rPr>
        <w:t>米。</w:t>
      </w:r>
    </w:p>
    <w:p>
      <w:pPr>
        <w:pageBreakBefore w:val="0"/>
        <w:widowControl w:val="0"/>
        <w:kinsoku/>
        <w:wordWrap/>
        <w:overflowPunct/>
        <w:topLinePunct w:val="0"/>
        <w:autoSpaceDE w:val="0"/>
        <w:autoSpaceDN w:val="0"/>
        <w:bidi w:val="0"/>
        <w:adjustRightInd/>
        <w:spacing w:line="360" w:lineRule="auto"/>
        <w:ind w:left="0" w:leftChars="0" w:right="0" w:rightChars="0" w:firstLine="640" w:firstLineChars="200"/>
        <w:textAlignment w:val="auto"/>
        <w:rPr>
          <w:rFonts w:ascii="FangSong_GB2312" w:hAnsi="FangSong_GB2312" w:eastAsia="FangSong_GB2312" w:cs="FangSong_GB2312"/>
          <w:sz w:val="31"/>
          <w:szCs w:val="31"/>
        </w:rPr>
      </w:pPr>
      <w:r>
        <w:rPr>
          <w:rFonts w:ascii="FangSong_GB2312" w:hAnsi="FangSong_GB2312" w:eastAsia="FangSong_GB2312" w:cs="FangSong_GB2312"/>
          <w:spacing w:val="5"/>
          <w:sz w:val="31"/>
          <w:szCs w:val="31"/>
        </w:rPr>
        <w:t>根据《公路安全保护条例》规定，公路两侧建筑控制区范围</w:t>
      </w:r>
      <w:r>
        <w:rPr>
          <w:rFonts w:ascii="FangSong_GB2312" w:hAnsi="FangSong_GB2312" w:eastAsia="FangSong_GB2312" w:cs="FangSong_GB2312"/>
          <w:spacing w:val="1"/>
          <w:sz w:val="31"/>
          <w:szCs w:val="31"/>
        </w:rPr>
        <w:t>从公路边沟外缘起：国道不少于</w:t>
      </w:r>
      <w:r>
        <w:rPr>
          <w:rFonts w:ascii="FangSong_GB2312" w:hAnsi="FangSong_GB2312" w:eastAsia="FangSong_GB2312" w:cs="FangSong_GB2312"/>
          <w:spacing w:val="-48"/>
          <w:sz w:val="31"/>
          <w:szCs w:val="31"/>
        </w:rPr>
        <w:t xml:space="preserve"> </w:t>
      </w:r>
      <w:r>
        <w:rPr>
          <w:rFonts w:ascii="FangSong_GB2312" w:hAnsi="FangSong_GB2312" w:eastAsia="FangSong_GB2312" w:cs="FangSong_GB2312"/>
          <w:spacing w:val="1"/>
          <w:sz w:val="31"/>
          <w:szCs w:val="31"/>
        </w:rPr>
        <w:t>20</w:t>
      </w:r>
      <w:r>
        <w:rPr>
          <w:rFonts w:ascii="FangSong_GB2312" w:hAnsi="FangSong_GB2312" w:eastAsia="FangSong_GB2312" w:cs="FangSong_GB2312"/>
          <w:spacing w:val="-53"/>
          <w:sz w:val="31"/>
          <w:szCs w:val="31"/>
        </w:rPr>
        <w:t xml:space="preserve"> </w:t>
      </w:r>
      <w:r>
        <w:rPr>
          <w:rFonts w:ascii="FangSong_GB2312" w:hAnsi="FangSong_GB2312" w:eastAsia="FangSong_GB2312" w:cs="FangSong_GB2312"/>
          <w:spacing w:val="1"/>
          <w:sz w:val="31"/>
          <w:szCs w:val="31"/>
        </w:rPr>
        <w:t>米；省道不少于</w:t>
      </w:r>
      <w:r>
        <w:rPr>
          <w:rFonts w:ascii="FangSong_GB2312" w:hAnsi="FangSong_GB2312" w:eastAsia="FangSong_GB2312" w:cs="FangSong_GB2312"/>
          <w:spacing w:val="-41"/>
          <w:sz w:val="31"/>
          <w:szCs w:val="31"/>
        </w:rPr>
        <w:t xml:space="preserve"> </w:t>
      </w:r>
      <w:r>
        <w:rPr>
          <w:rFonts w:ascii="FangSong_GB2312" w:hAnsi="FangSong_GB2312" w:eastAsia="FangSong_GB2312" w:cs="FangSong_GB2312"/>
          <w:spacing w:val="1"/>
          <w:sz w:val="31"/>
          <w:szCs w:val="31"/>
        </w:rPr>
        <w:t>15</w:t>
      </w:r>
      <w:r>
        <w:rPr>
          <w:rFonts w:ascii="FangSong_GB2312" w:hAnsi="FangSong_GB2312" w:eastAsia="FangSong_GB2312" w:cs="FangSong_GB2312"/>
          <w:spacing w:val="-54"/>
          <w:sz w:val="31"/>
          <w:szCs w:val="31"/>
        </w:rPr>
        <w:t xml:space="preserve"> </w:t>
      </w:r>
      <w:r>
        <w:rPr>
          <w:rFonts w:ascii="FangSong_GB2312" w:hAnsi="FangSong_GB2312" w:eastAsia="FangSong_GB2312" w:cs="FangSong_GB2312"/>
          <w:spacing w:val="1"/>
          <w:sz w:val="31"/>
          <w:szCs w:val="31"/>
        </w:rPr>
        <w:t>米；县道</w:t>
      </w:r>
      <w:r>
        <w:rPr>
          <w:rFonts w:ascii="FangSong_GB2312" w:hAnsi="FangSong_GB2312" w:eastAsia="FangSong_GB2312" w:cs="FangSong_GB2312"/>
          <w:spacing w:val="-5"/>
          <w:sz w:val="31"/>
          <w:szCs w:val="31"/>
        </w:rPr>
        <w:t>不少于</w:t>
      </w:r>
      <w:r>
        <w:rPr>
          <w:rFonts w:ascii="FangSong_GB2312" w:hAnsi="FangSong_GB2312" w:eastAsia="FangSong_GB2312" w:cs="FangSong_GB2312"/>
          <w:spacing w:val="-36"/>
          <w:sz w:val="31"/>
          <w:szCs w:val="31"/>
        </w:rPr>
        <w:t xml:space="preserve"> </w:t>
      </w:r>
      <w:r>
        <w:rPr>
          <w:rFonts w:ascii="FangSong_GB2312" w:hAnsi="FangSong_GB2312" w:eastAsia="FangSong_GB2312" w:cs="FangSong_GB2312"/>
          <w:spacing w:val="-5"/>
          <w:sz w:val="31"/>
          <w:szCs w:val="31"/>
        </w:rPr>
        <w:t>10</w:t>
      </w:r>
      <w:r>
        <w:rPr>
          <w:rFonts w:ascii="FangSong_GB2312" w:hAnsi="FangSong_GB2312" w:eastAsia="FangSong_GB2312" w:cs="FangSong_GB2312"/>
          <w:spacing w:val="-56"/>
          <w:sz w:val="31"/>
          <w:szCs w:val="31"/>
        </w:rPr>
        <w:t xml:space="preserve"> </w:t>
      </w:r>
      <w:r>
        <w:rPr>
          <w:rFonts w:ascii="FangSong_GB2312" w:hAnsi="FangSong_GB2312" w:eastAsia="FangSong_GB2312" w:cs="FangSong_GB2312"/>
          <w:spacing w:val="-5"/>
          <w:sz w:val="31"/>
          <w:szCs w:val="31"/>
        </w:rPr>
        <w:t>米；</w:t>
      </w:r>
      <w:r>
        <w:rPr>
          <w:rFonts w:ascii="FangSong_GB2312" w:hAnsi="FangSong_GB2312" w:eastAsia="FangSong_GB2312" w:cs="FangSong_GB2312"/>
          <w:spacing w:val="-86"/>
          <w:sz w:val="31"/>
          <w:szCs w:val="31"/>
        </w:rPr>
        <w:t xml:space="preserve"> </w:t>
      </w:r>
      <w:r>
        <w:rPr>
          <w:rFonts w:ascii="FangSong_GB2312" w:hAnsi="FangSong_GB2312" w:eastAsia="FangSong_GB2312" w:cs="FangSong_GB2312"/>
          <w:spacing w:val="-5"/>
          <w:sz w:val="31"/>
          <w:szCs w:val="31"/>
        </w:rPr>
        <w:t>乡道不少于</w:t>
      </w:r>
      <w:r>
        <w:rPr>
          <w:rFonts w:ascii="FangSong_GB2312" w:hAnsi="FangSong_GB2312" w:eastAsia="FangSong_GB2312" w:cs="FangSong_GB2312"/>
          <w:spacing w:val="-44"/>
          <w:sz w:val="31"/>
          <w:szCs w:val="31"/>
        </w:rPr>
        <w:t xml:space="preserve"> </w:t>
      </w:r>
      <w:r>
        <w:rPr>
          <w:rFonts w:ascii="FangSong_GB2312" w:hAnsi="FangSong_GB2312" w:eastAsia="FangSong_GB2312" w:cs="FangSong_GB2312"/>
          <w:spacing w:val="-5"/>
          <w:sz w:val="31"/>
          <w:szCs w:val="31"/>
        </w:rPr>
        <w:t>5</w:t>
      </w:r>
      <w:r>
        <w:rPr>
          <w:rFonts w:ascii="FangSong_GB2312" w:hAnsi="FangSong_GB2312" w:eastAsia="FangSong_GB2312" w:cs="FangSong_GB2312"/>
          <w:spacing w:val="-54"/>
          <w:sz w:val="31"/>
          <w:szCs w:val="31"/>
        </w:rPr>
        <w:t xml:space="preserve"> </w:t>
      </w:r>
      <w:r>
        <w:rPr>
          <w:rFonts w:ascii="FangSong_GB2312" w:hAnsi="FangSong_GB2312" w:eastAsia="FangSong_GB2312" w:cs="FangSong_GB2312"/>
          <w:spacing w:val="-5"/>
          <w:sz w:val="31"/>
          <w:szCs w:val="31"/>
        </w:rPr>
        <w:t>米。</w:t>
      </w:r>
    </w:p>
    <w:p>
      <w:pPr>
        <w:pageBreakBefore w:val="0"/>
        <w:widowControl w:val="0"/>
        <w:kinsoku/>
        <w:wordWrap/>
        <w:overflowPunct/>
        <w:topLinePunct w:val="0"/>
        <w:autoSpaceDE w:val="0"/>
        <w:autoSpaceDN w:val="0"/>
        <w:bidi w:val="0"/>
        <w:adjustRightInd/>
        <w:spacing w:line="360" w:lineRule="auto"/>
        <w:ind w:left="0" w:leftChars="0" w:right="0" w:rightChars="0" w:firstLine="644" w:firstLineChars="200"/>
        <w:textAlignment w:val="auto"/>
        <w:rPr>
          <w:rFonts w:ascii="FangSong_GB2312" w:hAnsi="FangSong_GB2312" w:eastAsia="FangSong_GB2312" w:cs="FangSong_GB2312"/>
          <w:sz w:val="31"/>
          <w:szCs w:val="31"/>
        </w:rPr>
      </w:pPr>
      <w:r>
        <w:rPr>
          <w:rFonts w:ascii="FangSong_GB2312" w:hAnsi="FangSong_GB2312" w:eastAsia="FangSong_GB2312" w:cs="FangSong_GB2312"/>
          <w:spacing w:val="6"/>
          <w:sz w:val="31"/>
          <w:szCs w:val="31"/>
        </w:rPr>
        <w:t>建筑后退高压架空电力线路距离：</w:t>
      </w:r>
      <w:r>
        <w:rPr>
          <w:rFonts w:ascii="FangSong_GB2312" w:hAnsi="FangSong_GB2312" w:eastAsia="FangSong_GB2312" w:cs="FangSong_GB2312"/>
          <w:spacing w:val="12"/>
          <w:sz w:val="31"/>
          <w:szCs w:val="31"/>
        </w:rPr>
        <w:t>建筑后退高压架空电力线路边导线的距离为：35</w:t>
      </w:r>
      <w:r>
        <w:rPr>
          <w:rFonts w:ascii="FangSong_GB2312" w:hAnsi="FangSong_GB2312" w:eastAsia="FangSong_GB2312" w:cs="FangSong_GB2312"/>
          <w:spacing w:val="-36"/>
          <w:sz w:val="31"/>
          <w:szCs w:val="31"/>
        </w:rPr>
        <w:t xml:space="preserve"> </w:t>
      </w:r>
      <w:r>
        <w:rPr>
          <w:rFonts w:ascii="FangSong_GB2312" w:hAnsi="FangSong_GB2312" w:eastAsia="FangSong_GB2312" w:cs="FangSong_GB2312"/>
          <w:spacing w:val="12"/>
          <w:sz w:val="31"/>
          <w:szCs w:val="31"/>
        </w:rPr>
        <w:t>千伏、66</w:t>
      </w:r>
      <w:r>
        <w:rPr>
          <w:rFonts w:ascii="FangSong_GB2312" w:hAnsi="FangSong_GB2312" w:eastAsia="FangSong_GB2312" w:cs="FangSong_GB2312"/>
          <w:spacing w:val="3"/>
          <w:sz w:val="31"/>
          <w:szCs w:val="31"/>
        </w:rPr>
        <w:t>千伏、110</w:t>
      </w:r>
      <w:r>
        <w:rPr>
          <w:rFonts w:ascii="FangSong_GB2312" w:hAnsi="FangSong_GB2312" w:eastAsia="FangSong_GB2312" w:cs="FangSong_GB2312"/>
          <w:spacing w:val="-48"/>
          <w:sz w:val="31"/>
          <w:szCs w:val="31"/>
        </w:rPr>
        <w:t xml:space="preserve"> </w:t>
      </w:r>
      <w:r>
        <w:rPr>
          <w:rFonts w:ascii="FangSong_GB2312" w:hAnsi="FangSong_GB2312" w:eastAsia="FangSong_GB2312" w:cs="FangSong_GB2312"/>
          <w:spacing w:val="3"/>
          <w:sz w:val="31"/>
          <w:szCs w:val="31"/>
        </w:rPr>
        <w:t>千伏电力线，不小于</w:t>
      </w:r>
      <w:r>
        <w:rPr>
          <w:rFonts w:ascii="FangSong_GB2312" w:hAnsi="FangSong_GB2312" w:eastAsia="FangSong_GB2312" w:cs="FangSong_GB2312"/>
          <w:spacing w:val="-43"/>
          <w:sz w:val="31"/>
          <w:szCs w:val="31"/>
        </w:rPr>
        <w:t xml:space="preserve"> </w:t>
      </w:r>
      <w:r>
        <w:rPr>
          <w:rFonts w:ascii="FangSong_GB2312" w:hAnsi="FangSong_GB2312" w:eastAsia="FangSong_GB2312" w:cs="FangSong_GB2312"/>
          <w:spacing w:val="3"/>
          <w:sz w:val="31"/>
          <w:szCs w:val="31"/>
        </w:rPr>
        <w:t>10</w:t>
      </w:r>
      <w:r>
        <w:rPr>
          <w:rFonts w:ascii="FangSong_GB2312" w:hAnsi="FangSong_GB2312" w:eastAsia="FangSong_GB2312" w:cs="FangSong_GB2312"/>
          <w:spacing w:val="-53"/>
          <w:sz w:val="31"/>
          <w:szCs w:val="31"/>
        </w:rPr>
        <w:t xml:space="preserve"> </w:t>
      </w:r>
      <w:r>
        <w:rPr>
          <w:rFonts w:ascii="FangSong_GB2312" w:hAnsi="FangSong_GB2312" w:eastAsia="FangSong_GB2312" w:cs="FangSong_GB2312"/>
          <w:spacing w:val="3"/>
          <w:sz w:val="31"/>
          <w:szCs w:val="31"/>
        </w:rPr>
        <w:t>米；220</w:t>
      </w:r>
      <w:r>
        <w:rPr>
          <w:rFonts w:ascii="FangSong_GB2312" w:hAnsi="FangSong_GB2312" w:eastAsia="FangSong_GB2312" w:cs="FangSong_GB2312"/>
          <w:spacing w:val="-55"/>
          <w:sz w:val="31"/>
          <w:szCs w:val="31"/>
        </w:rPr>
        <w:t xml:space="preserve"> </w:t>
      </w:r>
      <w:r>
        <w:rPr>
          <w:rFonts w:ascii="FangSong_GB2312" w:hAnsi="FangSong_GB2312" w:eastAsia="FangSong_GB2312" w:cs="FangSong_GB2312"/>
          <w:spacing w:val="3"/>
          <w:sz w:val="31"/>
          <w:szCs w:val="31"/>
        </w:rPr>
        <w:t>千伏、330</w:t>
      </w:r>
      <w:r>
        <w:rPr>
          <w:rFonts w:ascii="FangSong_GB2312" w:hAnsi="FangSong_GB2312" w:eastAsia="FangSong_GB2312" w:cs="FangSong_GB2312"/>
          <w:spacing w:val="-55"/>
          <w:sz w:val="31"/>
          <w:szCs w:val="31"/>
        </w:rPr>
        <w:t xml:space="preserve"> </w:t>
      </w:r>
      <w:r>
        <w:rPr>
          <w:rFonts w:ascii="FangSong_GB2312" w:hAnsi="FangSong_GB2312" w:eastAsia="FangSong_GB2312" w:cs="FangSong_GB2312"/>
          <w:spacing w:val="3"/>
          <w:sz w:val="31"/>
          <w:szCs w:val="31"/>
        </w:rPr>
        <w:t>千伏电力</w:t>
      </w:r>
      <w:r>
        <w:rPr>
          <w:rFonts w:ascii="FangSong_GB2312" w:hAnsi="FangSong_GB2312" w:eastAsia="FangSong_GB2312" w:cs="FangSong_GB2312"/>
          <w:spacing w:val="-5"/>
          <w:sz w:val="31"/>
          <w:szCs w:val="31"/>
        </w:rPr>
        <w:t>线，不小于</w:t>
      </w:r>
      <w:r>
        <w:rPr>
          <w:rFonts w:ascii="FangSong_GB2312" w:hAnsi="FangSong_GB2312" w:eastAsia="FangSong_GB2312" w:cs="FangSong_GB2312"/>
          <w:spacing w:val="-27"/>
          <w:sz w:val="31"/>
          <w:szCs w:val="31"/>
        </w:rPr>
        <w:t xml:space="preserve"> </w:t>
      </w:r>
      <w:r>
        <w:rPr>
          <w:rFonts w:ascii="FangSong_GB2312" w:hAnsi="FangSong_GB2312" w:eastAsia="FangSong_GB2312" w:cs="FangSong_GB2312"/>
          <w:spacing w:val="-5"/>
          <w:sz w:val="31"/>
          <w:szCs w:val="31"/>
        </w:rPr>
        <w:t>15</w:t>
      </w:r>
      <w:r>
        <w:rPr>
          <w:rFonts w:ascii="FangSong_GB2312" w:hAnsi="FangSong_GB2312" w:eastAsia="FangSong_GB2312" w:cs="FangSong_GB2312"/>
          <w:spacing w:val="-55"/>
          <w:sz w:val="31"/>
          <w:szCs w:val="31"/>
        </w:rPr>
        <w:t xml:space="preserve"> </w:t>
      </w:r>
      <w:r>
        <w:rPr>
          <w:rFonts w:ascii="FangSong_GB2312" w:hAnsi="FangSong_GB2312" w:eastAsia="FangSong_GB2312" w:cs="FangSong_GB2312"/>
          <w:spacing w:val="-5"/>
          <w:sz w:val="31"/>
          <w:szCs w:val="31"/>
        </w:rPr>
        <w:t>米；500</w:t>
      </w:r>
      <w:r>
        <w:rPr>
          <w:rFonts w:ascii="FangSong_GB2312" w:hAnsi="FangSong_GB2312" w:eastAsia="FangSong_GB2312" w:cs="FangSong_GB2312"/>
          <w:spacing w:val="-55"/>
          <w:sz w:val="31"/>
          <w:szCs w:val="31"/>
        </w:rPr>
        <w:t xml:space="preserve"> </w:t>
      </w:r>
      <w:r>
        <w:rPr>
          <w:rFonts w:ascii="FangSong_GB2312" w:hAnsi="FangSong_GB2312" w:eastAsia="FangSong_GB2312" w:cs="FangSong_GB2312"/>
          <w:spacing w:val="-5"/>
          <w:sz w:val="31"/>
          <w:szCs w:val="31"/>
        </w:rPr>
        <w:t>千伏电力线，不小于</w:t>
      </w:r>
      <w:r>
        <w:rPr>
          <w:rFonts w:ascii="FangSong_GB2312" w:hAnsi="FangSong_GB2312" w:eastAsia="FangSong_GB2312" w:cs="FangSong_GB2312"/>
          <w:spacing w:val="-38"/>
          <w:sz w:val="31"/>
          <w:szCs w:val="31"/>
        </w:rPr>
        <w:t xml:space="preserve"> </w:t>
      </w:r>
      <w:r>
        <w:rPr>
          <w:rFonts w:ascii="FangSong_GB2312" w:hAnsi="FangSong_GB2312" w:eastAsia="FangSong_GB2312" w:cs="FangSong_GB2312"/>
          <w:spacing w:val="-5"/>
          <w:sz w:val="31"/>
          <w:szCs w:val="31"/>
        </w:rPr>
        <w:t>30</w:t>
      </w:r>
      <w:r>
        <w:rPr>
          <w:rFonts w:ascii="FangSong_GB2312" w:hAnsi="FangSong_GB2312" w:eastAsia="FangSong_GB2312" w:cs="FangSong_GB2312"/>
          <w:spacing w:val="-54"/>
          <w:sz w:val="31"/>
          <w:szCs w:val="31"/>
        </w:rPr>
        <w:t xml:space="preserve"> </w:t>
      </w:r>
      <w:r>
        <w:rPr>
          <w:rFonts w:ascii="FangSong_GB2312" w:hAnsi="FangSong_GB2312" w:eastAsia="FangSong_GB2312" w:cs="FangSong_GB2312"/>
          <w:spacing w:val="-5"/>
          <w:sz w:val="31"/>
          <w:szCs w:val="31"/>
        </w:rPr>
        <w:t>米，用地局限时，</w:t>
      </w:r>
      <w:r>
        <w:rPr>
          <w:rFonts w:ascii="FangSong_GB2312" w:hAnsi="FangSong_GB2312" w:eastAsia="FangSong_GB2312" w:cs="FangSong_GB2312"/>
          <w:spacing w:val="5"/>
          <w:sz w:val="31"/>
          <w:szCs w:val="31"/>
        </w:rPr>
        <w:t>建筑后退高压架空电力线路边导线的距离可适当缩小，但应符合</w:t>
      </w:r>
      <w:r>
        <w:rPr>
          <w:rFonts w:ascii="FangSong_GB2312" w:hAnsi="FangSong_GB2312" w:eastAsia="FangSong_GB2312" w:cs="FangSong_GB2312"/>
          <w:spacing w:val="8"/>
          <w:sz w:val="31"/>
          <w:szCs w:val="31"/>
        </w:rPr>
        <w:t>在最大计算风偏情况下的安全距离要求。</w:t>
      </w:r>
    </w:p>
    <w:p>
      <w:pPr>
        <w:pageBreakBefore w:val="0"/>
        <w:widowControl w:val="0"/>
        <w:kinsoku/>
        <w:wordWrap/>
        <w:overflowPunct/>
        <w:topLinePunct w:val="0"/>
        <w:autoSpaceDE w:val="0"/>
        <w:autoSpaceDN w:val="0"/>
        <w:bidi w:val="0"/>
        <w:adjustRightInd/>
        <w:spacing w:line="360" w:lineRule="auto"/>
        <w:ind w:left="0" w:leftChars="0" w:right="0" w:rightChars="0" w:firstLine="648" w:firstLineChars="200"/>
        <w:textAlignment w:val="auto"/>
        <w:rPr>
          <w:rFonts w:ascii="FangSong_GB2312" w:hAnsi="FangSong_GB2312" w:eastAsia="FangSong_GB2312" w:cs="FangSong_GB2312"/>
          <w:sz w:val="31"/>
          <w:szCs w:val="31"/>
        </w:rPr>
      </w:pPr>
      <w:r>
        <w:rPr>
          <w:rFonts w:ascii="FangSong_GB2312" w:hAnsi="FangSong_GB2312" w:eastAsia="FangSong_GB2312" w:cs="FangSong_GB2312"/>
          <w:spacing w:val="7"/>
          <w:sz w:val="31"/>
          <w:szCs w:val="31"/>
        </w:rPr>
        <w:t>建筑退让村庄内部道路距离：</w:t>
      </w:r>
      <w:r>
        <w:rPr>
          <w:rFonts w:ascii="FangSong_GB2312" w:hAnsi="FangSong_GB2312" w:eastAsia="FangSong_GB2312" w:cs="FangSong_GB2312"/>
          <w:spacing w:val="2"/>
          <w:sz w:val="31"/>
          <w:szCs w:val="31"/>
        </w:rPr>
        <w:t>村庄建筑、围墙距村庄内部支路的距离不应小于</w:t>
      </w:r>
      <w:r>
        <w:rPr>
          <w:rFonts w:ascii="FangSong_GB2312" w:hAnsi="FangSong_GB2312" w:eastAsia="FangSong_GB2312" w:cs="FangSong_GB2312"/>
          <w:spacing w:val="-24"/>
          <w:sz w:val="31"/>
          <w:szCs w:val="31"/>
        </w:rPr>
        <w:t xml:space="preserve"> </w:t>
      </w:r>
      <w:r>
        <w:rPr>
          <w:rFonts w:ascii="FangSong_GB2312" w:hAnsi="FangSong_GB2312" w:eastAsia="FangSong_GB2312" w:cs="FangSong_GB2312"/>
          <w:spacing w:val="2"/>
          <w:sz w:val="31"/>
          <w:szCs w:val="31"/>
        </w:rPr>
        <w:t>1</w:t>
      </w:r>
      <w:r>
        <w:rPr>
          <w:rFonts w:ascii="FangSong_GB2312" w:hAnsi="FangSong_GB2312" w:eastAsia="FangSong_GB2312" w:cs="FangSong_GB2312"/>
          <w:spacing w:val="-54"/>
          <w:sz w:val="31"/>
          <w:szCs w:val="31"/>
        </w:rPr>
        <w:t xml:space="preserve"> </w:t>
      </w:r>
      <w:r>
        <w:rPr>
          <w:rFonts w:ascii="FangSong_GB2312" w:hAnsi="FangSong_GB2312" w:eastAsia="FangSong_GB2312" w:cs="FangSong_GB2312"/>
          <w:spacing w:val="2"/>
          <w:sz w:val="31"/>
          <w:szCs w:val="31"/>
        </w:rPr>
        <w:t>米，距村</w:t>
      </w:r>
      <w:r>
        <w:rPr>
          <w:rFonts w:ascii="FangSong_GB2312" w:hAnsi="FangSong_GB2312" w:eastAsia="FangSong_GB2312" w:cs="FangSong_GB2312"/>
          <w:spacing w:val="3"/>
          <w:sz w:val="31"/>
          <w:szCs w:val="31"/>
        </w:rPr>
        <w:t>庄内部主要道路的距离不应小于</w:t>
      </w:r>
      <w:r>
        <w:rPr>
          <w:rFonts w:ascii="FangSong_GB2312" w:hAnsi="FangSong_GB2312" w:eastAsia="FangSong_GB2312" w:cs="FangSong_GB2312"/>
          <w:spacing w:val="-41"/>
          <w:sz w:val="31"/>
          <w:szCs w:val="31"/>
        </w:rPr>
        <w:t xml:space="preserve"> </w:t>
      </w:r>
      <w:r>
        <w:rPr>
          <w:rFonts w:ascii="FangSong_GB2312" w:hAnsi="FangSong_GB2312" w:eastAsia="FangSong_GB2312" w:cs="FangSong_GB2312"/>
          <w:spacing w:val="3"/>
          <w:sz w:val="31"/>
          <w:szCs w:val="31"/>
        </w:rPr>
        <w:t>2</w:t>
      </w:r>
      <w:r>
        <w:rPr>
          <w:rFonts w:ascii="FangSong_GB2312" w:hAnsi="FangSong_GB2312" w:eastAsia="FangSong_GB2312" w:cs="FangSong_GB2312"/>
          <w:spacing w:val="-53"/>
          <w:sz w:val="31"/>
          <w:szCs w:val="31"/>
        </w:rPr>
        <w:t xml:space="preserve"> </w:t>
      </w:r>
      <w:r>
        <w:rPr>
          <w:rFonts w:ascii="FangSong_GB2312" w:hAnsi="FangSong_GB2312" w:eastAsia="FangSong_GB2312" w:cs="FangSong_GB2312"/>
          <w:spacing w:val="3"/>
          <w:sz w:val="31"/>
          <w:szCs w:val="31"/>
        </w:rPr>
        <w:t>米。临路方向后退距离如村内</w:t>
      </w:r>
      <w:r>
        <w:rPr>
          <w:rFonts w:ascii="FangSong_GB2312" w:hAnsi="FangSong_GB2312" w:eastAsia="FangSong_GB2312" w:cs="FangSong_GB2312"/>
          <w:spacing w:val="5"/>
          <w:sz w:val="31"/>
          <w:szCs w:val="31"/>
        </w:rPr>
        <w:t>有约定的，按照约定退让距离执行。临路方向宜与同侧现状建筑</w:t>
      </w:r>
      <w:r>
        <w:rPr>
          <w:rFonts w:ascii="FangSong_GB2312" w:hAnsi="FangSong_GB2312" w:eastAsia="FangSong_GB2312" w:cs="FangSong_GB2312"/>
          <w:spacing w:val="8"/>
          <w:sz w:val="31"/>
          <w:szCs w:val="31"/>
        </w:rPr>
        <w:t>外墙面边界齐平，保证沿路建筑的整齐美观。</w:t>
      </w:r>
    </w:p>
    <w:p>
      <w:pPr>
        <w:pStyle w:val="46"/>
        <w:pageBreakBefore w:val="0"/>
        <w:widowControl w:val="0"/>
        <w:kinsoku/>
        <w:wordWrap/>
        <w:overflowPunct/>
        <w:topLinePunct w:val="0"/>
        <w:autoSpaceDE w:val="0"/>
        <w:autoSpaceDN w:val="0"/>
        <w:bidi w:val="0"/>
        <w:adjustRightInd/>
        <w:snapToGrid/>
        <w:spacing w:before="0" w:line="360" w:lineRule="auto"/>
        <w:ind w:left="0" w:leftChars="0" w:right="0" w:rightChars="0" w:firstLine="675" w:firstLineChars="200"/>
        <w:textAlignment w:val="auto"/>
        <w:rPr>
          <w:rFonts w:hint="eastAsia" w:eastAsia="仿宋_GB2312"/>
          <w:color w:val="000000" w:themeColor="text1"/>
          <w:w w:val="105"/>
          <w:sz w:val="32"/>
          <w:szCs w:val="32"/>
          <w:highlight w:val="none"/>
          <w:lang w:val="en-US" w:eastAsia="zh-CN"/>
          <w14:textFill>
            <w14:solidFill>
              <w14:schemeClr w14:val="tx1"/>
            </w14:solidFill>
          </w14:textFill>
        </w:rPr>
      </w:pPr>
      <w:bookmarkStart w:id="110" w:name="bookmark22"/>
      <w:bookmarkEnd w:id="110"/>
      <w:r>
        <w:rPr>
          <w:rFonts w:hint="eastAsia" w:eastAsia="仿宋_GB2312"/>
          <w:color w:val="000000" w:themeColor="text1"/>
          <w:w w:val="105"/>
          <w:sz w:val="32"/>
          <w:szCs w:val="32"/>
          <w:highlight w:val="none"/>
          <w:lang w:val="en-US" w:eastAsia="zh-CN"/>
          <w14:textFill>
            <w14:solidFill>
              <w14:schemeClr w14:val="tx1"/>
            </w14:solidFill>
          </w14:textFill>
        </w:rPr>
        <w:t>建筑高度</w:t>
      </w:r>
    </w:p>
    <w:p>
      <w:pPr>
        <w:pageBreakBefore w:val="0"/>
        <w:widowControl w:val="0"/>
        <w:kinsoku/>
        <w:wordWrap/>
        <w:overflowPunct/>
        <w:topLinePunct w:val="0"/>
        <w:autoSpaceDE w:val="0"/>
        <w:autoSpaceDN w:val="0"/>
        <w:bidi w:val="0"/>
        <w:adjustRightInd/>
        <w:spacing w:line="360" w:lineRule="auto"/>
        <w:ind w:left="0" w:leftChars="0" w:right="0" w:rightChars="0" w:firstLine="640" w:firstLineChars="200"/>
        <w:jc w:val="both"/>
        <w:textAlignment w:val="auto"/>
      </w:pPr>
      <w:r>
        <w:rPr>
          <w:rFonts w:ascii="FangSong_GB2312" w:hAnsi="FangSong_GB2312" w:eastAsia="FangSong_GB2312" w:cs="FangSong_GB2312"/>
          <w:spacing w:val="5"/>
          <w:sz w:val="31"/>
          <w:szCs w:val="31"/>
        </w:rPr>
        <w:t>建筑物的高度应符合日照、消防、建筑间距、乡村景观、节地等方面的要求</w:t>
      </w:r>
      <w:r>
        <w:rPr>
          <w:rFonts w:ascii="FangSong_GB2312" w:hAnsi="FangSong_GB2312" w:eastAsia="FangSong_GB2312" w:cs="FangSong_GB2312"/>
          <w:spacing w:val="7"/>
          <w:sz w:val="31"/>
          <w:szCs w:val="31"/>
        </w:rPr>
        <w:t>。</w:t>
      </w:r>
      <w:r>
        <w:rPr>
          <w:rFonts w:ascii="FangSong_GB2312" w:hAnsi="FangSong_GB2312" w:eastAsia="FangSong_GB2312" w:cs="FangSong_GB2312"/>
          <w:spacing w:val="17"/>
          <w:sz w:val="31"/>
          <w:szCs w:val="31"/>
        </w:rPr>
        <w:t>在各级文物保护建筑周围的建设控制地带内以及与历史风</w:t>
      </w:r>
      <w:r>
        <w:rPr>
          <w:rFonts w:ascii="FangSong_GB2312" w:hAnsi="FangSong_GB2312" w:eastAsia="FangSong_GB2312" w:cs="FangSong_GB2312"/>
          <w:spacing w:val="-3"/>
          <w:sz w:val="31"/>
          <w:szCs w:val="31"/>
        </w:rPr>
        <w:t>貌建筑、风景名胜区相邻的新建、扩建、改建各类建（构）筑物，</w:t>
      </w:r>
      <w:r>
        <w:rPr>
          <w:rFonts w:ascii="FangSong_GB2312" w:hAnsi="FangSong_GB2312" w:eastAsia="FangSong_GB2312" w:cs="FangSong_GB2312"/>
          <w:spacing w:val="8"/>
          <w:sz w:val="31"/>
          <w:szCs w:val="31"/>
        </w:rPr>
        <w:t>其建筑高度必须符合文物古迹和历史风貌建筑保护的有关规定，</w:t>
      </w:r>
      <w:r>
        <w:rPr>
          <w:rFonts w:ascii="FangSong_GB2312" w:hAnsi="FangSong_GB2312" w:eastAsia="FangSong_GB2312" w:cs="FangSong_GB2312"/>
          <w:spacing w:val="7"/>
          <w:sz w:val="31"/>
          <w:szCs w:val="31"/>
        </w:rPr>
        <w:t>并按相关保护规划执行。</w:t>
      </w:r>
    </w:p>
    <w:p>
      <w:pPr>
        <w:pStyle w:val="13"/>
        <w:keepNext w:val="0"/>
        <w:keepLines w:val="0"/>
        <w:pageBreakBefore w:val="0"/>
        <w:widowControl w:val="0"/>
        <w:kinsoku/>
        <w:wordWrap/>
        <w:overflowPunct/>
        <w:topLinePunct w:val="0"/>
        <w:autoSpaceDE w:val="0"/>
        <w:autoSpaceDN w:val="0"/>
        <w:bidi w:val="0"/>
        <w:adjustRightInd/>
        <w:snapToGrid w:val="0"/>
        <w:spacing w:before="240" w:beforeLines="0" w:after="240" w:line="592" w:lineRule="exact"/>
        <w:ind w:left="0" w:leftChars="0" w:right="0" w:rightChars="0" w:firstLine="0" w:firstLineChars="0"/>
        <w:jc w:val="center"/>
        <w:textAlignment w:val="auto"/>
        <w:outlineLvl w:val="1"/>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pPr>
      <w:bookmarkStart w:id="111" w:name="bookmark24"/>
      <w:bookmarkEnd w:id="111"/>
      <w:bookmarkStart w:id="112" w:name="bookmark23"/>
      <w:bookmarkEnd w:id="112"/>
      <w:bookmarkStart w:id="113" w:name="_Toc14251"/>
      <w:r>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t>第七节  交通组织</w:t>
      </w:r>
      <w:bookmarkEnd w:id="113"/>
    </w:p>
    <w:p>
      <w:pPr>
        <w:pStyle w:val="46"/>
        <w:pageBreakBefore w:val="0"/>
        <w:widowControl w:val="0"/>
        <w:kinsoku/>
        <w:wordWrap/>
        <w:overflowPunct/>
        <w:topLinePunct w:val="0"/>
        <w:autoSpaceDE w:val="0"/>
        <w:autoSpaceDN w:val="0"/>
        <w:bidi w:val="0"/>
        <w:adjustRightInd/>
        <w:snapToGrid/>
        <w:spacing w:before="0" w:line="360" w:lineRule="auto"/>
        <w:ind w:left="0" w:leftChars="0" w:right="0" w:rightChars="0" w:firstLine="675" w:firstLineChars="200"/>
        <w:textAlignment w:val="auto"/>
        <w:rPr>
          <w:rFonts w:hint="eastAsia" w:eastAsia="仿宋_GB2312"/>
          <w:color w:val="000000" w:themeColor="text1"/>
          <w:w w:val="105"/>
          <w:sz w:val="32"/>
          <w:szCs w:val="32"/>
          <w:highlight w:val="none"/>
          <w:lang w:val="en-US" w:eastAsia="zh-CN"/>
          <w14:textFill>
            <w14:solidFill>
              <w14:schemeClr w14:val="tx1"/>
            </w14:solidFill>
          </w14:textFill>
        </w:rPr>
      </w:pPr>
      <w:r>
        <w:rPr>
          <w:rFonts w:hint="eastAsia" w:eastAsia="仿宋_GB2312"/>
          <w:color w:val="000000" w:themeColor="text1"/>
          <w:w w:val="105"/>
          <w:sz w:val="32"/>
          <w:szCs w:val="32"/>
          <w:highlight w:val="none"/>
          <w:lang w:val="en-US" w:eastAsia="zh-CN"/>
          <w14:textFill>
            <w14:solidFill>
              <w14:schemeClr w14:val="tx1"/>
            </w14:solidFill>
          </w14:textFill>
        </w:rPr>
        <w:t>村庄道路</w:t>
      </w:r>
    </w:p>
    <w:p>
      <w:pPr>
        <w:pageBreakBefore w:val="0"/>
        <w:widowControl w:val="0"/>
        <w:kinsoku/>
        <w:wordWrap/>
        <w:overflowPunct/>
        <w:topLinePunct w:val="0"/>
        <w:autoSpaceDE w:val="0"/>
        <w:autoSpaceDN w:val="0"/>
        <w:bidi w:val="0"/>
        <w:adjustRightInd/>
        <w:spacing w:line="360" w:lineRule="auto"/>
        <w:ind w:left="0" w:leftChars="0" w:right="0" w:rightChars="0" w:firstLine="688" w:firstLineChars="200"/>
        <w:jc w:val="both"/>
        <w:textAlignment w:val="auto"/>
        <w:rPr>
          <w:rFonts w:ascii="FangSong_GB2312" w:hAnsi="FangSong_GB2312" w:eastAsia="FangSong_GB2312" w:cs="FangSong_GB2312"/>
          <w:sz w:val="31"/>
          <w:szCs w:val="31"/>
        </w:rPr>
      </w:pPr>
      <w:r>
        <w:rPr>
          <w:rFonts w:ascii="FangSong_GB2312" w:hAnsi="FangSong_GB2312" w:eastAsia="FangSong_GB2312" w:cs="FangSong_GB2312"/>
          <w:spacing w:val="17"/>
          <w:sz w:val="31"/>
          <w:szCs w:val="31"/>
        </w:rPr>
        <w:t>村庄道路根据其在路网中的交通功能及对沿线居民的服务</w:t>
      </w:r>
      <w:r>
        <w:rPr>
          <w:rFonts w:ascii="FangSong_GB2312" w:hAnsi="FangSong_GB2312" w:eastAsia="FangSong_GB2312" w:cs="FangSong_GB2312"/>
          <w:spacing w:val="5"/>
          <w:sz w:val="31"/>
          <w:szCs w:val="31"/>
        </w:rPr>
        <w:t>功能，分为干路、支路和巷道三级。村庄道路红线内可包含机动</w:t>
      </w:r>
      <w:r>
        <w:rPr>
          <w:rFonts w:ascii="FangSong_GB2312" w:hAnsi="FangSong_GB2312" w:eastAsia="FangSong_GB2312" w:cs="FangSong_GB2312"/>
          <w:spacing w:val="-3"/>
          <w:sz w:val="31"/>
          <w:szCs w:val="31"/>
        </w:rPr>
        <w:t>车道、非机动车道、人行道、设施带、绿化、路肩、边沟等设施。</w:t>
      </w:r>
      <w:r>
        <w:rPr>
          <w:rFonts w:ascii="FangSong_GB2312" w:hAnsi="FangSong_GB2312" w:eastAsia="FangSong_GB2312" w:cs="FangSong_GB2312"/>
          <w:spacing w:val="5"/>
          <w:sz w:val="31"/>
          <w:szCs w:val="31"/>
        </w:rPr>
        <w:t>村庄道路红线宽度应根据道路设施和地下管线综合确定，干路及支路两侧应设置路灯和必要的指示牌。村庄应完善通村组道路和入户道路建设，并预留消防通道。村庄道路空间规划应与村庄风貌相协调。</w:t>
      </w:r>
    </w:p>
    <w:p>
      <w:pPr>
        <w:pStyle w:val="46"/>
        <w:pageBreakBefore w:val="0"/>
        <w:widowControl w:val="0"/>
        <w:kinsoku/>
        <w:wordWrap/>
        <w:overflowPunct/>
        <w:topLinePunct w:val="0"/>
        <w:autoSpaceDE w:val="0"/>
        <w:autoSpaceDN w:val="0"/>
        <w:bidi w:val="0"/>
        <w:adjustRightInd/>
        <w:snapToGrid/>
        <w:spacing w:before="0" w:line="360" w:lineRule="auto"/>
        <w:ind w:left="0" w:leftChars="0" w:right="0" w:rightChars="0" w:firstLine="675" w:firstLineChars="200"/>
        <w:textAlignment w:val="auto"/>
        <w:rPr>
          <w:rFonts w:hint="eastAsia" w:eastAsia="仿宋_GB2312"/>
          <w:color w:val="000000" w:themeColor="text1"/>
          <w:w w:val="105"/>
          <w:sz w:val="32"/>
          <w:szCs w:val="32"/>
          <w:highlight w:val="none"/>
          <w:lang w:val="en-US" w:eastAsia="zh-CN"/>
          <w14:textFill>
            <w14:solidFill>
              <w14:schemeClr w14:val="tx1"/>
            </w14:solidFill>
          </w14:textFill>
        </w:rPr>
      </w:pPr>
      <w:bookmarkStart w:id="114" w:name="bookmark25"/>
      <w:bookmarkEnd w:id="114"/>
      <w:r>
        <w:rPr>
          <w:rFonts w:hint="eastAsia" w:eastAsia="仿宋_GB2312"/>
          <w:color w:val="000000" w:themeColor="text1"/>
          <w:w w:val="105"/>
          <w:sz w:val="32"/>
          <w:szCs w:val="32"/>
          <w:highlight w:val="none"/>
          <w:lang w:val="en-US" w:eastAsia="zh-CN"/>
          <w14:textFill>
            <w14:solidFill>
              <w14:schemeClr w14:val="tx1"/>
            </w14:solidFill>
          </w14:textFill>
        </w:rPr>
        <w:t>公共停车场</w:t>
      </w:r>
    </w:p>
    <w:p>
      <w:pPr>
        <w:pageBreakBefore w:val="0"/>
        <w:widowControl w:val="0"/>
        <w:kinsoku/>
        <w:wordWrap/>
        <w:overflowPunct/>
        <w:topLinePunct w:val="0"/>
        <w:autoSpaceDE w:val="0"/>
        <w:autoSpaceDN w:val="0"/>
        <w:bidi w:val="0"/>
        <w:adjustRightInd/>
        <w:spacing w:line="360" w:lineRule="auto"/>
        <w:ind w:left="0" w:leftChars="0" w:right="0" w:rightChars="0" w:firstLine="688" w:firstLineChars="200"/>
        <w:jc w:val="both"/>
        <w:textAlignment w:val="auto"/>
        <w:rPr>
          <w:rFonts w:ascii="FangSong_GB2312" w:hAnsi="FangSong_GB2312" w:eastAsia="FangSong_GB2312" w:cs="FangSong_GB2312"/>
          <w:sz w:val="31"/>
          <w:szCs w:val="31"/>
          <w:highlight w:val="yellow"/>
        </w:rPr>
      </w:pPr>
      <w:r>
        <w:rPr>
          <w:rFonts w:ascii="FangSong_GB2312" w:hAnsi="FangSong_GB2312" w:eastAsia="FangSong_GB2312" w:cs="FangSong_GB2312"/>
          <w:spacing w:val="17"/>
          <w:sz w:val="31"/>
          <w:szCs w:val="31"/>
        </w:rPr>
        <w:t>村庄停车设施应根据村庄的实际停车需求适度建设公共停</w:t>
      </w:r>
      <w:r>
        <w:rPr>
          <w:rFonts w:ascii="FangSong_GB2312" w:hAnsi="FangSong_GB2312" w:eastAsia="FangSong_GB2312" w:cs="FangSong_GB2312"/>
          <w:spacing w:val="5"/>
          <w:sz w:val="31"/>
          <w:szCs w:val="31"/>
        </w:rPr>
        <w:t>车场。公共停车场宜分散布局，可利用村内闲置地、边角地、未利用地，并宜靠近公共服务设施。</w:t>
      </w:r>
      <w:r>
        <w:rPr>
          <w:rFonts w:hint="eastAsia" w:ascii="FangSong_GB2312" w:hAnsi="FangSong_GB2312" w:eastAsia="FangSong_GB2312" w:cs="FangSong_GB2312"/>
          <w:spacing w:val="5"/>
          <w:sz w:val="31"/>
          <w:szCs w:val="31"/>
        </w:rPr>
        <w:t xml:space="preserve">农村村民住房小汽车停车位可结合农房入户空间停放，停放比例宜1辆／户。 </w:t>
      </w:r>
    </w:p>
    <w:p>
      <w:pPr>
        <w:pStyle w:val="46"/>
        <w:pageBreakBefore w:val="0"/>
        <w:widowControl w:val="0"/>
        <w:kinsoku/>
        <w:wordWrap/>
        <w:overflowPunct/>
        <w:topLinePunct w:val="0"/>
        <w:autoSpaceDE w:val="0"/>
        <w:autoSpaceDN w:val="0"/>
        <w:bidi w:val="0"/>
        <w:adjustRightInd/>
        <w:snapToGrid/>
        <w:spacing w:before="0" w:line="360" w:lineRule="auto"/>
        <w:ind w:left="0" w:leftChars="0" w:right="0" w:rightChars="0" w:firstLine="675" w:firstLineChars="200"/>
        <w:textAlignment w:val="auto"/>
        <w:rPr>
          <w:rFonts w:hint="eastAsia" w:eastAsia="仿宋_GB2312"/>
          <w:color w:val="000000" w:themeColor="text1"/>
          <w:w w:val="105"/>
          <w:sz w:val="32"/>
          <w:szCs w:val="32"/>
          <w:highlight w:val="none"/>
          <w:lang w:val="en-US" w:eastAsia="zh-CN"/>
          <w14:textFill>
            <w14:solidFill>
              <w14:schemeClr w14:val="tx1"/>
            </w14:solidFill>
          </w14:textFill>
        </w:rPr>
      </w:pPr>
      <w:bookmarkStart w:id="115" w:name="bookmark26"/>
      <w:bookmarkEnd w:id="115"/>
      <w:r>
        <w:rPr>
          <w:rFonts w:hint="eastAsia" w:eastAsia="仿宋_GB2312"/>
          <w:color w:val="000000" w:themeColor="text1"/>
          <w:w w:val="105"/>
          <w:sz w:val="32"/>
          <w:szCs w:val="32"/>
          <w:highlight w:val="none"/>
          <w:lang w:val="en-US" w:eastAsia="zh-CN"/>
          <w14:textFill>
            <w14:solidFill>
              <w14:schemeClr w14:val="tx1"/>
            </w14:solidFill>
          </w14:textFill>
        </w:rPr>
        <w:t>充电设施</w:t>
      </w:r>
    </w:p>
    <w:p>
      <w:pPr>
        <w:pageBreakBefore w:val="0"/>
        <w:widowControl w:val="0"/>
        <w:kinsoku/>
        <w:wordWrap/>
        <w:overflowPunct/>
        <w:topLinePunct w:val="0"/>
        <w:autoSpaceDE w:val="0"/>
        <w:autoSpaceDN w:val="0"/>
        <w:bidi w:val="0"/>
        <w:adjustRightInd/>
        <w:spacing w:line="360" w:lineRule="auto"/>
        <w:ind w:left="0" w:leftChars="0" w:right="0" w:rightChars="0" w:firstLine="640" w:firstLineChars="200"/>
        <w:jc w:val="both"/>
        <w:textAlignment w:val="auto"/>
        <w:rPr>
          <w:rFonts w:ascii="FangSong_GB2312" w:hAnsi="FangSong_GB2312" w:eastAsia="FangSong_GB2312" w:cs="FangSong_GB2312"/>
          <w:sz w:val="31"/>
          <w:szCs w:val="31"/>
        </w:rPr>
      </w:pPr>
      <w:r>
        <w:rPr>
          <w:rFonts w:ascii="FangSong_GB2312" w:hAnsi="FangSong_GB2312" w:eastAsia="FangSong_GB2312" w:cs="FangSong_GB2312"/>
          <w:spacing w:val="5"/>
          <w:sz w:val="31"/>
          <w:szCs w:val="31"/>
        </w:rPr>
        <w:t>农村充电设施的布局应符合相关专项规划的要求，</w:t>
      </w:r>
      <w:r>
        <w:rPr>
          <w:rFonts w:ascii="FangSong_GB2312" w:hAnsi="FangSong_GB2312" w:eastAsia="FangSong_GB2312" w:cs="FangSong_GB2312"/>
          <w:spacing w:val="4"/>
          <w:sz w:val="31"/>
          <w:szCs w:val="31"/>
        </w:rPr>
        <w:t>应满足环</w:t>
      </w:r>
      <w:r>
        <w:rPr>
          <w:rFonts w:ascii="FangSong_GB2312" w:hAnsi="FangSong_GB2312" w:eastAsia="FangSong_GB2312" w:cs="FangSong_GB2312"/>
          <w:spacing w:val="5"/>
          <w:sz w:val="31"/>
          <w:szCs w:val="31"/>
        </w:rPr>
        <w:t>境保护和消防安全的要求，选址应考虑配电网、环境、风向等因</w:t>
      </w:r>
      <w:r>
        <w:rPr>
          <w:rFonts w:ascii="FangSong_GB2312" w:hAnsi="FangSong_GB2312" w:eastAsia="FangSong_GB2312" w:cs="FangSong_GB2312"/>
          <w:spacing w:val="-9"/>
          <w:sz w:val="31"/>
          <w:szCs w:val="31"/>
        </w:rPr>
        <w:t>素。按照《电动汽车充电基础设施技术标准》（DBJ04/T398-2019</w:t>
      </w:r>
      <w:r>
        <w:rPr>
          <w:rFonts w:ascii="FangSong_GB2312" w:hAnsi="FangSong_GB2312" w:eastAsia="FangSong_GB2312" w:cs="FangSong_GB2312"/>
          <w:spacing w:val="-105"/>
          <w:sz w:val="31"/>
          <w:szCs w:val="31"/>
        </w:rPr>
        <w:t>），</w:t>
      </w:r>
      <w:r>
        <w:rPr>
          <w:rFonts w:ascii="FangSong_GB2312" w:hAnsi="FangSong_GB2312" w:eastAsia="FangSong_GB2312" w:cs="FangSong_GB2312"/>
          <w:spacing w:val="7"/>
          <w:sz w:val="31"/>
          <w:szCs w:val="31"/>
        </w:rPr>
        <w:t>社会公共停车场充电车位直接建设的配建比例要达到15%。</w:t>
      </w:r>
    </w:p>
    <w:p>
      <w:pPr>
        <w:pStyle w:val="13"/>
        <w:keepNext w:val="0"/>
        <w:keepLines w:val="0"/>
        <w:pageBreakBefore w:val="0"/>
        <w:widowControl w:val="0"/>
        <w:kinsoku/>
        <w:wordWrap/>
        <w:overflowPunct/>
        <w:topLinePunct w:val="0"/>
        <w:autoSpaceDE w:val="0"/>
        <w:autoSpaceDN w:val="0"/>
        <w:bidi w:val="0"/>
        <w:adjustRightInd/>
        <w:snapToGrid w:val="0"/>
        <w:spacing w:before="240" w:beforeLines="0" w:after="240" w:line="592" w:lineRule="exact"/>
        <w:ind w:left="0" w:leftChars="0" w:right="0" w:rightChars="0" w:firstLine="0" w:firstLineChars="0"/>
        <w:jc w:val="center"/>
        <w:textAlignment w:val="auto"/>
        <w:outlineLvl w:val="1"/>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pPr>
      <w:bookmarkStart w:id="116" w:name="bookmark27"/>
      <w:bookmarkEnd w:id="116"/>
      <w:bookmarkStart w:id="117" w:name="bookmark28"/>
      <w:bookmarkEnd w:id="117"/>
      <w:bookmarkStart w:id="118" w:name="_Toc21956"/>
      <w:r>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t>第八节  人居环境整治与风貌提升</w:t>
      </w:r>
      <w:bookmarkEnd w:id="118"/>
    </w:p>
    <w:p>
      <w:pPr>
        <w:pStyle w:val="46"/>
        <w:pageBreakBefore w:val="0"/>
        <w:widowControl w:val="0"/>
        <w:kinsoku/>
        <w:wordWrap/>
        <w:overflowPunct/>
        <w:topLinePunct w:val="0"/>
        <w:autoSpaceDE w:val="0"/>
        <w:autoSpaceDN w:val="0"/>
        <w:bidi w:val="0"/>
        <w:adjustRightInd/>
        <w:snapToGrid/>
        <w:spacing w:before="0" w:line="360" w:lineRule="auto"/>
        <w:ind w:left="0" w:leftChars="0" w:right="0" w:rightChars="0" w:firstLine="675" w:firstLineChars="200"/>
        <w:textAlignment w:val="auto"/>
        <w:rPr>
          <w:rFonts w:hint="eastAsia" w:eastAsia="仿宋_GB2312"/>
          <w:color w:val="000000" w:themeColor="text1"/>
          <w:w w:val="105"/>
          <w:sz w:val="32"/>
          <w:szCs w:val="32"/>
          <w:highlight w:val="none"/>
          <w:lang w:val="en-US" w:eastAsia="zh-CN"/>
          <w14:textFill>
            <w14:solidFill>
              <w14:schemeClr w14:val="tx1"/>
            </w14:solidFill>
          </w14:textFill>
        </w:rPr>
      </w:pPr>
      <w:bookmarkStart w:id="119" w:name="bookmark36"/>
      <w:bookmarkEnd w:id="119"/>
      <w:r>
        <w:rPr>
          <w:rFonts w:hint="eastAsia" w:eastAsia="仿宋_GB2312"/>
          <w:color w:val="000000" w:themeColor="text1"/>
          <w:w w:val="105"/>
          <w:sz w:val="32"/>
          <w:szCs w:val="32"/>
          <w:highlight w:val="none"/>
          <w:lang w:val="en-US" w:eastAsia="zh-CN"/>
          <w14:textFill>
            <w14:solidFill>
              <w14:schemeClr w14:val="tx1"/>
            </w14:solidFill>
          </w14:textFill>
        </w:rPr>
        <w:t>人居环境整治要求</w:t>
      </w:r>
    </w:p>
    <w:p>
      <w:pPr>
        <w:pageBreakBefore w:val="0"/>
        <w:widowControl w:val="0"/>
        <w:kinsoku/>
        <w:wordWrap/>
        <w:overflowPunct/>
        <w:topLinePunct w:val="0"/>
        <w:autoSpaceDE w:val="0"/>
        <w:autoSpaceDN w:val="0"/>
        <w:bidi w:val="0"/>
        <w:adjustRightInd/>
        <w:spacing w:line="360" w:lineRule="auto"/>
        <w:ind w:left="0" w:leftChars="0" w:right="0" w:rightChars="0" w:firstLine="636" w:firstLineChars="200"/>
        <w:jc w:val="both"/>
        <w:textAlignment w:val="auto"/>
        <w:rPr>
          <w:rFonts w:ascii="FangSong_GB2312" w:hAnsi="FangSong_GB2312" w:eastAsia="FangSong_GB2312" w:cs="FangSong_GB2312"/>
          <w:sz w:val="31"/>
          <w:szCs w:val="31"/>
        </w:rPr>
      </w:pPr>
      <w:r>
        <w:rPr>
          <w:rFonts w:ascii="FangSong_GB2312" w:hAnsi="FangSong_GB2312" w:eastAsia="FangSong_GB2312" w:cs="FangSong_GB2312"/>
          <w:spacing w:val="4"/>
          <w:sz w:val="31"/>
          <w:szCs w:val="31"/>
        </w:rPr>
        <w:t>统筹生态生产生活融合，根据村庄发展水平及自身条件，综</w:t>
      </w:r>
      <w:r>
        <w:rPr>
          <w:rFonts w:ascii="FangSong_GB2312" w:hAnsi="FangSong_GB2312" w:eastAsia="FangSong_GB2312" w:cs="FangSong_GB2312"/>
          <w:spacing w:val="5"/>
          <w:sz w:val="31"/>
          <w:szCs w:val="31"/>
        </w:rPr>
        <w:t>合考虑乡村发展规律和村民诉求，因地制宜推进乡村人居环境整治工作。主要任务包括厕所革命、污水治理、生产生活垃圾治理三个方面，以农业为主要产业的村庄还应强化农膜以及其他农业</w:t>
      </w:r>
      <w:r>
        <w:rPr>
          <w:rFonts w:ascii="FangSong_GB2312" w:hAnsi="FangSong_GB2312" w:eastAsia="FangSong_GB2312" w:cs="FangSong_GB2312"/>
          <w:spacing w:val="8"/>
          <w:sz w:val="31"/>
          <w:szCs w:val="31"/>
        </w:rPr>
        <w:t>生产废弃物的处置和资源化利用。</w:t>
      </w:r>
    </w:p>
    <w:p>
      <w:pPr>
        <w:pStyle w:val="13"/>
        <w:pageBreakBefore w:val="0"/>
        <w:widowControl w:val="0"/>
        <w:kinsoku/>
        <w:wordWrap/>
        <w:overflowPunct/>
        <w:topLinePunct w:val="0"/>
        <w:autoSpaceDE w:val="0"/>
        <w:autoSpaceDN w:val="0"/>
        <w:bidi w:val="0"/>
        <w:adjustRightInd/>
        <w:spacing w:before="0" w:beforeLines="0" w:line="360" w:lineRule="auto"/>
        <w:ind w:left="0" w:leftChars="0" w:right="0" w:rightChars="0" w:firstLine="636" w:firstLineChars="200"/>
        <w:textAlignment w:val="auto"/>
      </w:pPr>
      <w:r>
        <w:rPr>
          <w:rFonts w:ascii="FangSong_GB2312" w:hAnsi="FangSong_GB2312" w:eastAsia="FangSong_GB2312" w:cs="FangSong_GB2312"/>
          <w:spacing w:val="4"/>
          <w:sz w:val="31"/>
          <w:szCs w:val="31"/>
        </w:rPr>
        <w:t>厕所革命：合理规划布局农村公共厕所，加快建设乡村景</w:t>
      </w:r>
      <w:r>
        <w:rPr>
          <w:rFonts w:ascii="FangSong_GB2312" w:hAnsi="FangSong_GB2312" w:eastAsia="FangSong_GB2312" w:cs="FangSong_GB2312"/>
          <w:spacing w:val="5"/>
          <w:sz w:val="31"/>
          <w:szCs w:val="31"/>
        </w:rPr>
        <w:t>区旅游厕所，落实公共厕所管护责任，强化日常卫生保洁。科学选择改厕技术模式，宜水则水、宜旱则旱。加强厕所粪污无害化</w:t>
      </w:r>
      <w:r>
        <w:rPr>
          <w:rFonts w:ascii="FangSong_GB2312" w:hAnsi="FangSong_GB2312" w:eastAsia="FangSong_GB2312" w:cs="FangSong_GB2312"/>
          <w:spacing w:val="6"/>
          <w:sz w:val="31"/>
          <w:szCs w:val="31"/>
        </w:rPr>
        <w:t>处理与资源化利用。</w:t>
      </w:r>
    </w:p>
    <w:p>
      <w:pPr>
        <w:pageBreakBefore w:val="0"/>
        <w:widowControl w:val="0"/>
        <w:kinsoku/>
        <w:wordWrap/>
        <w:overflowPunct/>
        <w:topLinePunct w:val="0"/>
        <w:autoSpaceDE w:val="0"/>
        <w:autoSpaceDN w:val="0"/>
        <w:bidi w:val="0"/>
        <w:adjustRightInd/>
        <w:spacing w:line="360" w:lineRule="auto"/>
        <w:ind w:left="0" w:leftChars="0" w:right="0" w:rightChars="0" w:firstLine="636" w:firstLineChars="200"/>
        <w:textAlignment w:val="auto"/>
        <w:rPr>
          <w:rFonts w:ascii="FangSong_GB2312" w:hAnsi="FangSong_GB2312" w:eastAsia="FangSong_GB2312" w:cs="FangSong_GB2312"/>
          <w:sz w:val="31"/>
          <w:szCs w:val="31"/>
        </w:rPr>
      </w:pPr>
      <w:r>
        <w:rPr>
          <w:rFonts w:ascii="FangSong_GB2312" w:hAnsi="FangSong_GB2312" w:eastAsia="FangSong_GB2312" w:cs="FangSong_GB2312"/>
          <w:spacing w:val="4"/>
          <w:sz w:val="31"/>
          <w:szCs w:val="31"/>
        </w:rPr>
        <w:t>污水治理：以资源化利用、可持续治理为导向，选择符合</w:t>
      </w:r>
      <w:r>
        <w:rPr>
          <w:rFonts w:ascii="FangSong_GB2312" w:hAnsi="FangSong_GB2312" w:eastAsia="FangSong_GB2312" w:cs="FangSong_GB2312"/>
          <w:spacing w:val="5"/>
          <w:sz w:val="31"/>
          <w:szCs w:val="31"/>
        </w:rPr>
        <w:t>农村实际的生活污水治理技术，优先推广运行费用低、管护简便的治理技术。以房前屋后河塘沟渠和群众反映强烈的黑臭水体为重点，采取控源截污、清淤疏浚、生态修复、水体净化等措施综</w:t>
      </w:r>
      <w:r>
        <w:rPr>
          <w:rFonts w:ascii="FangSong_GB2312" w:hAnsi="FangSong_GB2312" w:eastAsia="FangSong_GB2312" w:cs="FangSong_GB2312"/>
          <w:spacing w:val="3"/>
          <w:sz w:val="31"/>
          <w:szCs w:val="31"/>
        </w:rPr>
        <w:t>合治理。</w:t>
      </w:r>
    </w:p>
    <w:p>
      <w:pPr>
        <w:pageBreakBefore w:val="0"/>
        <w:widowControl w:val="0"/>
        <w:kinsoku/>
        <w:wordWrap/>
        <w:overflowPunct/>
        <w:topLinePunct w:val="0"/>
        <w:autoSpaceDE w:val="0"/>
        <w:autoSpaceDN w:val="0"/>
        <w:bidi w:val="0"/>
        <w:adjustRightInd/>
        <w:spacing w:line="360" w:lineRule="auto"/>
        <w:ind w:left="0" w:leftChars="0" w:right="0" w:rightChars="0" w:firstLine="636" w:firstLineChars="200"/>
        <w:textAlignment w:val="auto"/>
      </w:pPr>
      <w:r>
        <w:rPr>
          <w:rFonts w:ascii="FangSong_GB2312" w:hAnsi="FangSong_GB2312" w:eastAsia="FangSong_GB2312" w:cs="FangSong_GB2312"/>
          <w:spacing w:val="4"/>
          <w:sz w:val="31"/>
          <w:szCs w:val="31"/>
        </w:rPr>
        <w:t>生产生活垃圾治理：完善农村生活垃圾收集、转</w:t>
      </w:r>
      <w:r>
        <w:rPr>
          <w:rFonts w:ascii="FangSong_GB2312" w:hAnsi="FangSong_GB2312" w:eastAsia="FangSong_GB2312" w:cs="FangSong_GB2312"/>
          <w:spacing w:val="3"/>
          <w:sz w:val="31"/>
          <w:szCs w:val="31"/>
        </w:rPr>
        <w:t>运、处置</w:t>
      </w:r>
      <w:r>
        <w:rPr>
          <w:rFonts w:ascii="FangSong_GB2312" w:hAnsi="FangSong_GB2312" w:eastAsia="FangSong_GB2312" w:cs="FangSong_GB2312"/>
          <w:spacing w:val="7"/>
          <w:sz w:val="31"/>
          <w:szCs w:val="31"/>
        </w:rPr>
        <w:t>设施和模式，因地制宜采用小型化、分散化的</w:t>
      </w:r>
      <w:r>
        <w:rPr>
          <w:rFonts w:ascii="FangSong_GB2312" w:hAnsi="FangSong_GB2312" w:eastAsia="FangSong_GB2312" w:cs="FangSong_GB2312"/>
          <w:spacing w:val="6"/>
          <w:sz w:val="31"/>
          <w:szCs w:val="31"/>
        </w:rPr>
        <w:t>无害化处理方式，</w:t>
      </w:r>
      <w:r>
        <w:rPr>
          <w:rFonts w:ascii="FangSong_GB2312" w:hAnsi="FangSong_GB2312" w:eastAsia="FangSong_GB2312" w:cs="FangSong_GB2312"/>
          <w:spacing w:val="8"/>
          <w:sz w:val="31"/>
          <w:szCs w:val="31"/>
        </w:rPr>
        <w:t>推进农村生活垃圾分类减量与利用。</w:t>
      </w:r>
    </w:p>
    <w:p>
      <w:pPr>
        <w:pStyle w:val="46"/>
        <w:pageBreakBefore w:val="0"/>
        <w:widowControl w:val="0"/>
        <w:kinsoku/>
        <w:wordWrap/>
        <w:overflowPunct/>
        <w:topLinePunct w:val="0"/>
        <w:autoSpaceDE w:val="0"/>
        <w:autoSpaceDN w:val="0"/>
        <w:bidi w:val="0"/>
        <w:adjustRightInd/>
        <w:snapToGrid/>
        <w:spacing w:before="0" w:line="360" w:lineRule="auto"/>
        <w:ind w:left="0" w:leftChars="0" w:right="0" w:rightChars="0" w:firstLine="675" w:firstLineChars="200"/>
        <w:textAlignment w:val="auto"/>
        <w:rPr>
          <w:rFonts w:hint="eastAsia" w:eastAsia="仿宋_GB2312"/>
          <w:color w:val="000000" w:themeColor="text1"/>
          <w:w w:val="105"/>
          <w:sz w:val="32"/>
          <w:szCs w:val="32"/>
          <w:highlight w:val="none"/>
          <w:lang w:val="en-US" w:eastAsia="zh-CN"/>
          <w14:textFill>
            <w14:solidFill>
              <w14:schemeClr w14:val="tx1"/>
            </w14:solidFill>
          </w14:textFill>
        </w:rPr>
      </w:pPr>
      <w:bookmarkStart w:id="120" w:name="bookmark29"/>
      <w:bookmarkEnd w:id="120"/>
      <w:r>
        <w:rPr>
          <w:rFonts w:hint="eastAsia" w:eastAsia="仿宋_GB2312"/>
          <w:color w:val="000000" w:themeColor="text1"/>
          <w:w w:val="105"/>
          <w:sz w:val="32"/>
          <w:szCs w:val="32"/>
          <w:highlight w:val="none"/>
          <w:lang w:val="en-US" w:eastAsia="zh-CN"/>
          <w14:textFill>
            <w14:solidFill>
              <w14:schemeClr w14:val="tx1"/>
            </w14:solidFill>
          </w14:textFill>
        </w:rPr>
        <w:t>景观风貌指引要求</w:t>
      </w:r>
    </w:p>
    <w:p>
      <w:pPr>
        <w:pageBreakBefore w:val="0"/>
        <w:widowControl w:val="0"/>
        <w:kinsoku/>
        <w:wordWrap/>
        <w:overflowPunct/>
        <w:topLinePunct w:val="0"/>
        <w:autoSpaceDE w:val="0"/>
        <w:autoSpaceDN w:val="0"/>
        <w:bidi w:val="0"/>
        <w:adjustRightInd/>
        <w:spacing w:line="360" w:lineRule="auto"/>
        <w:ind w:left="0" w:leftChars="0" w:right="0" w:rightChars="0" w:firstLine="640" w:firstLineChars="200"/>
        <w:jc w:val="both"/>
        <w:textAlignment w:val="auto"/>
        <w:rPr>
          <w:rFonts w:ascii="FangSong_GB2312" w:hAnsi="FangSong_GB2312" w:eastAsia="FangSong_GB2312" w:cs="FangSong_GB2312"/>
          <w:sz w:val="31"/>
          <w:szCs w:val="31"/>
        </w:rPr>
      </w:pPr>
      <w:r>
        <w:rPr>
          <w:rFonts w:ascii="FangSong_GB2312" w:hAnsi="FangSong_GB2312" w:eastAsia="FangSong_GB2312" w:cs="FangSong_GB2312"/>
          <w:spacing w:val="5"/>
          <w:sz w:val="31"/>
          <w:szCs w:val="31"/>
        </w:rPr>
        <w:t>深入实施乡村绿化美化行动，突出保护乡村</w:t>
      </w:r>
      <w:r>
        <w:rPr>
          <w:rFonts w:ascii="FangSong_GB2312" w:hAnsi="FangSong_GB2312" w:eastAsia="FangSong_GB2312" w:cs="FangSong_GB2312"/>
          <w:spacing w:val="4"/>
          <w:sz w:val="31"/>
          <w:szCs w:val="31"/>
        </w:rPr>
        <w:t>山体田园、河湖</w:t>
      </w:r>
      <w:r>
        <w:rPr>
          <w:rFonts w:ascii="FangSong_GB2312" w:hAnsi="FangSong_GB2312" w:eastAsia="FangSong_GB2312" w:cs="FangSong_GB2312"/>
          <w:spacing w:val="5"/>
          <w:sz w:val="31"/>
          <w:szCs w:val="31"/>
        </w:rPr>
        <w:t>湿地、原生植被、古树名木等，引导鼓励村民通过栽植果蔬、花</w:t>
      </w:r>
      <w:r>
        <w:rPr>
          <w:rFonts w:ascii="FangSong_GB2312" w:hAnsi="FangSong_GB2312" w:eastAsia="FangSong_GB2312" w:cs="FangSong_GB2312"/>
          <w:spacing w:val="3"/>
          <w:sz w:val="31"/>
          <w:szCs w:val="31"/>
        </w:rPr>
        <w:t>木等开展庭院绿化，通过农村“</w:t>
      </w:r>
      <w:r>
        <w:rPr>
          <w:rFonts w:ascii="FangSong_GB2312" w:hAnsi="FangSong_GB2312" w:eastAsia="FangSong_GB2312" w:cs="FangSong_GB2312"/>
          <w:spacing w:val="-89"/>
          <w:sz w:val="31"/>
          <w:szCs w:val="31"/>
        </w:rPr>
        <w:t xml:space="preserve"> </w:t>
      </w:r>
      <w:r>
        <w:rPr>
          <w:rFonts w:ascii="FangSong_GB2312" w:hAnsi="FangSong_GB2312" w:eastAsia="FangSong_GB2312" w:cs="FangSong_GB2312"/>
          <w:spacing w:val="3"/>
          <w:sz w:val="31"/>
          <w:szCs w:val="31"/>
        </w:rPr>
        <w:t>四旁”（水旁、路旁、村旁、宅</w:t>
      </w:r>
      <w:r>
        <w:rPr>
          <w:rFonts w:ascii="FangSong_GB2312" w:hAnsi="FangSong_GB2312" w:eastAsia="FangSong_GB2312" w:cs="FangSong_GB2312"/>
          <w:spacing w:val="5"/>
          <w:sz w:val="31"/>
          <w:szCs w:val="31"/>
        </w:rPr>
        <w:t>旁）植树推进村庄绿化，充分利用荒地、废弃地、边角地等开展</w:t>
      </w:r>
      <w:r>
        <w:rPr>
          <w:rFonts w:ascii="FangSong_GB2312" w:hAnsi="FangSong_GB2312" w:eastAsia="FangSong_GB2312" w:cs="FangSong_GB2312"/>
          <w:spacing w:val="8"/>
          <w:sz w:val="31"/>
          <w:szCs w:val="31"/>
        </w:rPr>
        <w:t>村庄小微公园和公共绿地建设。</w:t>
      </w:r>
    </w:p>
    <w:p>
      <w:pPr>
        <w:pageBreakBefore w:val="0"/>
        <w:widowControl w:val="0"/>
        <w:kinsoku/>
        <w:wordWrap/>
        <w:overflowPunct/>
        <w:topLinePunct w:val="0"/>
        <w:autoSpaceDE w:val="0"/>
        <w:autoSpaceDN w:val="0"/>
        <w:bidi w:val="0"/>
        <w:adjustRightInd/>
        <w:spacing w:line="360" w:lineRule="auto"/>
        <w:ind w:left="0" w:leftChars="0" w:right="0" w:rightChars="0" w:firstLine="628" w:firstLineChars="200"/>
        <w:jc w:val="both"/>
        <w:textAlignment w:val="auto"/>
        <w:rPr>
          <w:rFonts w:ascii="FangSong_GB2312" w:hAnsi="FangSong_GB2312" w:eastAsia="FangSong_GB2312" w:cs="FangSong_GB2312"/>
          <w:spacing w:val="9"/>
          <w:sz w:val="31"/>
          <w:szCs w:val="31"/>
        </w:rPr>
      </w:pPr>
      <w:r>
        <w:rPr>
          <w:rFonts w:ascii="FangSong_GB2312" w:hAnsi="FangSong_GB2312" w:eastAsia="FangSong_GB2312" w:cs="FangSong_GB2312"/>
          <w:spacing w:val="2"/>
          <w:sz w:val="31"/>
          <w:szCs w:val="31"/>
        </w:rPr>
        <w:t>统筹引导建筑风格，充分注重村民生活习惯和特色</w:t>
      </w:r>
      <w:r>
        <w:rPr>
          <w:rFonts w:ascii="FangSong_GB2312" w:hAnsi="FangSong_GB2312" w:eastAsia="FangSong_GB2312" w:cs="FangSong_GB2312"/>
          <w:spacing w:val="1"/>
          <w:sz w:val="31"/>
          <w:szCs w:val="31"/>
        </w:rPr>
        <w:t>文化传承，</w:t>
      </w:r>
      <w:r>
        <w:rPr>
          <w:rFonts w:ascii="FangSong_GB2312" w:hAnsi="FangSong_GB2312" w:eastAsia="FangSong_GB2312" w:cs="FangSong_GB2312"/>
          <w:spacing w:val="5"/>
          <w:sz w:val="31"/>
          <w:szCs w:val="31"/>
        </w:rPr>
        <w:t>按照以人为本的总体导向，营造乡土建筑与场景。新建和进行外立面改造的乡村建设项目及村民住房立面可以参照</w:t>
      </w:r>
      <w:r>
        <w:rPr>
          <w:rFonts w:hint="eastAsia" w:ascii="FangSong_GB2312" w:hAnsi="FangSong_GB2312" w:eastAsia="FangSong_GB2312" w:cs="FangSong_GB2312"/>
          <w:spacing w:val="5"/>
          <w:sz w:val="31"/>
          <w:szCs w:val="31"/>
        </w:rPr>
        <w:t>《安徽省（皖北片区）农房设计图集》和《安徽省和美乡村农房设计图集》</w:t>
      </w:r>
      <w:r>
        <w:rPr>
          <w:rFonts w:ascii="FangSong_GB2312" w:hAnsi="FangSong_GB2312" w:eastAsia="FangSong_GB2312" w:cs="FangSong_GB2312"/>
          <w:spacing w:val="5"/>
          <w:sz w:val="31"/>
          <w:szCs w:val="31"/>
        </w:rPr>
        <w:t>，对建筑高度、体量、造型、风格和色调等进行指导。各乡镇可结合自身特征对风貌进行统一管控，既要注重村居整体风貌，又要注重农房单体设计，实现具有传统特色的建筑形式。在文物保</w:t>
      </w:r>
      <w:r>
        <w:rPr>
          <w:rFonts w:ascii="FangSong_GB2312" w:hAnsi="FangSong_GB2312" w:eastAsia="FangSong_GB2312" w:cs="FangSong_GB2312"/>
          <w:spacing w:val="4"/>
          <w:sz w:val="31"/>
          <w:szCs w:val="31"/>
        </w:rPr>
        <w:t>护单</w:t>
      </w:r>
      <w:r>
        <w:rPr>
          <w:rFonts w:ascii="FangSong_GB2312" w:hAnsi="FangSong_GB2312" w:eastAsia="FangSong_GB2312" w:cs="FangSong_GB2312"/>
          <w:spacing w:val="5"/>
          <w:sz w:val="31"/>
          <w:szCs w:val="31"/>
        </w:rPr>
        <w:t>位建设控制区内修建新建筑和构筑物，应按文物保护法律法规及</w:t>
      </w:r>
      <w:r>
        <w:rPr>
          <w:rFonts w:ascii="FangSong_GB2312" w:hAnsi="FangSong_GB2312" w:eastAsia="FangSong_GB2312" w:cs="FangSong_GB2312"/>
          <w:spacing w:val="9"/>
          <w:sz w:val="31"/>
          <w:szCs w:val="31"/>
        </w:rPr>
        <w:t>有关规范执行，不得破坏文物保护单位的环境风貌。</w:t>
      </w:r>
    </w:p>
    <w:p>
      <w:pPr>
        <w:pStyle w:val="13"/>
        <w:keepNext w:val="0"/>
        <w:keepLines w:val="0"/>
        <w:pageBreakBefore w:val="0"/>
        <w:widowControl w:val="0"/>
        <w:kinsoku/>
        <w:wordWrap/>
        <w:overflowPunct/>
        <w:topLinePunct w:val="0"/>
        <w:autoSpaceDE w:val="0"/>
        <w:autoSpaceDN w:val="0"/>
        <w:bidi w:val="0"/>
        <w:adjustRightInd/>
        <w:snapToGrid w:val="0"/>
        <w:spacing w:before="240" w:beforeLines="0" w:after="240" w:line="592" w:lineRule="exact"/>
        <w:ind w:left="0" w:leftChars="0" w:right="0" w:rightChars="0" w:firstLine="0" w:firstLineChars="0"/>
        <w:jc w:val="center"/>
        <w:textAlignment w:val="auto"/>
        <w:outlineLvl w:val="1"/>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pPr>
      <w:bookmarkStart w:id="121" w:name="_Toc24141"/>
      <w:r>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t>第九节 通用图则</w:t>
      </w:r>
      <w:bookmarkEnd w:id="121"/>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default" w:eastAsia="仿宋_GB2312"/>
          <w:color w:val="000000" w:themeColor="text1"/>
          <w:highlight w:val="none"/>
          <w:lang w:val="en-US" w:eastAsia="zh-CN"/>
          <w14:textFill>
            <w14:solidFill>
              <w14:schemeClr w14:val="tx1"/>
            </w14:solidFill>
          </w14:textFill>
        </w:rPr>
        <w:t>通用图则包括重要控制线分布图则和地块控制图则。</w:t>
      </w:r>
    </w:p>
    <w:p>
      <w:pPr>
        <w:pStyle w:val="46"/>
        <w:pageBreakBefore w:val="0"/>
        <w:widowControl w:val="0"/>
        <w:kinsoku/>
        <w:wordWrap/>
        <w:overflowPunct/>
        <w:topLinePunct w:val="0"/>
        <w:autoSpaceDE w:val="0"/>
        <w:autoSpaceDN w:val="0"/>
        <w:bidi w:val="0"/>
        <w:adjustRightIn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图则管控</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default" w:eastAsia="仿宋_GB2312"/>
          <w:color w:val="000000" w:themeColor="text1"/>
          <w:highlight w:val="none"/>
          <w:lang w:val="en-US" w:eastAsia="zh-CN"/>
          <w14:textFill>
            <w14:solidFill>
              <w14:schemeClr w14:val="tx1"/>
            </w14:solidFill>
          </w14:textFill>
        </w:rPr>
        <w:t>重要控制线分布图则应落实上位规划划定的相关重要控制线空间分布和面积。</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default" w:eastAsia="仿宋_GB2312"/>
          <w:color w:val="000000" w:themeColor="text1"/>
          <w:highlight w:val="none"/>
          <w:lang w:val="en-US" w:eastAsia="zh-CN"/>
          <w14:textFill>
            <w14:solidFill>
              <w14:schemeClr w14:val="tx1"/>
            </w14:solidFill>
          </w14:textFill>
        </w:rPr>
        <w:t>地块控制图则设置规划条件要遵守相关技术规范和标准，应因地制宜，与村庄风貌、周边环境相协调。经审定的规划图则，是规划管理和行政许可的依据，应按要求的数据标准形成矢量数据。</w:t>
      </w:r>
    </w:p>
    <w:p>
      <w:pPr>
        <w:pStyle w:val="46"/>
        <w:pageBreakBefore w:val="0"/>
        <w:widowControl w:val="0"/>
        <w:kinsoku/>
        <w:wordWrap/>
        <w:overflowPunct/>
        <w:topLinePunct w:val="0"/>
        <w:autoSpaceDE w:val="0"/>
        <w:autoSpaceDN w:val="0"/>
        <w:bidi w:val="0"/>
        <w:adjustRightIn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制图要求</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default" w:eastAsia="仿宋_GB2312"/>
          <w:color w:val="000000" w:themeColor="text1"/>
          <w:highlight w:val="none"/>
          <w:lang w:val="en-US" w:eastAsia="zh-CN"/>
          <w14:textFill>
            <w14:solidFill>
              <w14:schemeClr w14:val="tx1"/>
            </w14:solidFill>
          </w14:textFill>
        </w:rPr>
        <w:t>重要控制线分布图则应表达包括耕地和永久基本农田保护红线、生态保护红线、村庄建设边界、历史文化保护线、灾害风险控制线等重要控制线空间分布。可在图中插入表格，明确重要控制线划定面积。</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default" w:eastAsia="仿宋_GB2312"/>
          <w:color w:val="000000" w:themeColor="text1"/>
          <w:highlight w:val="none"/>
          <w:lang w:val="en-US" w:eastAsia="zh-CN"/>
          <w14:textFill>
            <w14:solidFill>
              <w14:schemeClr w14:val="tx1"/>
            </w14:solidFill>
          </w14:textFill>
        </w:rPr>
        <w:t>地块控制图则应表达地块位置、用地面积、用地性质、容积率、建筑高度、建筑密度、建筑退让等控制内容，包括建筑风貌、设施配套等控制内容。</w:t>
      </w:r>
    </w:p>
    <w:p>
      <w:pPr>
        <w:pStyle w:val="46"/>
        <w:pageBreakBefore w:val="0"/>
        <w:widowControl w:val="0"/>
        <w:kinsoku/>
        <w:wordWrap/>
        <w:overflowPunct/>
        <w:topLinePunct w:val="0"/>
        <w:autoSpaceDE w:val="0"/>
        <w:autoSpaceDN w:val="0"/>
        <w:bidi w:val="0"/>
        <w:adjustRightIn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程序要求</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default" w:eastAsia="仿宋_GB2312"/>
          <w:color w:val="000000" w:themeColor="text1"/>
          <w:highlight w:val="none"/>
          <w:lang w:val="en-US" w:eastAsia="zh-CN"/>
          <w14:textFill>
            <w14:solidFill>
              <w14:schemeClr w14:val="tx1"/>
            </w14:solidFill>
          </w14:textFill>
        </w:rPr>
        <w:t>通用图则由镇人民政府（街道办事处）组织编制，由县自然资源和规划局组织技术审查和论证，镇人民政府（街道办事处）组织村（居）民委员会审议和村（居）民会议或村（居）民代表会议讨论通过，并在村（居）内公示栏或镇人民政府（街道办事处）官方网站公示，公示时间不得少于30日。公示期满无异议后，报县人民政府批准，经县自然资源和规划主管部门备案后施行。</w:t>
      </w:r>
    </w:p>
    <w:p>
      <w:pPr>
        <w:pStyle w:val="13"/>
        <w:keepNext w:val="0"/>
        <w:keepLines w:val="0"/>
        <w:pageBreakBefore w:val="0"/>
        <w:widowControl w:val="0"/>
        <w:kinsoku/>
        <w:wordWrap/>
        <w:overflowPunct/>
        <w:topLinePunct w:val="0"/>
        <w:autoSpaceDE w:val="0"/>
        <w:autoSpaceDN w:val="0"/>
        <w:bidi w:val="0"/>
        <w:adjustRightInd/>
        <w:snapToGrid w:val="0"/>
        <w:spacing w:before="240" w:beforeLines="0" w:after="240" w:line="592" w:lineRule="exact"/>
        <w:ind w:left="0" w:leftChars="0" w:right="0" w:rightChars="0" w:firstLine="0" w:firstLineChars="0"/>
        <w:jc w:val="center"/>
        <w:textAlignment w:val="auto"/>
        <w:outlineLvl w:val="1"/>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pPr>
      <w:bookmarkStart w:id="122" w:name="_Toc10982"/>
      <w:r>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t>第十节  实施管理规定</w:t>
      </w:r>
      <w:bookmarkEnd w:id="122"/>
    </w:p>
    <w:p>
      <w:pPr>
        <w:pStyle w:val="46"/>
        <w:pageBreakBefore w:val="0"/>
        <w:widowControl w:val="0"/>
        <w:kinsoku/>
        <w:wordWrap/>
        <w:overflowPunct/>
        <w:topLinePunct w:val="0"/>
        <w:autoSpaceDE w:val="0"/>
        <w:autoSpaceDN w:val="0"/>
        <w:bidi w:val="0"/>
        <w:adjustRightIn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加强实施监督</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强化日常监督管理，工作过程中要注重实现全流程、多方式</w:t>
      </w:r>
      <w:r>
        <w:rPr>
          <w:rFonts w:hint="default" w:eastAsia="仿宋_GB2312"/>
          <w:color w:val="000000" w:themeColor="text1"/>
          <w:highlight w:val="none"/>
          <w:lang w:val="en-US" w:eastAsia="zh-CN"/>
          <w14:textFill>
            <w14:solidFill>
              <w14:schemeClr w14:val="tx1"/>
            </w14:solidFill>
          </w14:textFill>
        </w:rPr>
        <w:t>的公众参与，广泛征求当地村民、村委和相关部门等意见，积极向公众宣传。</w:t>
      </w:r>
    </w:p>
    <w:p>
      <w:pPr>
        <w:pStyle w:val="46"/>
        <w:pageBreakBefore w:val="0"/>
        <w:widowControl w:val="0"/>
        <w:kinsoku/>
        <w:wordWrap/>
        <w:overflowPunct/>
        <w:topLinePunct w:val="0"/>
        <w:autoSpaceDE w:val="0"/>
        <w:autoSpaceDN w:val="0"/>
        <w:bidi w:val="0"/>
        <w:adjustRightIn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其他事项</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default" w:eastAsia="仿宋_GB2312"/>
          <w:color w:val="000000" w:themeColor="text1"/>
          <w:highlight w:val="none"/>
          <w:lang w:val="en-US" w:eastAsia="zh-CN"/>
          <w14:textFill>
            <w14:solidFill>
              <w14:schemeClr w14:val="tx1"/>
            </w14:solidFill>
          </w14:textFill>
        </w:rPr>
        <w:t>“通则式”成果不得与法律法规和有关政策冲突。</w:t>
      </w:r>
    </w:p>
    <w:p>
      <w:pPr>
        <w:pStyle w:val="46"/>
        <w:pageBreakBefore w:val="0"/>
        <w:widowControl w:val="0"/>
        <w:kinsoku/>
        <w:wordWrap/>
        <w:overflowPunct/>
        <w:topLinePunct w:val="0"/>
        <w:autoSpaceDE w:val="0"/>
        <w:autoSpaceDN w:val="0"/>
        <w:bidi w:val="0"/>
        <w:adjustRightIn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成果要求</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val="en-US" w:eastAsia="zh-CN"/>
          <w14:textFill>
            <w14:solidFill>
              <w14:schemeClr w14:val="tx1"/>
            </w14:solidFill>
          </w14:textFill>
        </w:rPr>
        <w:t>乡村地区“通则式”规划技术管理规定成果包含“文本”、</w:t>
      </w:r>
      <w:r>
        <w:rPr>
          <w:rFonts w:hint="default" w:eastAsia="仿宋_GB2312"/>
          <w:color w:val="000000" w:themeColor="text1"/>
          <w:highlight w:val="none"/>
          <w:lang w:val="en-US" w:eastAsia="zh-CN"/>
          <w14:textFill>
            <w14:solidFill>
              <w14:schemeClr w14:val="tx1"/>
            </w14:solidFill>
          </w14:textFill>
        </w:rPr>
        <w:t>“图则”。</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default" w:eastAsia="仿宋_GB2312"/>
          <w:color w:val="000000" w:themeColor="text1"/>
          <w:highlight w:val="none"/>
          <w:lang w:val="en-US" w:eastAsia="zh-CN"/>
          <w14:textFill>
            <w14:solidFill>
              <w14:schemeClr w14:val="tx1"/>
            </w14:solidFill>
          </w14:textFill>
        </w:rPr>
        <w:t>“文本”主要以条文形式对底线管控、规划管理规定等内容进行阐述，言简意骸、通俗易懂，可纳入“村规民约”。</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default" w:eastAsia="仿宋_GB2312"/>
          <w:color w:val="000000" w:themeColor="text1"/>
          <w:highlight w:val="none"/>
          <w:lang w:val="en-US" w:eastAsia="zh-CN"/>
          <w14:textFill>
            <w14:solidFill>
              <w14:schemeClr w14:val="tx1"/>
            </w14:solidFill>
          </w14:textFill>
        </w:rPr>
        <w:t>“图则”主要为重要控制线分布和地块控制图则，清晰易识别。</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default" w:eastAsia="仿宋_GB2312"/>
          <w:color w:val="000000" w:themeColor="text1"/>
          <w:highlight w:val="none"/>
          <w:lang w:val="en-US" w:eastAsia="zh-CN"/>
          <w14:textFill>
            <w14:solidFill>
              <w14:schemeClr w14:val="tx1"/>
            </w14:solidFill>
          </w14:textFill>
        </w:rPr>
        <w:t>规划数据库建设应符合国土空间规划“一张图”统一标准和要求，纳入县级国土空间规划数据库，可不单独建设规划数据库。</w:t>
      </w:r>
    </w:p>
    <w:p>
      <w:pPr>
        <w:pStyle w:val="46"/>
        <w:pageBreakBefore w:val="0"/>
        <w:widowControl w:val="0"/>
        <w:kinsoku/>
        <w:wordWrap/>
        <w:overflowPunct/>
        <w:topLinePunct w:val="0"/>
        <w:autoSpaceDE w:val="0"/>
        <w:autoSpaceDN w:val="0"/>
        <w:bidi w:val="0"/>
        <w:adjustRightInd/>
        <w:spacing w:before="0" w:line="360" w:lineRule="auto"/>
        <w:ind w:left="0" w:right="108" w:firstLine="675" w:firstLineChars="200"/>
        <w:textAlignment w:val="auto"/>
        <w:rPr>
          <w:rFonts w:hint="eastAsia" w:eastAsia="仿宋_GB2312"/>
          <w:color w:val="000000" w:themeColor="text1"/>
          <w:w w:val="105"/>
          <w:sz w:val="32"/>
          <w:highlight w:val="none"/>
          <w:lang w:val="en-US" w:eastAsia="zh-CN"/>
          <w14:textFill>
            <w14:solidFill>
              <w14:schemeClr w14:val="tx1"/>
            </w14:solidFill>
          </w14:textFill>
        </w:rPr>
      </w:pPr>
      <w:r>
        <w:rPr>
          <w:rFonts w:hint="eastAsia" w:eastAsia="仿宋_GB2312"/>
          <w:color w:val="000000" w:themeColor="text1"/>
          <w:w w:val="105"/>
          <w:sz w:val="32"/>
          <w:highlight w:val="none"/>
          <w:lang w:val="en-US" w:eastAsia="zh-CN"/>
          <w14:textFill>
            <w14:solidFill>
              <w14:schemeClr w14:val="tx1"/>
            </w14:solidFill>
          </w14:textFill>
        </w:rPr>
        <w:t>规划许可</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依据《村庄规划许可依据一览表》规定的情形，核发规划许可存在以下三类情形：</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（1）√：可直接依据“通则”核发许可的项目，按照用地指引及相关要求，直接核发乡村建设规划许可。</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（2）+：在“通则”的基础上补充编制重点地块图则的项目，审查</w:t>
      </w:r>
      <w:r>
        <w:rPr>
          <w:rFonts w:hint="eastAsia" w:eastAsia="仿宋_GB2312"/>
          <w:color w:val="000000" w:themeColor="text1"/>
          <w:highlight w:val="none"/>
          <w:lang w:val="en-US" w:eastAsia="zh-CN"/>
          <w14:textFill>
            <w14:solidFill>
              <w14:schemeClr w14:val="tx1"/>
            </w14:solidFill>
          </w14:textFill>
        </w:rPr>
        <w:t>通过后</w:t>
      </w:r>
      <w:r>
        <w:rPr>
          <w:rFonts w:hint="eastAsia" w:eastAsia="仿宋_GB2312"/>
          <w:color w:val="000000" w:themeColor="text1"/>
          <w:highlight w:val="none"/>
          <w:lang w:eastAsia="zh-CN"/>
          <w14:textFill>
            <w14:solidFill>
              <w14:schemeClr w14:val="tx1"/>
            </w14:solidFill>
          </w14:textFill>
        </w:rPr>
        <w:t>图则公示30天无异议后，办理乡村建设规划许可。</w:t>
      </w:r>
    </w:p>
    <w:p>
      <w:pPr>
        <w:pStyle w:val="13"/>
        <w:keepNext w:val="0"/>
        <w:keepLines w:val="0"/>
        <w:pageBreakBefore w:val="0"/>
        <w:widowControl w:val="0"/>
        <w:kinsoku/>
        <w:wordWrap/>
        <w:overflowPunct/>
        <w:topLinePunct w:val="0"/>
        <w:autoSpaceDE w:val="0"/>
        <w:autoSpaceDN w:val="0"/>
        <w:bidi w:val="0"/>
        <w:adjustRightInd/>
        <w:snapToGrid/>
        <w:spacing w:before="0" w:beforeLines="0" w:line="360" w:lineRule="auto"/>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（3）×：不适用“通则”的项目，编制规划落实方案或详细规划（村庄规划），经县级人民政府批准后作为核发规划许可的依据。</w:t>
      </w:r>
    </w:p>
    <w:p>
      <w:pPr>
        <w:pStyle w:val="13"/>
        <w:keepNext w:val="0"/>
        <w:keepLines w:val="0"/>
        <w:pageBreakBefore w:val="0"/>
        <w:widowControl w:val="0"/>
        <w:kinsoku/>
        <w:wordWrap/>
        <w:overflowPunct/>
        <w:topLinePunct w:val="0"/>
        <w:autoSpaceDE w:val="0"/>
        <w:autoSpaceDN w:val="0"/>
        <w:bidi w:val="0"/>
        <w:adjustRightInd/>
        <w:snapToGrid/>
        <w:spacing w:before="0" w:beforeLines="0" w:line="592" w:lineRule="exact"/>
        <w:ind w:left="0" w:leftChars="0" w:right="110" w:firstLine="599" w:firstLineChars="213"/>
        <w:jc w:val="center"/>
        <w:textAlignment w:val="auto"/>
        <w:rPr>
          <w:rFonts w:hint="eastAsia" w:eastAsia="仿宋_GB2312"/>
          <w:b/>
          <w:bCs/>
          <w:color w:val="000000" w:themeColor="text1"/>
          <w:sz w:val="28"/>
          <w:szCs w:val="28"/>
          <w:highlight w:val="none"/>
          <w:lang w:eastAsia="zh-CN"/>
          <w14:textFill>
            <w14:solidFill>
              <w14:schemeClr w14:val="tx1"/>
            </w14:solidFill>
          </w14:textFill>
        </w:rPr>
      </w:pPr>
      <w:r>
        <w:rPr>
          <w:rFonts w:hint="eastAsia" w:eastAsia="仿宋_GB2312"/>
          <w:b/>
          <w:bCs/>
          <w:color w:val="000000" w:themeColor="text1"/>
          <w:sz w:val="28"/>
          <w:szCs w:val="28"/>
          <w:highlight w:val="none"/>
          <w:lang w:val="en-US" w:eastAsia="zh-CN"/>
          <w14:textFill>
            <w14:solidFill>
              <w14:schemeClr w14:val="tx1"/>
            </w14:solidFill>
          </w14:textFill>
        </w:rPr>
        <w:t>表：</w:t>
      </w:r>
      <w:r>
        <w:rPr>
          <w:rFonts w:hint="eastAsia" w:eastAsia="仿宋_GB2312"/>
          <w:b/>
          <w:bCs/>
          <w:color w:val="000000" w:themeColor="text1"/>
          <w:sz w:val="28"/>
          <w:szCs w:val="28"/>
          <w:highlight w:val="none"/>
          <w:lang w:eastAsia="zh-CN"/>
          <w14:textFill>
            <w14:solidFill>
              <w14:schemeClr w14:val="tx1"/>
            </w14:solidFill>
          </w14:textFill>
        </w:rPr>
        <w:t>村庄规划许可依据一览表</w:t>
      </w:r>
    </w:p>
    <w:p>
      <w:pPr>
        <w:pStyle w:val="13"/>
        <w:keepNext w:val="0"/>
        <w:keepLines w:val="0"/>
        <w:pageBreakBefore w:val="0"/>
        <w:widowControl w:val="0"/>
        <w:kinsoku/>
        <w:wordWrap/>
        <w:overflowPunct/>
        <w:topLinePunct w:val="0"/>
        <w:autoSpaceDE w:val="0"/>
        <w:autoSpaceDN w:val="0"/>
        <w:bidi w:val="0"/>
        <w:adjustRightInd/>
        <w:snapToGrid/>
        <w:spacing w:before="0" w:beforeLines="0" w:line="592" w:lineRule="exact"/>
        <w:ind w:left="0" w:leftChars="0" w:right="110" w:firstLine="596" w:firstLineChars="213"/>
        <w:textAlignment w:val="auto"/>
        <w:rPr>
          <w:rFonts w:hint="eastAsia" w:eastAsia="仿宋_GB2312"/>
          <w:color w:val="000000" w:themeColor="text1"/>
          <w:sz w:val="28"/>
          <w:szCs w:val="28"/>
          <w:highlight w:val="none"/>
          <w:lang w:eastAsia="zh-CN"/>
          <w14:textFill>
            <w14:solidFill>
              <w14:schemeClr w14:val="tx1"/>
            </w14:solidFill>
          </w14:textFill>
        </w:rPr>
      </w:pPr>
      <w:r>
        <w:rPr>
          <w:rFonts w:hint="eastAsia" w:eastAsia="仿宋_GB2312"/>
          <w:color w:val="000000" w:themeColor="text1"/>
          <w:sz w:val="28"/>
          <w:szCs w:val="28"/>
          <w:highlight w:val="none"/>
          <w:lang w:eastAsia="zh-CN"/>
          <w14:textFill>
            <w14:solidFill>
              <w14:schemeClr w14:val="tx1"/>
            </w14:solidFill>
          </w14:textFill>
        </w:rPr>
        <w:t>注：√：直接以“通则”为规划依据；+：在“通则”基础上需补充编制重点地块图则为规划依据；×：“通则”不适用仅允许规划落实方案或详细规划作为规划依据。</w:t>
      </w:r>
    </w:p>
    <w:tbl>
      <w:tblPr>
        <w:tblStyle w:val="27"/>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0" w:type="dxa"/>
          <w:bottom w:w="0" w:type="dxa"/>
          <w:right w:w="0" w:type="dxa"/>
        </w:tblCellMar>
      </w:tblPr>
      <w:tblGrid>
        <w:gridCol w:w="1370"/>
        <w:gridCol w:w="1374"/>
        <w:gridCol w:w="2817"/>
        <w:gridCol w:w="598"/>
        <w:gridCol w:w="494"/>
        <w:gridCol w:w="419"/>
        <w:gridCol w:w="19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285" w:hRule="atLeast"/>
          <w:jc w:val="center"/>
        </w:trPr>
        <w:tc>
          <w:tcPr>
            <w:tcW w:w="1528" w:type="pct"/>
            <w:gridSpan w:val="2"/>
            <w:vMerge w:val="restar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用地类型</w:t>
            </w:r>
          </w:p>
        </w:tc>
        <w:tc>
          <w:tcPr>
            <w:tcW w:w="1568" w:type="pct"/>
            <w:vMerge w:val="restar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具体建设内容</w:t>
            </w:r>
          </w:p>
        </w:tc>
        <w:tc>
          <w:tcPr>
            <w:tcW w:w="1902" w:type="pct"/>
            <w:gridSpan w:val="4"/>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土地利用情况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285" w:hRule="atLeast"/>
          <w:jc w:val="center"/>
        </w:trPr>
        <w:tc>
          <w:tcPr>
            <w:tcW w:w="1528" w:type="pct"/>
            <w:gridSpan w:val="2"/>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1568"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333" w:type="pct"/>
            <w:vMerge w:val="restar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新增</w:t>
            </w:r>
          </w:p>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建设用地</w:t>
            </w:r>
          </w:p>
        </w:tc>
        <w:tc>
          <w:tcPr>
            <w:tcW w:w="1568" w:type="pct"/>
            <w:gridSpan w:val="3"/>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存量建设用地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285" w:hRule="atLeast"/>
          <w:jc w:val="center"/>
        </w:trPr>
        <w:tc>
          <w:tcPr>
            <w:tcW w:w="1528" w:type="pct"/>
            <w:gridSpan w:val="2"/>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1568"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333"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275" w:type="pct"/>
            <w:vMerge w:val="restar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改变</w:t>
            </w:r>
          </w:p>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用途</w:t>
            </w:r>
          </w:p>
        </w:tc>
        <w:tc>
          <w:tcPr>
            <w:tcW w:w="1292" w:type="pct"/>
            <w:gridSpan w:val="2"/>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使用原用途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525" w:hRule="atLeast"/>
          <w:jc w:val="center"/>
        </w:trPr>
        <w:tc>
          <w:tcPr>
            <w:tcW w:w="1528" w:type="pct"/>
            <w:gridSpan w:val="2"/>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1568"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333"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275"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扩建</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重建、翻建</w:t>
            </w:r>
          </w:p>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（包括不扩大面积、高度的改建）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1528" w:type="pct"/>
            <w:gridSpan w:val="2"/>
            <w:vMerge w:val="restar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农村宅基地（0703地类）</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单宗独户或单宗联排</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1528" w:type="pct"/>
            <w:gridSpan w:val="2"/>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用地规模3亩以上的集中安置</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1528" w:type="pct"/>
            <w:gridSpan w:val="2"/>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农村社区服务设施用地</w:t>
            </w:r>
          </w:p>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（0704地类）</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村委会、农村卫生服务站、休息亭、文化礼堂、宗祠、体育健身点等</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restar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公共管理与公</w:t>
            </w:r>
          </w:p>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共服务用地</w:t>
            </w:r>
          </w:p>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（08地类）</w:t>
            </w:r>
          </w:p>
        </w:tc>
        <w:tc>
          <w:tcPr>
            <w:tcW w:w="764"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幼儿园用地</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幼儿园</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764"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基层医疗卫生设施用地</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卫生院</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764" w:type="pct"/>
            <w:vMerge w:val="restar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老年人社会福利用地</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养老院</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764"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居家养老服务中心</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764"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儿童社会福利用地</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留守儿童福利院</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工业用地</w:t>
            </w:r>
            <w:r>
              <w:rPr>
                <w:rFonts w:hint="eastAsia" w:eastAsia="仿宋_GB2312"/>
                <w:color w:val="000000" w:themeColor="text1"/>
                <w:sz w:val="24"/>
                <w:szCs w:val="24"/>
                <w:highlight w:val="none"/>
                <w:lang w:val="en-US" w:eastAsia="zh-CN"/>
                <w14:textFill>
                  <w14:solidFill>
                    <w14:schemeClr w14:val="tx1"/>
                  </w14:solidFill>
                </w14:textFill>
              </w:rPr>
              <w:t xml:space="preserve"> </w:t>
            </w:r>
            <w:bookmarkStart w:id="124" w:name="_GoBack"/>
            <w:bookmarkEnd w:id="124"/>
          </w:p>
        </w:tc>
        <w:tc>
          <w:tcPr>
            <w:tcW w:w="764"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一、二类工业用地</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用于农产品初加工的产业用地</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1528" w:type="pct"/>
            <w:gridSpan w:val="2"/>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物流仓储用地</w:t>
            </w:r>
            <w:r>
              <w:rPr>
                <w:rFonts w:hint="eastAsia" w:eastAsia="仿宋_GB2312"/>
                <w:color w:val="000000" w:themeColor="text1"/>
                <w:sz w:val="24"/>
                <w:szCs w:val="24"/>
                <w:highlight w:val="none"/>
                <w:lang w:val="en-US" w:eastAsia="zh-CN"/>
                <w14:textFill>
                  <w14:solidFill>
                    <w14:schemeClr w14:val="tx1"/>
                  </w14:solidFill>
                </w14:textFill>
              </w:rPr>
              <w:t xml:space="preserve"> </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物流快递中转点</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restar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交通运输用地</w:t>
            </w:r>
          </w:p>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（12地类）</w:t>
            </w:r>
          </w:p>
        </w:tc>
        <w:tc>
          <w:tcPr>
            <w:tcW w:w="764"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城镇村道路用地</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村道</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764"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社会停车场用地</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景区停车场</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restar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公用设施用地</w:t>
            </w:r>
          </w:p>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（13地类）</w:t>
            </w:r>
          </w:p>
        </w:tc>
        <w:tc>
          <w:tcPr>
            <w:tcW w:w="764"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供水用地</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小型农村取水设施</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764"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排水用地</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小型农村污水处理池</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764"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供电用地</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村配电房</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764"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通信用地</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通信基站</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764" w:type="pct"/>
            <w:vMerge w:val="restar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环卫用地</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垃圾中转站</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764"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垃圾收集点</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764"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公厕</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764" w:type="pct"/>
            <w:vMerge w:val="restar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水工设施用地</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村级水闸</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0" w:hRule="atLeast"/>
          <w:jc w:val="center"/>
        </w:trPr>
        <w:tc>
          <w:tcPr>
            <w:tcW w:w="763"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764" w:type="pct"/>
            <w:vMerge w:val="continue"/>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水电机房</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0" w:hRule="atLeast"/>
          <w:jc w:val="center"/>
        </w:trPr>
        <w:tc>
          <w:tcPr>
            <w:tcW w:w="76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绿地与开敞空间用地</w:t>
            </w:r>
          </w:p>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（14地类）</w:t>
            </w:r>
          </w:p>
        </w:tc>
        <w:tc>
          <w:tcPr>
            <w:tcW w:w="764"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公园绿地</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小型农村公园</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0" w:hRule="atLeast"/>
          <w:jc w:val="center"/>
        </w:trPr>
        <w:tc>
          <w:tcPr>
            <w:tcW w:w="1528" w:type="pct"/>
            <w:gridSpan w:val="2"/>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殡葬用地（1506地类）</w:t>
            </w:r>
          </w:p>
        </w:tc>
        <w:tc>
          <w:tcPr>
            <w:tcW w:w="1568"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乡村公益性公墓、树葬点、骨灰存放堂</w:t>
            </w:r>
          </w:p>
        </w:tc>
        <w:tc>
          <w:tcPr>
            <w:tcW w:w="3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75"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233"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c>
          <w:tcPr>
            <w:tcW w:w="1059" w:type="pct"/>
            <w:shd w:val="clear" w:color="auto" w:fill="auto"/>
            <w:vAlign w:val="center"/>
          </w:tcPr>
          <w:p>
            <w:pPr>
              <w:pStyle w:val="13"/>
              <w:keepNext w:val="0"/>
              <w:keepLines w:val="0"/>
              <w:pageBreakBefore w:val="0"/>
              <w:widowControl w:val="0"/>
              <w:kinsoku/>
              <w:wordWrap/>
              <w:overflowPunct/>
              <w:topLinePunct w:val="0"/>
              <w:autoSpaceDE w:val="0"/>
              <w:autoSpaceDN w:val="0"/>
              <w:bidi w:val="0"/>
              <w:adjustRightInd/>
              <w:snapToGrid/>
              <w:spacing w:before="0" w:beforeLines="0" w:line="240" w:lineRule="auto"/>
              <w:ind w:left="0" w:leftChars="0" w:right="0" w:rightChars="0" w:firstLine="0" w:firstLineChars="0"/>
              <w:jc w:val="center"/>
              <w:textAlignment w:val="auto"/>
              <w:rPr>
                <w:rFonts w:hint="eastAsia" w:eastAsia="仿宋_GB2312"/>
                <w:color w:val="000000" w:themeColor="text1"/>
                <w:sz w:val="24"/>
                <w:szCs w:val="24"/>
                <w:highlight w:val="none"/>
                <w:lang w:eastAsia="zh-CN"/>
                <w14:textFill>
                  <w14:solidFill>
                    <w14:schemeClr w14:val="tx1"/>
                  </w14:solidFill>
                </w14:textFill>
              </w:rPr>
            </w:pPr>
            <w:r>
              <w:rPr>
                <w:rFonts w:hint="eastAsia" w:eastAsia="仿宋_GB2312"/>
                <w:color w:val="000000" w:themeColor="text1"/>
                <w:sz w:val="24"/>
                <w:szCs w:val="24"/>
                <w:highlight w:val="none"/>
                <w:lang w:eastAsia="zh-CN"/>
                <w14:textFill>
                  <w14:solidFill>
                    <w14:schemeClr w14:val="tx1"/>
                  </w14:solidFill>
                </w14:textFill>
              </w:rPr>
              <w:t>十</w:t>
            </w:r>
          </w:p>
        </w:tc>
      </w:tr>
    </w:tbl>
    <w:p/>
    <w:p>
      <w:pPr>
        <w:pStyle w:val="13"/>
        <w:keepNext w:val="0"/>
        <w:keepLines w:val="0"/>
        <w:pageBreakBefore w:val="0"/>
        <w:widowControl w:val="0"/>
        <w:kinsoku/>
        <w:wordWrap/>
        <w:overflowPunct/>
        <w:topLinePunct w:val="0"/>
        <w:autoSpaceDE w:val="0"/>
        <w:autoSpaceDN w:val="0"/>
        <w:bidi w:val="0"/>
        <w:adjustRightInd/>
        <w:snapToGrid w:val="0"/>
        <w:spacing w:before="0" w:beforeLines="0" w:line="360" w:lineRule="auto"/>
        <w:ind w:left="0" w:leftChars="0" w:right="0" w:rightChars="0" w:firstLine="0" w:firstLineChars="0"/>
        <w:jc w:val="center"/>
        <w:textAlignment w:val="auto"/>
        <w:outlineLvl w:val="1"/>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pPr>
      <w:bookmarkStart w:id="123" w:name="_Toc9839"/>
      <w:r>
        <w:rPr>
          <w:rFonts w:hint="eastAsia" w:ascii="黑体" w:hAnsi="黑体" w:eastAsia="黑体" w:cstheme="majorBidi"/>
          <w:bCs/>
          <w:color w:val="000000" w:themeColor="text1"/>
          <w:sz w:val="32"/>
          <w:szCs w:val="32"/>
          <w:highlight w:val="none"/>
          <w:lang w:val="en-US" w:eastAsia="zh-CN" w:bidi="zh-TW"/>
          <w14:textFill>
            <w14:solidFill>
              <w14:schemeClr w14:val="tx1"/>
            </w14:solidFill>
          </w14:textFill>
        </w:rPr>
        <w:t>第十一节  附则</w:t>
      </w:r>
      <w:bookmarkEnd w:id="123"/>
    </w:p>
    <w:p>
      <w:pPr>
        <w:pStyle w:val="13"/>
        <w:keepNext w:val="0"/>
        <w:keepLines w:val="0"/>
        <w:pageBreakBefore w:val="0"/>
        <w:widowControl w:val="0"/>
        <w:kinsoku/>
        <w:wordWrap/>
        <w:overflowPunct/>
        <w:topLinePunct w:val="0"/>
        <w:autoSpaceDE w:val="0"/>
        <w:autoSpaceDN w:val="0"/>
        <w:bidi w:val="0"/>
        <w:adjustRightInd/>
        <w:snapToGrid/>
        <w:spacing w:before="0" w:beforeLines="0" w:line="592" w:lineRule="exact"/>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通则”批准后，根据实施情况适时开展评估调整，因乡村地区开发保护利用需要，以及县人民政府确定的其他情形确需修改“通则”的，应当由组织编制机关征求利害关系人意见，并按原审批程序组织修改、报批。“通则”修改原则上不能突破县级、乡镇级国土空间总体规划确定的强制性内容、约束性指标，确需调整的，必须按照法定程序先修改相应层级的国土空间总体规划。 </w:t>
      </w:r>
    </w:p>
    <w:p>
      <w:pPr>
        <w:pStyle w:val="13"/>
        <w:keepNext w:val="0"/>
        <w:keepLines w:val="0"/>
        <w:pageBreakBefore w:val="0"/>
        <w:widowControl w:val="0"/>
        <w:kinsoku/>
        <w:wordWrap/>
        <w:overflowPunct/>
        <w:topLinePunct w:val="0"/>
        <w:autoSpaceDE w:val="0"/>
        <w:autoSpaceDN w:val="0"/>
        <w:bidi w:val="0"/>
        <w:adjustRightInd/>
        <w:snapToGrid/>
        <w:spacing w:before="0" w:beforeLines="0" w:line="592" w:lineRule="exact"/>
        <w:ind w:left="0" w:leftChars="0" w:right="110" w:firstLine="681" w:firstLineChars="213"/>
        <w:textAlignment w:val="auto"/>
        <w:rPr>
          <w:rFonts w:hint="eastAsia" w:eastAsia="仿宋_GB2312"/>
          <w:color w:val="000000" w:themeColor="text1"/>
          <w:highlight w:val="none"/>
          <w:lang w:eastAsia="zh-CN"/>
          <w14:textFill>
            <w14:solidFill>
              <w14:schemeClr w14:val="tx1"/>
            </w14:solidFill>
          </w14:textFill>
        </w:rPr>
      </w:pPr>
      <w:r>
        <w:rPr>
          <w:rFonts w:hint="eastAsia" w:eastAsia="仿宋_GB2312"/>
          <w:color w:val="000000" w:themeColor="text1"/>
          <w:highlight w:val="none"/>
          <w:lang w:eastAsia="zh-CN"/>
          <w14:textFill>
            <w14:solidFill>
              <w14:schemeClr w14:val="tx1"/>
            </w14:solidFill>
          </w14:textFill>
        </w:rPr>
        <w:t>“通则”实施后新编制详细规划（村庄规划)的区域，应做好与“通则”实施情况的衔接工作。“通则”中涉及的重要管控线、用途分区、村庄建设用地总规模、村庄建设用地边界等数据以经批准后的乡镇级国土空间总体规划为准。“通则”应符合法律法规、相关政策、技术标准和上位规划的要求，国家、省、市另有规定的，从其规定。</w:t>
      </w:r>
    </w:p>
    <w:p>
      <w:pPr>
        <w:pStyle w:val="13"/>
        <w:spacing w:before="0" w:beforeLines="0" w:line="360" w:lineRule="auto"/>
        <w:ind w:left="0" w:leftChars="0" w:right="110" w:firstLine="681" w:firstLineChars="213"/>
        <w:rPr>
          <w:rFonts w:hint="eastAsia" w:eastAsia="仿宋_GB2312"/>
          <w:color w:val="000000" w:themeColor="text1"/>
          <w:highlight w:val="none"/>
          <w:lang w:eastAsia="zh-CN"/>
          <w14:textFill>
            <w14:solidFill>
              <w14:schemeClr w14:val="tx1"/>
            </w14:solidFill>
          </w14:textFill>
        </w:rPr>
      </w:pPr>
    </w:p>
    <w:sectPr>
      <w:footerReference r:id="rId9" w:type="default"/>
      <w:pgSz w:w="11910" w:h="16850"/>
      <w:pgMar w:top="1360" w:right="1380" w:bottom="1640" w:left="1560" w:header="645" w:footer="1443" w:gutter="0"/>
      <w:cols w:space="720" w:num="1"/>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lenovo-KG" w:date="2025-11-12T10:24:21Z" w:initials="l">
    <w:p w14:paraId="2C2530AA">
      <w:pPr>
        <w:pStyle w:val="12"/>
        <w:rPr>
          <w:rFonts w:hint="eastAsia" w:eastAsiaTheme="minorEastAsia"/>
          <w:lang w:val="en-US" w:eastAsia="zh-CN"/>
        </w:rPr>
      </w:pPr>
      <w:r>
        <w:rPr>
          <w:rFonts w:hint="eastAsia"/>
          <w:lang w:val="en-US" w:eastAsia="zh-CN"/>
        </w:rPr>
        <w:t>适用范围</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2C2530AA"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7EA1A223-97BE-4383-B7AA-F6B7B768C884}"/>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464FC1C7-7A60-439D-8B59-56657F630479}"/>
  </w:font>
  <w:font w:name="仿宋">
    <w:panose1 w:val="02010609060101010101"/>
    <w:charset w:val="86"/>
    <w:family w:val="modern"/>
    <w:pitch w:val="default"/>
    <w:sig w:usb0="800002BF" w:usb1="38CF7CFA" w:usb2="00000016" w:usb3="00000000" w:csb0="00040001" w:csb1="00000000"/>
    <w:embedRegular r:id="rId3" w:fontKey="{C1887FB2-B560-4DDB-93DD-A6D8E8BEA659}"/>
  </w:font>
  <w:font w:name="华光小标宋_CNKI">
    <w:altName w:val="微软雅黑"/>
    <w:panose1 w:val="00000000000000000000"/>
    <w:charset w:val="86"/>
    <w:family w:val="auto"/>
    <w:pitch w:val="default"/>
    <w:sig w:usb0="00000000" w:usb1="00000000" w:usb2="00000016" w:usb3="00000000" w:csb0="0004000F" w:csb1="00000000"/>
    <w:embedRegular r:id="rId4" w:fontKey="{08557757-FDA9-4109-BE45-306B80562148}"/>
  </w:font>
  <w:font w:name="微软雅黑">
    <w:panose1 w:val="020B0503020204020204"/>
    <w:charset w:val="86"/>
    <w:family w:val="auto"/>
    <w:pitch w:val="default"/>
    <w:sig w:usb0="80000287" w:usb1="2ACF3C50" w:usb2="00000016" w:usb3="00000000" w:csb0="0004001F" w:csb1="00000000"/>
    <w:embedRegular r:id="rId5" w:fontKey="{7288EC45-1AE1-4B64-8A65-90AAAD20D271}"/>
  </w:font>
  <w:font w:name="Cambria">
    <w:panose1 w:val="02040503050406030204"/>
    <w:charset w:val="00"/>
    <w:family w:val="roman"/>
    <w:pitch w:val="default"/>
    <w:sig w:usb0="E00006FF" w:usb1="420024FF" w:usb2="02000000" w:usb3="00000000" w:csb0="2000019F" w:csb1="00000000"/>
  </w:font>
  <w:font w:name="华光大标宋_CNKI">
    <w:altName w:val="宋体"/>
    <w:panose1 w:val="02000500000000000000"/>
    <w:charset w:val="86"/>
    <w:family w:val="auto"/>
    <w:pitch w:val="default"/>
    <w:sig w:usb0="00000000" w:usb1="00000000" w:usb2="00000016" w:usb3="00000000" w:csb0="0004000F" w:csb1="00000000"/>
  </w:font>
  <w:font w:name="方正小标宋_GBK">
    <w:panose1 w:val="02000000000000000000"/>
    <w:charset w:val="86"/>
    <w:family w:val="auto"/>
    <w:pitch w:val="default"/>
    <w:sig w:usb0="A00002BF" w:usb1="38CF7CFA" w:usb2="00080016" w:usb3="00000000" w:csb0="00040001" w:csb1="00000000"/>
    <w:embedRegular r:id="rId6" w:fontKey="{DA2D4544-CCB5-40CC-ADFE-7D66A1F3B598}"/>
  </w:font>
  <w:font w:name="仿宋_GB2312">
    <w:panose1 w:val="02010609030101010101"/>
    <w:charset w:val="86"/>
    <w:family w:val="modern"/>
    <w:pitch w:val="default"/>
    <w:sig w:usb0="00000001" w:usb1="080E0000" w:usb2="00000000" w:usb3="00000000" w:csb0="00040000" w:csb1="00000000"/>
    <w:embedRegular r:id="rId7" w:fontKey="{4AF34100-CB04-4109-801C-E9BAD687E000}"/>
  </w:font>
  <w:font w:name="方正仿宋_GB2312">
    <w:altName w:val="仿宋"/>
    <w:panose1 w:val="02000000000000000000"/>
    <w:charset w:val="86"/>
    <w:family w:val="auto"/>
    <w:pitch w:val="default"/>
    <w:sig w:usb0="00000000" w:usb1="00000000" w:usb2="00000012" w:usb3="00000000" w:csb0="00040001" w:csb1="00000000"/>
  </w:font>
  <w:font w:name="华文细黑">
    <w:altName w:val="微软雅黑"/>
    <w:panose1 w:val="02010600040101010101"/>
    <w:charset w:val="86"/>
    <w:family w:val="auto"/>
    <w:pitch w:val="default"/>
    <w:sig w:usb0="00000000" w:usb1="00000000" w:usb2="00000000" w:usb3="00000000" w:csb0="0004009F" w:csb1="DFD70000"/>
  </w:font>
  <w:font w:name="等线">
    <w:panose1 w:val="02010600030101010101"/>
    <w:charset w:val="86"/>
    <w:family w:val="auto"/>
    <w:pitch w:val="default"/>
    <w:sig w:usb0="A00002BF" w:usb1="38CF7CFA" w:usb2="00000016" w:usb3="00000000" w:csb0="0004000F" w:csb1="00000000"/>
  </w:font>
  <w:font w:name="FangSong_GB2312">
    <w:altName w:val="仿宋_GB2312"/>
    <w:panose1 w:val="02010609030101010101"/>
    <w:charset w:val="86"/>
    <w:family w:val="auto"/>
    <w:pitch w:val="default"/>
    <w:sig w:usb0="00000000" w:usb1="00000000" w:usb2="00000000" w:usb3="00000000" w:csb0="00040000" w:csb1="00000000"/>
    <w:embedRegular r:id="rId8" w:fontKey="{161AADEE-FA2F-460E-BF8E-0682FACBF669}"/>
  </w:font>
  <w:font w:name="PMingLiU">
    <w:altName w:val="Microsoft JhengHei UI"/>
    <w:panose1 w:val="02010601000101010101"/>
    <w:charset w:val="88"/>
    <w:family w:val="roman"/>
    <w:pitch w:val="default"/>
    <w:sig w:usb0="00000000" w:usb1="00000000" w:usb2="00000016" w:usb3="00000000" w:csb0="00100001" w:csb1="00000000"/>
    <w:embedRegular r:id="rId9" w:fontKey="{617594EB-2ACA-463D-8CC6-C9C7CDD4A3A7}"/>
  </w:font>
  <w:font w:name="Microsoft JhengHei UI">
    <w:panose1 w:val="020B0604030504040204"/>
    <w:charset w:val="88"/>
    <w:family w:val="auto"/>
    <w:pitch w:val="default"/>
    <w:sig w:usb0="000002A7" w:usb1="28CF44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23612232"/>
      <w:docPartObj>
        <w:docPartGallery w:val="autotext"/>
      </w:docPartObj>
    </w:sdtPr>
    <w:sdtContent>
      <w:p>
        <w:pPr>
          <w:pStyle w:val="17"/>
          <w:jc w:val="right"/>
          <w:rPr>
            <w:rFonts w:hint="eastAsia"/>
          </w:rPr>
        </w:pPr>
      </w:p>
    </w:sdtContent>
  </w:sdt>
  <w:p>
    <w:pPr>
      <w:pStyle w:val="13"/>
      <w:spacing w:before="120" w:line="14" w:lineRule="auto"/>
      <w:ind w:left="110" w:right="110" w:firstLine="400"/>
      <w:rPr>
        <w:rFonts w:hint="eastAsia"/>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877281749"/>
      <w:docPartObj>
        <w:docPartGallery w:val="autotext"/>
      </w:docPartObj>
    </w:sdtPr>
    <w:sdtContent>
      <w:p>
        <w:pPr>
          <w:pStyle w:val="17"/>
          <w:jc w:val="right"/>
          <w:rPr>
            <w:rFonts w:hint="eastAsia"/>
          </w:rPr>
        </w:pPr>
        <w:r>
          <w:fldChar w:fldCharType="begin"/>
        </w:r>
        <w:r>
          <w:instrText xml:space="preserve">PAGE   \* MERGEFORMAT</w:instrText>
        </w:r>
        <w:r>
          <w:fldChar w:fldCharType="separate"/>
        </w:r>
        <w:r>
          <w:rPr>
            <w:lang w:val="zh-CN" w:eastAsia="zh-CN"/>
          </w:rPr>
          <w:t>18</w:t>
        </w:r>
        <w:r>
          <w:fldChar w:fldCharType="end"/>
        </w:r>
      </w:p>
    </w:sdtContent>
  </w:sdt>
  <w:p>
    <w:pPr>
      <w:pStyle w:val="13"/>
      <w:spacing w:before="120" w:line="14" w:lineRule="auto"/>
      <w:ind w:left="110" w:right="110" w:firstLine="400"/>
      <w:rPr>
        <w:rFonts w:hint="eastAsia"/>
        <w:sz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813830295"/>
      <w:docPartObj>
        <w:docPartGallery w:val="autotext"/>
      </w:docPartObj>
    </w:sdtPr>
    <w:sdtContent>
      <w:p>
        <w:pPr>
          <w:pStyle w:val="17"/>
          <w:jc w:val="right"/>
          <w:rPr>
            <w:rFonts w:hint="eastAsia"/>
          </w:rPr>
        </w:pPr>
        <w:r>
          <w:fldChar w:fldCharType="begin"/>
        </w:r>
        <w:r>
          <w:instrText xml:space="preserve">PAGE   \* MERGEFORMAT</w:instrText>
        </w:r>
        <w:r>
          <w:fldChar w:fldCharType="separate"/>
        </w:r>
        <w:r>
          <w:rPr>
            <w:lang w:val="zh-CN" w:eastAsia="zh-CN"/>
          </w:rPr>
          <w:t>72</w:t>
        </w:r>
        <w:r>
          <w:fldChar w:fldCharType="end"/>
        </w:r>
      </w:p>
    </w:sdtContent>
  </w:sdt>
  <w:p>
    <w:pPr>
      <w:pStyle w:val="13"/>
      <w:spacing w:before="120" w:line="14" w:lineRule="auto"/>
      <w:ind w:left="110" w:right="110" w:firstLine="400"/>
      <w:rPr>
        <w:rFonts w:hint="eastAsia"/>
        <w:sz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spacing w:before="120" w:line="14" w:lineRule="auto"/>
      <w:ind w:left="110" w:right="110" w:firstLine="640"/>
      <w:rPr>
        <w:rFonts w:hint="eastAsia" w:eastAsia="仿宋_GB2312"/>
        <w:sz w:val="20"/>
      </w:rPr>
    </w:pPr>
    <w:r>
      <w:rPr>
        <w:lang w:val="en-US" w:eastAsia="zh-CN" w:bidi="ar-SA"/>
      </w:rPr>
      <mc:AlternateContent>
        <mc:Choice Requires="wps">
          <w:drawing>
            <wp:anchor distT="0" distB="0" distL="114300" distR="114300" simplePos="0" relativeHeight="251660288" behindDoc="1" locked="0" layoutInCell="1" allowOverlap="1">
              <wp:simplePos x="0" y="0"/>
              <wp:positionH relativeFrom="page">
                <wp:posOffset>3782695</wp:posOffset>
              </wp:positionH>
              <wp:positionV relativeFrom="page">
                <wp:posOffset>9638030</wp:posOffset>
              </wp:positionV>
              <wp:extent cx="213360" cy="139700"/>
              <wp:effectExtent l="1270" t="0" r="4445" b="4445"/>
              <wp:wrapNone/>
              <wp:docPr id="7" name="Text Box 1"/>
              <wp:cNvGraphicFramePr/>
              <a:graphic xmlns:a="http://schemas.openxmlformats.org/drawingml/2006/main">
                <a:graphicData uri="http://schemas.microsoft.com/office/word/2010/wordprocessingShape">
                  <wps:wsp>
                    <wps:cNvSpPr txBox="1">
                      <a:spLocks noChangeArrowheads="1"/>
                    </wps:cNvSpPr>
                    <wps:spPr bwMode="auto">
                      <a:xfrm>
                        <a:off x="0" y="0"/>
                        <a:ext cx="213360" cy="139700"/>
                      </a:xfrm>
                      <a:prstGeom prst="rect">
                        <a:avLst/>
                      </a:prstGeom>
                      <a:noFill/>
                      <a:ln>
                        <a:noFill/>
                      </a:ln>
                    </wps:spPr>
                    <wps:txbx>
                      <w:txbxContent>
                        <w:p>
                          <w:pPr>
                            <w:spacing w:line="220" w:lineRule="exact"/>
                            <w:ind w:left="40"/>
                            <w:rPr>
                              <w:rFonts w:hint="eastAsia" w:eastAsia="仿宋_GB2312"/>
                              <w:sz w:val="18"/>
                            </w:rPr>
                          </w:pPr>
                          <w:r>
                            <w:rPr>
                              <w:rFonts w:eastAsia="仿宋_GB2312"/>
                            </w:rPr>
                            <w:fldChar w:fldCharType="begin"/>
                          </w:r>
                          <w:r>
                            <w:rPr>
                              <w:rFonts w:eastAsia="仿宋_GB2312"/>
                              <w:sz w:val="18"/>
                            </w:rPr>
                            <w:instrText xml:space="preserve"> PAGE </w:instrText>
                          </w:r>
                          <w:r>
                            <w:rPr>
                              <w:rFonts w:eastAsia="仿宋_GB2312"/>
                            </w:rPr>
                            <w:fldChar w:fldCharType="separate"/>
                          </w:r>
                          <w:r>
                            <w:rPr>
                              <w:rFonts w:eastAsia="仿宋_GB2312"/>
                              <w:sz w:val="18"/>
                            </w:rPr>
                            <w:t>81</w:t>
                          </w:r>
                          <w:r>
                            <w:rPr>
                              <w:rFonts w:eastAsia="仿宋_GB2312"/>
                            </w:rPr>
                            <w:fldChar w:fldCharType="end"/>
                          </w:r>
                        </w:p>
                      </w:txbxContent>
                    </wps:txbx>
                    <wps:bodyPr rot="0" vert="horz" wrap="square" lIns="0" tIns="0" rIns="0" bIns="0" anchor="t" anchorCtr="0" upright="1">
                      <a:noAutofit/>
                    </wps:bodyPr>
                  </wps:wsp>
                </a:graphicData>
              </a:graphic>
            </wp:anchor>
          </w:drawing>
        </mc:Choice>
        <mc:Fallback>
          <w:pict>
            <v:shape id="Text Box 1" o:spid="_x0000_s1026" o:spt="202" type="#_x0000_t202" style="position:absolute;left:0pt;margin-left:297.85pt;margin-top:758.9pt;height:11pt;width:16.8pt;mso-position-horizontal-relative:page;mso-position-vertical-relative:page;z-index:-251656192;mso-width-relative:page;mso-height-relative:page;" filled="f" stroked="f" coordsize="21600,21600" o:gfxdata="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LVHp7rbAAAADQEAAA8AAAAAAAAAAQAgAAAAIgAAAGRycy9kb3du&#10;cmV2LnhtbFBLAQIUABQAAAAIAIdO4kBybNet/AEAAAMEAAAOAAAAAAAAAAEAIAAAACoBAABkcnMv&#10;ZTJvRG9jLnhtbFBLBQYAAAAABgAGAFkBAACYBQAAAAA=&#10;">
              <v:fill on="f" focussize="0,0"/>
              <v:stroke on="f"/>
              <v:imagedata o:title=""/>
              <o:lock v:ext="edit" aspectratio="f"/>
              <v:textbox inset="0mm,0mm,0mm,0mm">
                <w:txbxContent>
                  <w:p>
                    <w:pPr>
                      <w:spacing w:line="220" w:lineRule="exact"/>
                      <w:ind w:left="40"/>
                      <w:rPr>
                        <w:rFonts w:hint="eastAsia" w:eastAsia="仿宋_GB2312"/>
                        <w:sz w:val="18"/>
                      </w:rPr>
                    </w:pPr>
                    <w:r>
                      <w:rPr>
                        <w:rFonts w:eastAsia="仿宋_GB2312"/>
                      </w:rPr>
                      <w:fldChar w:fldCharType="begin"/>
                    </w:r>
                    <w:r>
                      <w:rPr>
                        <w:rFonts w:eastAsia="仿宋_GB2312"/>
                        <w:sz w:val="18"/>
                      </w:rPr>
                      <w:instrText xml:space="preserve"> PAGE </w:instrText>
                    </w:r>
                    <w:r>
                      <w:rPr>
                        <w:rFonts w:eastAsia="仿宋_GB2312"/>
                      </w:rPr>
                      <w:fldChar w:fldCharType="separate"/>
                    </w:r>
                    <w:r>
                      <w:rPr>
                        <w:rFonts w:eastAsia="仿宋_GB2312"/>
                        <w:sz w:val="18"/>
                      </w:rPr>
                      <w:t>81</w:t>
                    </w:r>
                    <w:r>
                      <w:rPr>
                        <w:rFonts w:eastAsia="仿宋_GB2312"/>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eastAsia="PMingLiU"/>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BAE1258"/>
    <w:multiLevelType w:val="multilevel"/>
    <w:tmpl w:val="1BAE1258"/>
    <w:lvl w:ilvl="0" w:tentative="0">
      <w:start w:val="1"/>
      <w:numFmt w:val="chineseCountingThousand"/>
      <w:lvlText w:val="第%1节"/>
      <w:lvlJc w:val="left"/>
      <w:pPr>
        <w:ind w:left="3256" w:hanging="420"/>
      </w:pPr>
      <w:rPr>
        <w:rFonts w:hint="eastAsia" w:ascii="黑体" w:eastAsia="黑体" w:hAnsiTheme="minorEastAsia"/>
      </w:rPr>
    </w:lvl>
    <w:lvl w:ilvl="1" w:tentative="0">
      <w:start w:val="1"/>
      <w:numFmt w:val="lowerLetter"/>
      <w:lvlText w:val="%2)"/>
      <w:lvlJc w:val="left"/>
      <w:pPr>
        <w:ind w:left="3818" w:hanging="420"/>
      </w:pPr>
    </w:lvl>
    <w:lvl w:ilvl="2" w:tentative="0">
      <w:start w:val="1"/>
      <w:numFmt w:val="lowerRoman"/>
      <w:lvlText w:val="%3."/>
      <w:lvlJc w:val="right"/>
      <w:pPr>
        <w:ind w:left="4238" w:hanging="420"/>
      </w:pPr>
    </w:lvl>
    <w:lvl w:ilvl="3" w:tentative="0">
      <w:start w:val="1"/>
      <w:numFmt w:val="decimal"/>
      <w:lvlText w:val="%4."/>
      <w:lvlJc w:val="left"/>
      <w:pPr>
        <w:ind w:left="4658" w:hanging="420"/>
      </w:pPr>
    </w:lvl>
    <w:lvl w:ilvl="4" w:tentative="0">
      <w:start w:val="1"/>
      <w:numFmt w:val="lowerLetter"/>
      <w:lvlText w:val="%5)"/>
      <w:lvlJc w:val="left"/>
      <w:pPr>
        <w:ind w:left="5078" w:hanging="420"/>
      </w:pPr>
    </w:lvl>
    <w:lvl w:ilvl="5" w:tentative="0">
      <w:start w:val="1"/>
      <w:numFmt w:val="lowerRoman"/>
      <w:lvlText w:val="%6."/>
      <w:lvlJc w:val="right"/>
      <w:pPr>
        <w:ind w:left="5498" w:hanging="420"/>
      </w:pPr>
    </w:lvl>
    <w:lvl w:ilvl="6" w:tentative="0">
      <w:start w:val="1"/>
      <w:numFmt w:val="decimal"/>
      <w:lvlText w:val="%7."/>
      <w:lvlJc w:val="left"/>
      <w:pPr>
        <w:ind w:left="5918" w:hanging="420"/>
      </w:pPr>
    </w:lvl>
    <w:lvl w:ilvl="7" w:tentative="0">
      <w:start w:val="1"/>
      <w:numFmt w:val="lowerLetter"/>
      <w:lvlText w:val="%8)"/>
      <w:lvlJc w:val="left"/>
      <w:pPr>
        <w:ind w:left="6338" w:hanging="420"/>
      </w:pPr>
    </w:lvl>
    <w:lvl w:ilvl="8" w:tentative="0">
      <w:start w:val="1"/>
      <w:numFmt w:val="lowerRoman"/>
      <w:lvlText w:val="%9."/>
      <w:lvlJc w:val="right"/>
      <w:pPr>
        <w:ind w:left="6758" w:hanging="420"/>
      </w:pPr>
    </w:lvl>
  </w:abstractNum>
  <w:abstractNum w:abstractNumId="1">
    <w:nsid w:val="3A626F2B"/>
    <w:multiLevelType w:val="multilevel"/>
    <w:tmpl w:val="3A626F2B"/>
    <w:lvl w:ilvl="0" w:tentative="0">
      <w:start w:val="1"/>
      <w:numFmt w:val="chineseCountingThousand"/>
      <w:lvlText w:val="第%1节"/>
      <w:lvlJc w:val="left"/>
      <w:pPr>
        <w:ind w:left="3256" w:hanging="420"/>
      </w:pPr>
      <w:rPr>
        <w:rFonts w:hint="eastAsia" w:ascii="黑体" w:eastAsia="黑体" w:hAnsiTheme="minorEastAsia"/>
      </w:rPr>
    </w:lvl>
    <w:lvl w:ilvl="1" w:tentative="0">
      <w:start w:val="1"/>
      <w:numFmt w:val="lowerLetter"/>
      <w:lvlText w:val="%2)"/>
      <w:lvlJc w:val="left"/>
      <w:pPr>
        <w:ind w:left="3818" w:hanging="420"/>
      </w:pPr>
    </w:lvl>
    <w:lvl w:ilvl="2" w:tentative="0">
      <w:start w:val="1"/>
      <w:numFmt w:val="lowerRoman"/>
      <w:lvlText w:val="%3."/>
      <w:lvlJc w:val="right"/>
      <w:pPr>
        <w:ind w:left="4238" w:hanging="420"/>
      </w:pPr>
    </w:lvl>
    <w:lvl w:ilvl="3" w:tentative="0">
      <w:start w:val="1"/>
      <w:numFmt w:val="decimal"/>
      <w:lvlText w:val="%4."/>
      <w:lvlJc w:val="left"/>
      <w:pPr>
        <w:ind w:left="4658" w:hanging="420"/>
      </w:pPr>
    </w:lvl>
    <w:lvl w:ilvl="4" w:tentative="0">
      <w:start w:val="1"/>
      <w:numFmt w:val="lowerLetter"/>
      <w:lvlText w:val="%5)"/>
      <w:lvlJc w:val="left"/>
      <w:pPr>
        <w:ind w:left="5078" w:hanging="420"/>
      </w:pPr>
    </w:lvl>
    <w:lvl w:ilvl="5" w:tentative="0">
      <w:start w:val="1"/>
      <w:numFmt w:val="lowerRoman"/>
      <w:lvlText w:val="%6."/>
      <w:lvlJc w:val="right"/>
      <w:pPr>
        <w:ind w:left="5498" w:hanging="420"/>
      </w:pPr>
    </w:lvl>
    <w:lvl w:ilvl="6" w:tentative="0">
      <w:start w:val="1"/>
      <w:numFmt w:val="decimal"/>
      <w:lvlText w:val="%7."/>
      <w:lvlJc w:val="left"/>
      <w:pPr>
        <w:ind w:left="5918" w:hanging="420"/>
      </w:pPr>
    </w:lvl>
    <w:lvl w:ilvl="7" w:tentative="0">
      <w:start w:val="1"/>
      <w:numFmt w:val="lowerLetter"/>
      <w:lvlText w:val="%8)"/>
      <w:lvlJc w:val="left"/>
      <w:pPr>
        <w:ind w:left="6338" w:hanging="420"/>
      </w:pPr>
    </w:lvl>
    <w:lvl w:ilvl="8" w:tentative="0">
      <w:start w:val="1"/>
      <w:numFmt w:val="lowerRoman"/>
      <w:lvlText w:val="%9."/>
      <w:lvlJc w:val="right"/>
      <w:pPr>
        <w:ind w:left="6758" w:hanging="420"/>
      </w:pPr>
    </w:lvl>
  </w:abstractNum>
  <w:abstractNum w:abstractNumId="2">
    <w:nsid w:val="41473DAF"/>
    <w:multiLevelType w:val="multilevel"/>
    <w:tmpl w:val="41473DAF"/>
    <w:lvl w:ilvl="0" w:tentative="0">
      <w:start w:val="1"/>
      <w:numFmt w:val="chineseCountingThousand"/>
      <w:lvlText w:val="第%1节"/>
      <w:lvlJc w:val="left"/>
      <w:pPr>
        <w:ind w:left="3256" w:hanging="420"/>
      </w:pPr>
      <w:rPr>
        <w:rFonts w:hint="eastAsia" w:ascii="黑体" w:eastAsia="黑体" w:hAnsiTheme="minorEastAsia"/>
      </w:rPr>
    </w:lvl>
    <w:lvl w:ilvl="1" w:tentative="0">
      <w:start w:val="1"/>
      <w:numFmt w:val="lowerLetter"/>
      <w:lvlText w:val="%2)"/>
      <w:lvlJc w:val="left"/>
      <w:pPr>
        <w:ind w:left="3818" w:hanging="420"/>
      </w:pPr>
    </w:lvl>
    <w:lvl w:ilvl="2" w:tentative="0">
      <w:start w:val="1"/>
      <w:numFmt w:val="lowerRoman"/>
      <w:lvlText w:val="%3."/>
      <w:lvlJc w:val="right"/>
      <w:pPr>
        <w:ind w:left="4238" w:hanging="420"/>
      </w:pPr>
    </w:lvl>
    <w:lvl w:ilvl="3" w:tentative="0">
      <w:start w:val="1"/>
      <w:numFmt w:val="decimal"/>
      <w:lvlText w:val="%4."/>
      <w:lvlJc w:val="left"/>
      <w:pPr>
        <w:ind w:left="4658" w:hanging="420"/>
      </w:pPr>
    </w:lvl>
    <w:lvl w:ilvl="4" w:tentative="0">
      <w:start w:val="1"/>
      <w:numFmt w:val="lowerLetter"/>
      <w:lvlText w:val="%5)"/>
      <w:lvlJc w:val="left"/>
      <w:pPr>
        <w:ind w:left="5078" w:hanging="420"/>
      </w:pPr>
    </w:lvl>
    <w:lvl w:ilvl="5" w:tentative="0">
      <w:start w:val="1"/>
      <w:numFmt w:val="lowerRoman"/>
      <w:lvlText w:val="%6."/>
      <w:lvlJc w:val="right"/>
      <w:pPr>
        <w:ind w:left="5498" w:hanging="420"/>
      </w:pPr>
    </w:lvl>
    <w:lvl w:ilvl="6" w:tentative="0">
      <w:start w:val="1"/>
      <w:numFmt w:val="decimal"/>
      <w:lvlText w:val="%7."/>
      <w:lvlJc w:val="left"/>
      <w:pPr>
        <w:ind w:left="5918" w:hanging="420"/>
      </w:pPr>
    </w:lvl>
    <w:lvl w:ilvl="7" w:tentative="0">
      <w:start w:val="1"/>
      <w:numFmt w:val="lowerLetter"/>
      <w:lvlText w:val="%8)"/>
      <w:lvlJc w:val="left"/>
      <w:pPr>
        <w:ind w:left="6338" w:hanging="420"/>
      </w:pPr>
    </w:lvl>
    <w:lvl w:ilvl="8" w:tentative="0">
      <w:start w:val="1"/>
      <w:numFmt w:val="lowerRoman"/>
      <w:lvlText w:val="%9."/>
      <w:lvlJc w:val="right"/>
      <w:pPr>
        <w:ind w:left="6758" w:hanging="420"/>
      </w:pPr>
    </w:lvl>
  </w:abstractNum>
  <w:abstractNum w:abstractNumId="3">
    <w:nsid w:val="5BA764B1"/>
    <w:multiLevelType w:val="multilevel"/>
    <w:tmpl w:val="5BA764B1"/>
    <w:lvl w:ilvl="0" w:tentative="0">
      <w:start w:val="1"/>
      <w:numFmt w:val="decimal"/>
      <w:pStyle w:val="46"/>
      <w:lvlText w:val="第%1条 "/>
      <w:lvlJc w:val="left"/>
      <w:pPr>
        <w:ind w:left="2689" w:hanging="420"/>
      </w:pPr>
      <w:rPr>
        <w:rFonts w:hint="eastAsia" w:eastAsia="仿宋"/>
        <w:b/>
        <w:bCs/>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rPr>
    </w:lvl>
    <w:lvl w:ilvl="1" w:tentative="0">
      <w:start w:val="1"/>
      <w:numFmt w:val="lowerLetter"/>
      <w:lvlText w:val="%2)"/>
      <w:lvlJc w:val="left"/>
      <w:pPr>
        <w:ind w:left="1128" w:hanging="420"/>
      </w:pPr>
      <w:rPr>
        <w:rFonts w:hint="eastAsia"/>
      </w:rPr>
    </w:lvl>
    <w:lvl w:ilvl="2" w:tentative="0">
      <w:start w:val="1"/>
      <w:numFmt w:val="lowerRoman"/>
      <w:lvlText w:val="%3."/>
      <w:lvlJc w:val="right"/>
      <w:pPr>
        <w:ind w:left="1548" w:hanging="420"/>
      </w:pPr>
      <w:rPr>
        <w:rFonts w:hint="eastAsia"/>
      </w:rPr>
    </w:lvl>
    <w:lvl w:ilvl="3" w:tentative="0">
      <w:start w:val="1"/>
      <w:numFmt w:val="decimal"/>
      <w:lvlText w:val="%4."/>
      <w:lvlJc w:val="left"/>
      <w:pPr>
        <w:ind w:left="1968" w:hanging="420"/>
      </w:pPr>
      <w:rPr>
        <w:rFonts w:hint="eastAsia"/>
      </w:rPr>
    </w:lvl>
    <w:lvl w:ilvl="4" w:tentative="0">
      <w:start w:val="1"/>
      <w:numFmt w:val="lowerLetter"/>
      <w:lvlText w:val="%5)"/>
      <w:lvlJc w:val="left"/>
      <w:pPr>
        <w:ind w:left="2388" w:hanging="420"/>
      </w:pPr>
      <w:rPr>
        <w:rFonts w:hint="eastAsia"/>
      </w:rPr>
    </w:lvl>
    <w:lvl w:ilvl="5" w:tentative="0">
      <w:start w:val="1"/>
      <w:numFmt w:val="lowerRoman"/>
      <w:lvlText w:val="%6."/>
      <w:lvlJc w:val="right"/>
      <w:pPr>
        <w:ind w:left="2808" w:hanging="420"/>
      </w:pPr>
      <w:rPr>
        <w:rFonts w:hint="eastAsia"/>
      </w:rPr>
    </w:lvl>
    <w:lvl w:ilvl="6" w:tentative="0">
      <w:start w:val="1"/>
      <w:numFmt w:val="decimal"/>
      <w:lvlText w:val="%7."/>
      <w:lvlJc w:val="left"/>
      <w:pPr>
        <w:ind w:left="3228" w:hanging="420"/>
      </w:pPr>
      <w:rPr>
        <w:rFonts w:hint="eastAsia"/>
      </w:rPr>
    </w:lvl>
    <w:lvl w:ilvl="7" w:tentative="0">
      <w:start w:val="1"/>
      <w:numFmt w:val="lowerLetter"/>
      <w:lvlText w:val="%8)"/>
      <w:lvlJc w:val="left"/>
      <w:pPr>
        <w:ind w:left="3648" w:hanging="420"/>
      </w:pPr>
      <w:rPr>
        <w:rFonts w:hint="eastAsia"/>
      </w:rPr>
    </w:lvl>
    <w:lvl w:ilvl="8" w:tentative="0">
      <w:start w:val="1"/>
      <w:numFmt w:val="lowerRoman"/>
      <w:lvlText w:val="%9."/>
      <w:lvlJc w:val="right"/>
      <w:pPr>
        <w:ind w:left="4068" w:hanging="420"/>
      </w:pPr>
      <w:rPr>
        <w:rFonts w:hint="eastAsia"/>
      </w:rPr>
    </w:lvl>
  </w:abstractNum>
  <w:abstractNum w:abstractNumId="4">
    <w:nsid w:val="60A7328B"/>
    <w:multiLevelType w:val="multilevel"/>
    <w:tmpl w:val="60A7328B"/>
    <w:lvl w:ilvl="0" w:tentative="0">
      <w:start w:val="1"/>
      <w:numFmt w:val="decimal"/>
      <w:pStyle w:val="47"/>
      <w:lvlText w:val="第%1条"/>
      <w:lvlJc w:val="left"/>
      <w:pPr>
        <w:ind w:left="708" w:hanging="420"/>
      </w:pPr>
      <w:rPr>
        <w:rFonts w:hint="eastAsia"/>
      </w:rPr>
    </w:lvl>
    <w:lvl w:ilvl="1" w:tentative="0">
      <w:start w:val="1"/>
      <w:numFmt w:val="lowerLetter"/>
      <w:lvlText w:val="%2)"/>
      <w:lvlJc w:val="left"/>
      <w:pPr>
        <w:ind w:left="1128" w:hanging="420"/>
      </w:pPr>
    </w:lvl>
    <w:lvl w:ilvl="2" w:tentative="0">
      <w:start w:val="1"/>
      <w:numFmt w:val="lowerRoman"/>
      <w:lvlText w:val="%3."/>
      <w:lvlJc w:val="right"/>
      <w:pPr>
        <w:ind w:left="1548" w:hanging="420"/>
      </w:pPr>
    </w:lvl>
    <w:lvl w:ilvl="3" w:tentative="0">
      <w:start w:val="1"/>
      <w:numFmt w:val="decimal"/>
      <w:lvlText w:val="%4."/>
      <w:lvlJc w:val="left"/>
      <w:pPr>
        <w:ind w:left="1968" w:hanging="420"/>
      </w:pPr>
    </w:lvl>
    <w:lvl w:ilvl="4" w:tentative="0">
      <w:start w:val="1"/>
      <w:numFmt w:val="lowerLetter"/>
      <w:lvlText w:val="%5)"/>
      <w:lvlJc w:val="left"/>
      <w:pPr>
        <w:ind w:left="2388" w:hanging="420"/>
      </w:pPr>
    </w:lvl>
    <w:lvl w:ilvl="5" w:tentative="0">
      <w:start w:val="1"/>
      <w:numFmt w:val="lowerRoman"/>
      <w:lvlText w:val="%6."/>
      <w:lvlJc w:val="right"/>
      <w:pPr>
        <w:ind w:left="2808" w:hanging="420"/>
      </w:pPr>
    </w:lvl>
    <w:lvl w:ilvl="6" w:tentative="0">
      <w:start w:val="1"/>
      <w:numFmt w:val="decimal"/>
      <w:lvlText w:val="%7."/>
      <w:lvlJc w:val="left"/>
      <w:pPr>
        <w:ind w:left="3228" w:hanging="420"/>
      </w:pPr>
    </w:lvl>
    <w:lvl w:ilvl="7" w:tentative="0">
      <w:start w:val="1"/>
      <w:numFmt w:val="lowerLetter"/>
      <w:lvlText w:val="%8)"/>
      <w:lvlJc w:val="left"/>
      <w:pPr>
        <w:ind w:left="3648" w:hanging="420"/>
      </w:pPr>
    </w:lvl>
    <w:lvl w:ilvl="8" w:tentative="0">
      <w:start w:val="1"/>
      <w:numFmt w:val="lowerRoman"/>
      <w:lvlText w:val="%9."/>
      <w:lvlJc w:val="right"/>
      <w:pPr>
        <w:ind w:left="4068" w:hanging="420"/>
      </w:pPr>
    </w:lvl>
  </w:abstractNum>
  <w:abstractNum w:abstractNumId="5">
    <w:nsid w:val="711D24F1"/>
    <w:multiLevelType w:val="multilevel"/>
    <w:tmpl w:val="711D24F1"/>
    <w:lvl w:ilvl="0" w:tentative="0">
      <w:start w:val="1"/>
      <w:numFmt w:val="chineseCountingThousand"/>
      <w:pStyle w:val="2"/>
      <w:lvlText w:val="第%1章"/>
      <w:lvlJc w:val="left"/>
      <w:pPr>
        <w:ind w:left="420" w:hanging="420"/>
      </w:pPr>
      <w:rPr>
        <w:rFonts w:hint="eastAsia" w:ascii="华光小标宋_CNKI" w:hAnsi="黑体" w:eastAsia="华光小标宋_CNKI"/>
      </w:rPr>
    </w:lvl>
    <w:lvl w:ilvl="1" w:tentative="0">
      <w:start w:val="1"/>
      <w:numFmt w:val="decimalZero"/>
      <w:isLgl/>
      <w:lvlText w:val="节 %1.%2"/>
      <w:lvlJc w:val="left"/>
      <w:pPr>
        <w:ind w:left="2978" w:firstLine="0"/>
      </w:pPr>
    </w:lvl>
    <w:lvl w:ilvl="2" w:tentative="0">
      <w:start w:val="1"/>
      <w:numFmt w:val="lowerLetter"/>
      <w:pStyle w:val="4"/>
      <w:lvlText w:val="(%3)"/>
      <w:lvlJc w:val="left"/>
      <w:pPr>
        <w:ind w:left="720" w:hanging="432"/>
      </w:pPr>
    </w:lvl>
    <w:lvl w:ilvl="3" w:tentative="0">
      <w:start w:val="1"/>
      <w:numFmt w:val="lowerRoman"/>
      <w:pStyle w:val="5"/>
      <w:lvlText w:val="(%4)"/>
      <w:lvlJc w:val="right"/>
      <w:pPr>
        <w:ind w:left="864" w:hanging="144"/>
      </w:pPr>
    </w:lvl>
    <w:lvl w:ilvl="4" w:tentative="0">
      <w:start w:val="1"/>
      <w:numFmt w:val="decimal"/>
      <w:pStyle w:val="6"/>
      <w:lvlText w:val="%5)"/>
      <w:lvlJc w:val="left"/>
      <w:pPr>
        <w:ind w:left="1008" w:hanging="432"/>
      </w:pPr>
    </w:lvl>
    <w:lvl w:ilvl="5" w:tentative="0">
      <w:start w:val="1"/>
      <w:numFmt w:val="lowerLetter"/>
      <w:pStyle w:val="7"/>
      <w:lvlText w:val="%6)"/>
      <w:lvlJc w:val="left"/>
      <w:pPr>
        <w:ind w:left="1152" w:hanging="432"/>
      </w:pPr>
    </w:lvl>
    <w:lvl w:ilvl="6" w:tentative="0">
      <w:start w:val="1"/>
      <w:numFmt w:val="lowerRoman"/>
      <w:pStyle w:val="8"/>
      <w:lvlText w:val="%7)"/>
      <w:lvlJc w:val="right"/>
      <w:pPr>
        <w:ind w:left="1296" w:hanging="288"/>
      </w:pPr>
    </w:lvl>
    <w:lvl w:ilvl="7" w:tentative="0">
      <w:start w:val="1"/>
      <w:numFmt w:val="lowerLetter"/>
      <w:pStyle w:val="9"/>
      <w:lvlText w:val="%8."/>
      <w:lvlJc w:val="left"/>
      <w:pPr>
        <w:ind w:left="1440" w:hanging="432"/>
      </w:pPr>
    </w:lvl>
    <w:lvl w:ilvl="8" w:tentative="0">
      <w:start w:val="1"/>
      <w:numFmt w:val="lowerRoman"/>
      <w:pStyle w:val="10"/>
      <w:lvlText w:val="%9."/>
      <w:lvlJc w:val="right"/>
      <w:pPr>
        <w:ind w:left="1584" w:hanging="144"/>
      </w:pPr>
    </w:lvl>
  </w:abstractNum>
  <w:num w:numId="1">
    <w:abstractNumId w:val="5"/>
  </w:num>
  <w:num w:numId="2">
    <w:abstractNumId w:val="3"/>
  </w:num>
  <w:num w:numId="3">
    <w:abstractNumId w:val="4"/>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lenovo-KG">
    <w15:presenceInfo w15:providerId="None" w15:userId="lenovo-K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documentProtection w:enforcement="0"/>
  <w:defaultTabStop w:val="720"/>
  <w:drawingGridHorizontalSpacing w:val="110"/>
  <w:displayHorizontalDrawingGridEvery w:val="1"/>
  <w:displayVerticalDrawingGridEvery w:val="1"/>
  <w:noPunctuationKerning w:val="1"/>
  <w:characterSpacingControl w:val="doNotCompress"/>
  <w:compat>
    <w:ulTrailSpace/>
    <w:doNotExpandShiftReturn/>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U2ODgwNDQyMjlkMmQ2YzMyYmYzMmJmY2Y4MTExZWEifQ=="/>
    <w:docVar w:name="KSO_WPS_MARK_KEY" w:val="d2cdc5ca-d644-461d-835c-ea07f0053ee6"/>
  </w:docVars>
  <w:rsids>
    <w:rsidRoot w:val="005C42B4"/>
    <w:rsid w:val="000015E9"/>
    <w:rsid w:val="000033E9"/>
    <w:rsid w:val="00004891"/>
    <w:rsid w:val="000050E0"/>
    <w:rsid w:val="0001147E"/>
    <w:rsid w:val="0001351E"/>
    <w:rsid w:val="0001407B"/>
    <w:rsid w:val="00016971"/>
    <w:rsid w:val="000171FF"/>
    <w:rsid w:val="00017CC3"/>
    <w:rsid w:val="00020667"/>
    <w:rsid w:val="00020F2E"/>
    <w:rsid w:val="000210E6"/>
    <w:rsid w:val="0002477F"/>
    <w:rsid w:val="00026715"/>
    <w:rsid w:val="00032A43"/>
    <w:rsid w:val="00042EB2"/>
    <w:rsid w:val="00043497"/>
    <w:rsid w:val="0004596D"/>
    <w:rsid w:val="00047477"/>
    <w:rsid w:val="00050B97"/>
    <w:rsid w:val="000525A3"/>
    <w:rsid w:val="000535E6"/>
    <w:rsid w:val="000539EC"/>
    <w:rsid w:val="000558D7"/>
    <w:rsid w:val="00056713"/>
    <w:rsid w:val="00060B50"/>
    <w:rsid w:val="00064868"/>
    <w:rsid w:val="00065B90"/>
    <w:rsid w:val="00067A4E"/>
    <w:rsid w:val="000721DC"/>
    <w:rsid w:val="00072AE7"/>
    <w:rsid w:val="00072EE9"/>
    <w:rsid w:val="000732B4"/>
    <w:rsid w:val="00075AF3"/>
    <w:rsid w:val="00076A4D"/>
    <w:rsid w:val="00076C4B"/>
    <w:rsid w:val="00081BAF"/>
    <w:rsid w:val="000820D4"/>
    <w:rsid w:val="000831F9"/>
    <w:rsid w:val="00083C04"/>
    <w:rsid w:val="0009028F"/>
    <w:rsid w:val="00091AC7"/>
    <w:rsid w:val="00091BB1"/>
    <w:rsid w:val="00092924"/>
    <w:rsid w:val="00093F4B"/>
    <w:rsid w:val="00094A4F"/>
    <w:rsid w:val="000A4237"/>
    <w:rsid w:val="000A4B22"/>
    <w:rsid w:val="000A648A"/>
    <w:rsid w:val="000A7F0B"/>
    <w:rsid w:val="000B4657"/>
    <w:rsid w:val="000B508E"/>
    <w:rsid w:val="000B655D"/>
    <w:rsid w:val="000B76AF"/>
    <w:rsid w:val="000C1D3E"/>
    <w:rsid w:val="000C2300"/>
    <w:rsid w:val="000C2EB3"/>
    <w:rsid w:val="000C3BBB"/>
    <w:rsid w:val="000D33CF"/>
    <w:rsid w:val="000D3DD6"/>
    <w:rsid w:val="000D4B71"/>
    <w:rsid w:val="000E21DC"/>
    <w:rsid w:val="000E3FEF"/>
    <w:rsid w:val="000F1C30"/>
    <w:rsid w:val="000F1E83"/>
    <w:rsid w:val="000F30A7"/>
    <w:rsid w:val="000F33C4"/>
    <w:rsid w:val="000F3C16"/>
    <w:rsid w:val="000F47D6"/>
    <w:rsid w:val="000F6B9F"/>
    <w:rsid w:val="000F771A"/>
    <w:rsid w:val="00100485"/>
    <w:rsid w:val="00103A5E"/>
    <w:rsid w:val="00107125"/>
    <w:rsid w:val="0011086D"/>
    <w:rsid w:val="00115A56"/>
    <w:rsid w:val="00116AAB"/>
    <w:rsid w:val="00116AD2"/>
    <w:rsid w:val="00117047"/>
    <w:rsid w:val="00120C92"/>
    <w:rsid w:val="00126C25"/>
    <w:rsid w:val="001431F7"/>
    <w:rsid w:val="00143981"/>
    <w:rsid w:val="00145453"/>
    <w:rsid w:val="00145915"/>
    <w:rsid w:val="00151851"/>
    <w:rsid w:val="00165582"/>
    <w:rsid w:val="00170A5A"/>
    <w:rsid w:val="00174214"/>
    <w:rsid w:val="00174FD4"/>
    <w:rsid w:val="00175985"/>
    <w:rsid w:val="00181FA4"/>
    <w:rsid w:val="0018558D"/>
    <w:rsid w:val="00187121"/>
    <w:rsid w:val="00191F75"/>
    <w:rsid w:val="00192EE6"/>
    <w:rsid w:val="001966B7"/>
    <w:rsid w:val="001A0C16"/>
    <w:rsid w:val="001A1B8F"/>
    <w:rsid w:val="001A1F76"/>
    <w:rsid w:val="001A518A"/>
    <w:rsid w:val="001A5C28"/>
    <w:rsid w:val="001B1AC4"/>
    <w:rsid w:val="001B7BD9"/>
    <w:rsid w:val="001C05DA"/>
    <w:rsid w:val="001C2267"/>
    <w:rsid w:val="001C34E7"/>
    <w:rsid w:val="001C4A73"/>
    <w:rsid w:val="001C63F4"/>
    <w:rsid w:val="001C6973"/>
    <w:rsid w:val="001D129E"/>
    <w:rsid w:val="001D12FC"/>
    <w:rsid w:val="001D30DD"/>
    <w:rsid w:val="001D357B"/>
    <w:rsid w:val="001D4E9D"/>
    <w:rsid w:val="001D66E3"/>
    <w:rsid w:val="001E01D7"/>
    <w:rsid w:val="001E2532"/>
    <w:rsid w:val="001E5775"/>
    <w:rsid w:val="001E5F44"/>
    <w:rsid w:val="001F1C97"/>
    <w:rsid w:val="001F2211"/>
    <w:rsid w:val="001F385D"/>
    <w:rsid w:val="002014BA"/>
    <w:rsid w:val="002029B6"/>
    <w:rsid w:val="0020352E"/>
    <w:rsid w:val="002061BE"/>
    <w:rsid w:val="00206F1A"/>
    <w:rsid w:val="002124AB"/>
    <w:rsid w:val="00212B26"/>
    <w:rsid w:val="002134B5"/>
    <w:rsid w:val="00213AC0"/>
    <w:rsid w:val="00214502"/>
    <w:rsid w:val="00214F4F"/>
    <w:rsid w:val="0021551D"/>
    <w:rsid w:val="00215726"/>
    <w:rsid w:val="00216692"/>
    <w:rsid w:val="00221657"/>
    <w:rsid w:val="00222350"/>
    <w:rsid w:val="00224098"/>
    <w:rsid w:val="002243C5"/>
    <w:rsid w:val="00225C51"/>
    <w:rsid w:val="00225F1A"/>
    <w:rsid w:val="0022705C"/>
    <w:rsid w:val="00232F40"/>
    <w:rsid w:val="00233E4F"/>
    <w:rsid w:val="002411F6"/>
    <w:rsid w:val="00246FE4"/>
    <w:rsid w:val="00247BC8"/>
    <w:rsid w:val="00250500"/>
    <w:rsid w:val="002507EE"/>
    <w:rsid w:val="0025209B"/>
    <w:rsid w:val="00254E7D"/>
    <w:rsid w:val="0025687A"/>
    <w:rsid w:val="0025693E"/>
    <w:rsid w:val="00260F11"/>
    <w:rsid w:val="00262B3A"/>
    <w:rsid w:val="00263101"/>
    <w:rsid w:val="00264D24"/>
    <w:rsid w:val="002652F1"/>
    <w:rsid w:val="00265B58"/>
    <w:rsid w:val="002665BE"/>
    <w:rsid w:val="00267A57"/>
    <w:rsid w:val="0027008E"/>
    <w:rsid w:val="002723D1"/>
    <w:rsid w:val="002855F9"/>
    <w:rsid w:val="002923E5"/>
    <w:rsid w:val="00292BE1"/>
    <w:rsid w:val="002A0398"/>
    <w:rsid w:val="002A05ED"/>
    <w:rsid w:val="002A2C39"/>
    <w:rsid w:val="002A430E"/>
    <w:rsid w:val="002B14EB"/>
    <w:rsid w:val="002B4D61"/>
    <w:rsid w:val="002C0DFD"/>
    <w:rsid w:val="002C2361"/>
    <w:rsid w:val="002C2403"/>
    <w:rsid w:val="002C4B93"/>
    <w:rsid w:val="002C7545"/>
    <w:rsid w:val="002D03DB"/>
    <w:rsid w:val="002D20DB"/>
    <w:rsid w:val="002D273B"/>
    <w:rsid w:val="002D64DF"/>
    <w:rsid w:val="002D68C7"/>
    <w:rsid w:val="002E36BF"/>
    <w:rsid w:val="002E4FAE"/>
    <w:rsid w:val="002F01B6"/>
    <w:rsid w:val="002F7CD8"/>
    <w:rsid w:val="00300E40"/>
    <w:rsid w:val="003032D6"/>
    <w:rsid w:val="00304401"/>
    <w:rsid w:val="00306F25"/>
    <w:rsid w:val="003128D3"/>
    <w:rsid w:val="00312922"/>
    <w:rsid w:val="00314DAD"/>
    <w:rsid w:val="00314F10"/>
    <w:rsid w:val="0031665E"/>
    <w:rsid w:val="003171BF"/>
    <w:rsid w:val="00321E37"/>
    <w:rsid w:val="00332B33"/>
    <w:rsid w:val="003406AE"/>
    <w:rsid w:val="00340E02"/>
    <w:rsid w:val="00343C5E"/>
    <w:rsid w:val="00344D11"/>
    <w:rsid w:val="0034769F"/>
    <w:rsid w:val="00352719"/>
    <w:rsid w:val="00353D8B"/>
    <w:rsid w:val="0035635E"/>
    <w:rsid w:val="00356611"/>
    <w:rsid w:val="003630D0"/>
    <w:rsid w:val="00364350"/>
    <w:rsid w:val="003645CC"/>
    <w:rsid w:val="00365193"/>
    <w:rsid w:val="00365314"/>
    <w:rsid w:val="00372609"/>
    <w:rsid w:val="00374144"/>
    <w:rsid w:val="00374159"/>
    <w:rsid w:val="0037442F"/>
    <w:rsid w:val="00374B15"/>
    <w:rsid w:val="00374DE4"/>
    <w:rsid w:val="00375BD4"/>
    <w:rsid w:val="003760BF"/>
    <w:rsid w:val="0038097E"/>
    <w:rsid w:val="00380B3E"/>
    <w:rsid w:val="003812E9"/>
    <w:rsid w:val="003849A1"/>
    <w:rsid w:val="0038663D"/>
    <w:rsid w:val="00386AD9"/>
    <w:rsid w:val="00390031"/>
    <w:rsid w:val="00392D20"/>
    <w:rsid w:val="00393F96"/>
    <w:rsid w:val="0039411A"/>
    <w:rsid w:val="00395544"/>
    <w:rsid w:val="00395A40"/>
    <w:rsid w:val="0039764C"/>
    <w:rsid w:val="00397C5A"/>
    <w:rsid w:val="003A29F1"/>
    <w:rsid w:val="003A360F"/>
    <w:rsid w:val="003A3678"/>
    <w:rsid w:val="003A4A05"/>
    <w:rsid w:val="003A55F6"/>
    <w:rsid w:val="003A5F68"/>
    <w:rsid w:val="003A6347"/>
    <w:rsid w:val="003A6CE4"/>
    <w:rsid w:val="003A74D8"/>
    <w:rsid w:val="003B0097"/>
    <w:rsid w:val="003B0120"/>
    <w:rsid w:val="003B0C23"/>
    <w:rsid w:val="003B0CB7"/>
    <w:rsid w:val="003B2ABB"/>
    <w:rsid w:val="003B341C"/>
    <w:rsid w:val="003B3921"/>
    <w:rsid w:val="003B4A28"/>
    <w:rsid w:val="003B52E5"/>
    <w:rsid w:val="003B5A17"/>
    <w:rsid w:val="003B6D60"/>
    <w:rsid w:val="003B7083"/>
    <w:rsid w:val="003B7104"/>
    <w:rsid w:val="003B7EC4"/>
    <w:rsid w:val="003C0599"/>
    <w:rsid w:val="003C4A35"/>
    <w:rsid w:val="003D1D0B"/>
    <w:rsid w:val="003D431E"/>
    <w:rsid w:val="003D52A7"/>
    <w:rsid w:val="003D53F9"/>
    <w:rsid w:val="003E1C9A"/>
    <w:rsid w:val="003E48CB"/>
    <w:rsid w:val="003E69AF"/>
    <w:rsid w:val="003E7239"/>
    <w:rsid w:val="003F38CD"/>
    <w:rsid w:val="003F3DAE"/>
    <w:rsid w:val="003F4687"/>
    <w:rsid w:val="004006B7"/>
    <w:rsid w:val="0040509E"/>
    <w:rsid w:val="004062E3"/>
    <w:rsid w:val="00406BB3"/>
    <w:rsid w:val="00410CF3"/>
    <w:rsid w:val="00412659"/>
    <w:rsid w:val="004129D9"/>
    <w:rsid w:val="00412FC5"/>
    <w:rsid w:val="00415706"/>
    <w:rsid w:val="00416EA6"/>
    <w:rsid w:val="00416FF2"/>
    <w:rsid w:val="00422699"/>
    <w:rsid w:val="0042359B"/>
    <w:rsid w:val="00425613"/>
    <w:rsid w:val="00425901"/>
    <w:rsid w:val="004305E0"/>
    <w:rsid w:val="00433849"/>
    <w:rsid w:val="0043404F"/>
    <w:rsid w:val="00435641"/>
    <w:rsid w:val="00435FFD"/>
    <w:rsid w:val="00437AB4"/>
    <w:rsid w:val="00440F4A"/>
    <w:rsid w:val="00441630"/>
    <w:rsid w:val="00442AFD"/>
    <w:rsid w:val="00442EDD"/>
    <w:rsid w:val="00444577"/>
    <w:rsid w:val="00445AD2"/>
    <w:rsid w:val="00447DED"/>
    <w:rsid w:val="00453FBB"/>
    <w:rsid w:val="00456DB1"/>
    <w:rsid w:val="0046005B"/>
    <w:rsid w:val="00461CA5"/>
    <w:rsid w:val="00461ECB"/>
    <w:rsid w:val="004639F7"/>
    <w:rsid w:val="00463A80"/>
    <w:rsid w:val="00466DAA"/>
    <w:rsid w:val="0046742B"/>
    <w:rsid w:val="004678A4"/>
    <w:rsid w:val="0047333D"/>
    <w:rsid w:val="004742DF"/>
    <w:rsid w:val="00474F06"/>
    <w:rsid w:val="00477B75"/>
    <w:rsid w:val="00485223"/>
    <w:rsid w:val="00486812"/>
    <w:rsid w:val="0049192C"/>
    <w:rsid w:val="00494555"/>
    <w:rsid w:val="00496120"/>
    <w:rsid w:val="004961F0"/>
    <w:rsid w:val="00496B42"/>
    <w:rsid w:val="004A0C19"/>
    <w:rsid w:val="004A139C"/>
    <w:rsid w:val="004A2F95"/>
    <w:rsid w:val="004A561D"/>
    <w:rsid w:val="004A72A4"/>
    <w:rsid w:val="004B070B"/>
    <w:rsid w:val="004B3E8B"/>
    <w:rsid w:val="004B4286"/>
    <w:rsid w:val="004B7234"/>
    <w:rsid w:val="004C186B"/>
    <w:rsid w:val="004C3550"/>
    <w:rsid w:val="004C6A7D"/>
    <w:rsid w:val="004D4954"/>
    <w:rsid w:val="004D6C2B"/>
    <w:rsid w:val="004E4A44"/>
    <w:rsid w:val="004E4D1A"/>
    <w:rsid w:val="004E720C"/>
    <w:rsid w:val="004F044F"/>
    <w:rsid w:val="004F22A6"/>
    <w:rsid w:val="004F28FF"/>
    <w:rsid w:val="004F5EB1"/>
    <w:rsid w:val="00500FC4"/>
    <w:rsid w:val="00507CB7"/>
    <w:rsid w:val="005120F3"/>
    <w:rsid w:val="00513928"/>
    <w:rsid w:val="005147CF"/>
    <w:rsid w:val="00514878"/>
    <w:rsid w:val="00516E6B"/>
    <w:rsid w:val="005173E5"/>
    <w:rsid w:val="00520A9B"/>
    <w:rsid w:val="00526481"/>
    <w:rsid w:val="00526B3A"/>
    <w:rsid w:val="00526F4C"/>
    <w:rsid w:val="00531528"/>
    <w:rsid w:val="00534C28"/>
    <w:rsid w:val="00536902"/>
    <w:rsid w:val="005379A0"/>
    <w:rsid w:val="00540DB2"/>
    <w:rsid w:val="0054144C"/>
    <w:rsid w:val="00542176"/>
    <w:rsid w:val="00550E57"/>
    <w:rsid w:val="005513FF"/>
    <w:rsid w:val="00552108"/>
    <w:rsid w:val="00553F0C"/>
    <w:rsid w:val="00555088"/>
    <w:rsid w:val="0055701A"/>
    <w:rsid w:val="0055766E"/>
    <w:rsid w:val="005609F1"/>
    <w:rsid w:val="005618E4"/>
    <w:rsid w:val="00564608"/>
    <w:rsid w:val="00564A5C"/>
    <w:rsid w:val="00566B12"/>
    <w:rsid w:val="00567718"/>
    <w:rsid w:val="005713CE"/>
    <w:rsid w:val="00572547"/>
    <w:rsid w:val="00574E92"/>
    <w:rsid w:val="00575C84"/>
    <w:rsid w:val="005764F6"/>
    <w:rsid w:val="005772CD"/>
    <w:rsid w:val="00577CDD"/>
    <w:rsid w:val="00580E32"/>
    <w:rsid w:val="00584B75"/>
    <w:rsid w:val="00587242"/>
    <w:rsid w:val="005902E6"/>
    <w:rsid w:val="005A0D16"/>
    <w:rsid w:val="005A20BB"/>
    <w:rsid w:val="005A28A3"/>
    <w:rsid w:val="005A3DF4"/>
    <w:rsid w:val="005A3E5E"/>
    <w:rsid w:val="005A79EE"/>
    <w:rsid w:val="005B0CA3"/>
    <w:rsid w:val="005B3DCF"/>
    <w:rsid w:val="005B41E3"/>
    <w:rsid w:val="005B5970"/>
    <w:rsid w:val="005C047D"/>
    <w:rsid w:val="005C17AE"/>
    <w:rsid w:val="005C3113"/>
    <w:rsid w:val="005C3A21"/>
    <w:rsid w:val="005C42B4"/>
    <w:rsid w:val="005C44F2"/>
    <w:rsid w:val="005D1F7B"/>
    <w:rsid w:val="005D6541"/>
    <w:rsid w:val="005D6CEF"/>
    <w:rsid w:val="005D7748"/>
    <w:rsid w:val="005E0784"/>
    <w:rsid w:val="005E2193"/>
    <w:rsid w:val="005E2D98"/>
    <w:rsid w:val="005E5D0D"/>
    <w:rsid w:val="005E7435"/>
    <w:rsid w:val="005F08E7"/>
    <w:rsid w:val="005F4244"/>
    <w:rsid w:val="005F7DA6"/>
    <w:rsid w:val="006000C3"/>
    <w:rsid w:val="00602B92"/>
    <w:rsid w:val="0060541C"/>
    <w:rsid w:val="00605676"/>
    <w:rsid w:val="00605C93"/>
    <w:rsid w:val="006063AD"/>
    <w:rsid w:val="0061411E"/>
    <w:rsid w:val="006154C5"/>
    <w:rsid w:val="00615A15"/>
    <w:rsid w:val="00616AFC"/>
    <w:rsid w:val="00621F4C"/>
    <w:rsid w:val="0062295D"/>
    <w:rsid w:val="006241A8"/>
    <w:rsid w:val="00625CD6"/>
    <w:rsid w:val="006343FF"/>
    <w:rsid w:val="0063748C"/>
    <w:rsid w:val="00645ACF"/>
    <w:rsid w:val="00651055"/>
    <w:rsid w:val="00652D78"/>
    <w:rsid w:val="006555CF"/>
    <w:rsid w:val="006559FB"/>
    <w:rsid w:val="00656329"/>
    <w:rsid w:val="00661437"/>
    <w:rsid w:val="006614EE"/>
    <w:rsid w:val="00662C2E"/>
    <w:rsid w:val="00666EA0"/>
    <w:rsid w:val="0066717C"/>
    <w:rsid w:val="00667805"/>
    <w:rsid w:val="006735B0"/>
    <w:rsid w:val="00674AD0"/>
    <w:rsid w:val="006769F8"/>
    <w:rsid w:val="00680B63"/>
    <w:rsid w:val="00680D20"/>
    <w:rsid w:val="00681939"/>
    <w:rsid w:val="0068346F"/>
    <w:rsid w:val="006909C6"/>
    <w:rsid w:val="00692BDA"/>
    <w:rsid w:val="00694CFF"/>
    <w:rsid w:val="00694DCB"/>
    <w:rsid w:val="0069503E"/>
    <w:rsid w:val="006953CE"/>
    <w:rsid w:val="006A0D8C"/>
    <w:rsid w:val="006A1659"/>
    <w:rsid w:val="006A32F3"/>
    <w:rsid w:val="006A4F85"/>
    <w:rsid w:val="006B0047"/>
    <w:rsid w:val="006B1274"/>
    <w:rsid w:val="006B2888"/>
    <w:rsid w:val="006B2A17"/>
    <w:rsid w:val="006B2C2D"/>
    <w:rsid w:val="006B5104"/>
    <w:rsid w:val="006B73D8"/>
    <w:rsid w:val="006B75BD"/>
    <w:rsid w:val="006C1E91"/>
    <w:rsid w:val="006C1EBE"/>
    <w:rsid w:val="006C7086"/>
    <w:rsid w:val="006D13A6"/>
    <w:rsid w:val="006D1AC3"/>
    <w:rsid w:val="006D269E"/>
    <w:rsid w:val="006D3AA9"/>
    <w:rsid w:val="006D42CD"/>
    <w:rsid w:val="006D5E73"/>
    <w:rsid w:val="006D625C"/>
    <w:rsid w:val="006E4285"/>
    <w:rsid w:val="006E65D5"/>
    <w:rsid w:val="006F0054"/>
    <w:rsid w:val="006F0084"/>
    <w:rsid w:val="006F11C2"/>
    <w:rsid w:val="006F4DF5"/>
    <w:rsid w:val="006F5587"/>
    <w:rsid w:val="006F6DAF"/>
    <w:rsid w:val="00702443"/>
    <w:rsid w:val="0070289E"/>
    <w:rsid w:val="007028A8"/>
    <w:rsid w:val="00705E44"/>
    <w:rsid w:val="007063DC"/>
    <w:rsid w:val="0070683F"/>
    <w:rsid w:val="00711933"/>
    <w:rsid w:val="00713CD2"/>
    <w:rsid w:val="00717344"/>
    <w:rsid w:val="007203A8"/>
    <w:rsid w:val="00726B18"/>
    <w:rsid w:val="00727E77"/>
    <w:rsid w:val="0073568F"/>
    <w:rsid w:val="00735E03"/>
    <w:rsid w:val="00744639"/>
    <w:rsid w:val="00747723"/>
    <w:rsid w:val="00753BB2"/>
    <w:rsid w:val="00763D90"/>
    <w:rsid w:val="007651AF"/>
    <w:rsid w:val="007711D5"/>
    <w:rsid w:val="00774E4E"/>
    <w:rsid w:val="00775BE2"/>
    <w:rsid w:val="00776A54"/>
    <w:rsid w:val="00780ED8"/>
    <w:rsid w:val="00781931"/>
    <w:rsid w:val="00783D06"/>
    <w:rsid w:val="00787CDD"/>
    <w:rsid w:val="0079216C"/>
    <w:rsid w:val="007946FE"/>
    <w:rsid w:val="007A07DC"/>
    <w:rsid w:val="007A19F8"/>
    <w:rsid w:val="007A21ED"/>
    <w:rsid w:val="007A2B5D"/>
    <w:rsid w:val="007A7BCB"/>
    <w:rsid w:val="007B70FC"/>
    <w:rsid w:val="007C0080"/>
    <w:rsid w:val="007C00D0"/>
    <w:rsid w:val="007C1368"/>
    <w:rsid w:val="007C1481"/>
    <w:rsid w:val="007C55E3"/>
    <w:rsid w:val="007C66C3"/>
    <w:rsid w:val="007C69B2"/>
    <w:rsid w:val="007D1440"/>
    <w:rsid w:val="007D1913"/>
    <w:rsid w:val="007D2722"/>
    <w:rsid w:val="007D4D80"/>
    <w:rsid w:val="007D7917"/>
    <w:rsid w:val="007D7B29"/>
    <w:rsid w:val="007D7CCF"/>
    <w:rsid w:val="007E1882"/>
    <w:rsid w:val="007E2095"/>
    <w:rsid w:val="007E2815"/>
    <w:rsid w:val="007E3F97"/>
    <w:rsid w:val="007E5F32"/>
    <w:rsid w:val="007E60C7"/>
    <w:rsid w:val="007E6C52"/>
    <w:rsid w:val="007E6EB8"/>
    <w:rsid w:val="007F7828"/>
    <w:rsid w:val="008002AC"/>
    <w:rsid w:val="0080037E"/>
    <w:rsid w:val="00800E69"/>
    <w:rsid w:val="00801420"/>
    <w:rsid w:val="00801867"/>
    <w:rsid w:val="00802442"/>
    <w:rsid w:val="00802E3E"/>
    <w:rsid w:val="0080369A"/>
    <w:rsid w:val="00804C11"/>
    <w:rsid w:val="00807614"/>
    <w:rsid w:val="00811B2B"/>
    <w:rsid w:val="00812D31"/>
    <w:rsid w:val="00816001"/>
    <w:rsid w:val="008207C8"/>
    <w:rsid w:val="008208E2"/>
    <w:rsid w:val="00822DDE"/>
    <w:rsid w:val="00824B99"/>
    <w:rsid w:val="00826F88"/>
    <w:rsid w:val="0083173A"/>
    <w:rsid w:val="00833AFC"/>
    <w:rsid w:val="008355EF"/>
    <w:rsid w:val="00836F37"/>
    <w:rsid w:val="008405FA"/>
    <w:rsid w:val="00840DA6"/>
    <w:rsid w:val="008418F5"/>
    <w:rsid w:val="00841FEA"/>
    <w:rsid w:val="00845FDB"/>
    <w:rsid w:val="008472B6"/>
    <w:rsid w:val="00851982"/>
    <w:rsid w:val="00860360"/>
    <w:rsid w:val="008613B1"/>
    <w:rsid w:val="00861885"/>
    <w:rsid w:val="00863410"/>
    <w:rsid w:val="00867BB9"/>
    <w:rsid w:val="00871338"/>
    <w:rsid w:val="008764DE"/>
    <w:rsid w:val="00880DFA"/>
    <w:rsid w:val="00882E93"/>
    <w:rsid w:val="00885C2D"/>
    <w:rsid w:val="0089665F"/>
    <w:rsid w:val="00896DC3"/>
    <w:rsid w:val="008A20E9"/>
    <w:rsid w:val="008A3E85"/>
    <w:rsid w:val="008A571C"/>
    <w:rsid w:val="008A6573"/>
    <w:rsid w:val="008A658B"/>
    <w:rsid w:val="008A6B9F"/>
    <w:rsid w:val="008A6CE6"/>
    <w:rsid w:val="008A78CC"/>
    <w:rsid w:val="008B3402"/>
    <w:rsid w:val="008B4BB0"/>
    <w:rsid w:val="008B6582"/>
    <w:rsid w:val="008C0412"/>
    <w:rsid w:val="008C1FCD"/>
    <w:rsid w:val="008C217A"/>
    <w:rsid w:val="008C2285"/>
    <w:rsid w:val="008C29C3"/>
    <w:rsid w:val="008C5856"/>
    <w:rsid w:val="008C5B45"/>
    <w:rsid w:val="008C726A"/>
    <w:rsid w:val="008D1A81"/>
    <w:rsid w:val="008D35F8"/>
    <w:rsid w:val="008D4741"/>
    <w:rsid w:val="008D4E67"/>
    <w:rsid w:val="008D5948"/>
    <w:rsid w:val="008D5EC9"/>
    <w:rsid w:val="008E13FA"/>
    <w:rsid w:val="008E14AE"/>
    <w:rsid w:val="008E167F"/>
    <w:rsid w:val="008E5209"/>
    <w:rsid w:val="008E7249"/>
    <w:rsid w:val="008F134F"/>
    <w:rsid w:val="008F428A"/>
    <w:rsid w:val="008F5203"/>
    <w:rsid w:val="008F646E"/>
    <w:rsid w:val="008F7B07"/>
    <w:rsid w:val="009012BB"/>
    <w:rsid w:val="00902833"/>
    <w:rsid w:val="00902C40"/>
    <w:rsid w:val="00904EA6"/>
    <w:rsid w:val="00911198"/>
    <w:rsid w:val="0091172D"/>
    <w:rsid w:val="00912CE9"/>
    <w:rsid w:val="009165AF"/>
    <w:rsid w:val="00916D4D"/>
    <w:rsid w:val="00921690"/>
    <w:rsid w:val="00923252"/>
    <w:rsid w:val="0092399E"/>
    <w:rsid w:val="009303F4"/>
    <w:rsid w:val="00930454"/>
    <w:rsid w:val="00930C24"/>
    <w:rsid w:val="009341A6"/>
    <w:rsid w:val="0093567B"/>
    <w:rsid w:val="00937031"/>
    <w:rsid w:val="00940E1E"/>
    <w:rsid w:val="00945E5C"/>
    <w:rsid w:val="009464E4"/>
    <w:rsid w:val="00946876"/>
    <w:rsid w:val="009509FC"/>
    <w:rsid w:val="0095110C"/>
    <w:rsid w:val="00951D93"/>
    <w:rsid w:val="00951E09"/>
    <w:rsid w:val="0095224D"/>
    <w:rsid w:val="00952BEA"/>
    <w:rsid w:val="009539FC"/>
    <w:rsid w:val="00954124"/>
    <w:rsid w:val="0096242B"/>
    <w:rsid w:val="0096283D"/>
    <w:rsid w:val="00963DF4"/>
    <w:rsid w:val="00964785"/>
    <w:rsid w:val="0096692B"/>
    <w:rsid w:val="00967E14"/>
    <w:rsid w:val="00970736"/>
    <w:rsid w:val="00970B18"/>
    <w:rsid w:val="00973EC2"/>
    <w:rsid w:val="009751AC"/>
    <w:rsid w:val="00980DFE"/>
    <w:rsid w:val="00981C82"/>
    <w:rsid w:val="0098255A"/>
    <w:rsid w:val="00984168"/>
    <w:rsid w:val="009845AA"/>
    <w:rsid w:val="00984D93"/>
    <w:rsid w:val="00985E4F"/>
    <w:rsid w:val="00985F30"/>
    <w:rsid w:val="009868F0"/>
    <w:rsid w:val="00986DA6"/>
    <w:rsid w:val="00993572"/>
    <w:rsid w:val="00993FAE"/>
    <w:rsid w:val="009946F7"/>
    <w:rsid w:val="00995BD8"/>
    <w:rsid w:val="0099715C"/>
    <w:rsid w:val="009A4EEC"/>
    <w:rsid w:val="009A6F96"/>
    <w:rsid w:val="009B06FD"/>
    <w:rsid w:val="009B07BA"/>
    <w:rsid w:val="009B2C6B"/>
    <w:rsid w:val="009B2E6E"/>
    <w:rsid w:val="009B305D"/>
    <w:rsid w:val="009B472E"/>
    <w:rsid w:val="009B520F"/>
    <w:rsid w:val="009B67E7"/>
    <w:rsid w:val="009B694A"/>
    <w:rsid w:val="009C0441"/>
    <w:rsid w:val="009C13FC"/>
    <w:rsid w:val="009C4433"/>
    <w:rsid w:val="009C7F1B"/>
    <w:rsid w:val="009D0CDC"/>
    <w:rsid w:val="009D0D2A"/>
    <w:rsid w:val="009D228F"/>
    <w:rsid w:val="009D3032"/>
    <w:rsid w:val="009D3E78"/>
    <w:rsid w:val="009D4754"/>
    <w:rsid w:val="009D60E9"/>
    <w:rsid w:val="009D7C8E"/>
    <w:rsid w:val="009E0601"/>
    <w:rsid w:val="009E1260"/>
    <w:rsid w:val="009E511C"/>
    <w:rsid w:val="009E5D12"/>
    <w:rsid w:val="009F2B76"/>
    <w:rsid w:val="009F3396"/>
    <w:rsid w:val="009F499A"/>
    <w:rsid w:val="009F566D"/>
    <w:rsid w:val="009F6F85"/>
    <w:rsid w:val="009F7684"/>
    <w:rsid w:val="00A0098D"/>
    <w:rsid w:val="00A02F2D"/>
    <w:rsid w:val="00A04D0A"/>
    <w:rsid w:val="00A06D21"/>
    <w:rsid w:val="00A13613"/>
    <w:rsid w:val="00A14119"/>
    <w:rsid w:val="00A146DB"/>
    <w:rsid w:val="00A14A59"/>
    <w:rsid w:val="00A14BA3"/>
    <w:rsid w:val="00A16E4D"/>
    <w:rsid w:val="00A20FE9"/>
    <w:rsid w:val="00A26BA5"/>
    <w:rsid w:val="00A273B5"/>
    <w:rsid w:val="00A27E44"/>
    <w:rsid w:val="00A33A3A"/>
    <w:rsid w:val="00A41A2C"/>
    <w:rsid w:val="00A425B3"/>
    <w:rsid w:val="00A42A04"/>
    <w:rsid w:val="00A435D5"/>
    <w:rsid w:val="00A4412A"/>
    <w:rsid w:val="00A44408"/>
    <w:rsid w:val="00A5213E"/>
    <w:rsid w:val="00A55886"/>
    <w:rsid w:val="00A61FF0"/>
    <w:rsid w:val="00A67C00"/>
    <w:rsid w:val="00A67D1C"/>
    <w:rsid w:val="00A74613"/>
    <w:rsid w:val="00A74D19"/>
    <w:rsid w:val="00A7523F"/>
    <w:rsid w:val="00A7754C"/>
    <w:rsid w:val="00A77B0D"/>
    <w:rsid w:val="00A82A8D"/>
    <w:rsid w:val="00A834DA"/>
    <w:rsid w:val="00A84E48"/>
    <w:rsid w:val="00A86839"/>
    <w:rsid w:val="00A87105"/>
    <w:rsid w:val="00A873B8"/>
    <w:rsid w:val="00A905ED"/>
    <w:rsid w:val="00A95240"/>
    <w:rsid w:val="00A959D0"/>
    <w:rsid w:val="00A960B2"/>
    <w:rsid w:val="00AA0545"/>
    <w:rsid w:val="00AA2076"/>
    <w:rsid w:val="00AA665D"/>
    <w:rsid w:val="00AB046E"/>
    <w:rsid w:val="00AB1B34"/>
    <w:rsid w:val="00AB341A"/>
    <w:rsid w:val="00AB3BC4"/>
    <w:rsid w:val="00AB4D7B"/>
    <w:rsid w:val="00AB5620"/>
    <w:rsid w:val="00AB5F4A"/>
    <w:rsid w:val="00AB60D2"/>
    <w:rsid w:val="00AC0552"/>
    <w:rsid w:val="00AC60D0"/>
    <w:rsid w:val="00AD0F61"/>
    <w:rsid w:val="00AD21C9"/>
    <w:rsid w:val="00AD563F"/>
    <w:rsid w:val="00AD7A56"/>
    <w:rsid w:val="00AD7D4D"/>
    <w:rsid w:val="00AE355C"/>
    <w:rsid w:val="00AE7EF5"/>
    <w:rsid w:val="00AF1856"/>
    <w:rsid w:val="00AF21F4"/>
    <w:rsid w:val="00AF5C23"/>
    <w:rsid w:val="00AF6600"/>
    <w:rsid w:val="00B00BB4"/>
    <w:rsid w:val="00B00DB2"/>
    <w:rsid w:val="00B01ACF"/>
    <w:rsid w:val="00B062B2"/>
    <w:rsid w:val="00B06D48"/>
    <w:rsid w:val="00B141F1"/>
    <w:rsid w:val="00B149A8"/>
    <w:rsid w:val="00B177BE"/>
    <w:rsid w:val="00B17D0B"/>
    <w:rsid w:val="00B20D04"/>
    <w:rsid w:val="00B2159B"/>
    <w:rsid w:val="00B26122"/>
    <w:rsid w:val="00B26EEE"/>
    <w:rsid w:val="00B2799B"/>
    <w:rsid w:val="00B27B95"/>
    <w:rsid w:val="00B319A9"/>
    <w:rsid w:val="00B31FB3"/>
    <w:rsid w:val="00B32580"/>
    <w:rsid w:val="00B326C9"/>
    <w:rsid w:val="00B363F4"/>
    <w:rsid w:val="00B4072D"/>
    <w:rsid w:val="00B40AF9"/>
    <w:rsid w:val="00B4285F"/>
    <w:rsid w:val="00B457BD"/>
    <w:rsid w:val="00B45B48"/>
    <w:rsid w:val="00B45EDF"/>
    <w:rsid w:val="00B47067"/>
    <w:rsid w:val="00B51BA9"/>
    <w:rsid w:val="00B533F3"/>
    <w:rsid w:val="00B5477D"/>
    <w:rsid w:val="00B559F1"/>
    <w:rsid w:val="00B563B0"/>
    <w:rsid w:val="00B63325"/>
    <w:rsid w:val="00B64803"/>
    <w:rsid w:val="00B669C2"/>
    <w:rsid w:val="00B67BEF"/>
    <w:rsid w:val="00B733F4"/>
    <w:rsid w:val="00B753F6"/>
    <w:rsid w:val="00B77E13"/>
    <w:rsid w:val="00B80AE1"/>
    <w:rsid w:val="00B812FA"/>
    <w:rsid w:val="00B819B5"/>
    <w:rsid w:val="00B81F2C"/>
    <w:rsid w:val="00B826CA"/>
    <w:rsid w:val="00B834B1"/>
    <w:rsid w:val="00B8571E"/>
    <w:rsid w:val="00B86CAB"/>
    <w:rsid w:val="00B90C3C"/>
    <w:rsid w:val="00B9276C"/>
    <w:rsid w:val="00B95895"/>
    <w:rsid w:val="00B9613A"/>
    <w:rsid w:val="00B96E3F"/>
    <w:rsid w:val="00BA0605"/>
    <w:rsid w:val="00BA244F"/>
    <w:rsid w:val="00BA5767"/>
    <w:rsid w:val="00BB1434"/>
    <w:rsid w:val="00BB1637"/>
    <w:rsid w:val="00BB1EB1"/>
    <w:rsid w:val="00BB22C4"/>
    <w:rsid w:val="00BB2E63"/>
    <w:rsid w:val="00BC01C3"/>
    <w:rsid w:val="00BC320F"/>
    <w:rsid w:val="00BC6CDC"/>
    <w:rsid w:val="00BD0607"/>
    <w:rsid w:val="00BD1280"/>
    <w:rsid w:val="00BD207E"/>
    <w:rsid w:val="00BD3D37"/>
    <w:rsid w:val="00BD6FB9"/>
    <w:rsid w:val="00BE0081"/>
    <w:rsid w:val="00BE2343"/>
    <w:rsid w:val="00BE2FB7"/>
    <w:rsid w:val="00BE375F"/>
    <w:rsid w:val="00BE37DF"/>
    <w:rsid w:val="00BE6474"/>
    <w:rsid w:val="00BF0272"/>
    <w:rsid w:val="00BF108A"/>
    <w:rsid w:val="00BF1DD2"/>
    <w:rsid w:val="00BF4058"/>
    <w:rsid w:val="00BF41BB"/>
    <w:rsid w:val="00BF4506"/>
    <w:rsid w:val="00BF7544"/>
    <w:rsid w:val="00C13FB4"/>
    <w:rsid w:val="00C14340"/>
    <w:rsid w:val="00C21B48"/>
    <w:rsid w:val="00C234A9"/>
    <w:rsid w:val="00C23AED"/>
    <w:rsid w:val="00C24F17"/>
    <w:rsid w:val="00C30301"/>
    <w:rsid w:val="00C35BE2"/>
    <w:rsid w:val="00C3764B"/>
    <w:rsid w:val="00C4111D"/>
    <w:rsid w:val="00C448F0"/>
    <w:rsid w:val="00C45BEC"/>
    <w:rsid w:val="00C45E1B"/>
    <w:rsid w:val="00C514AE"/>
    <w:rsid w:val="00C5159C"/>
    <w:rsid w:val="00C52AD6"/>
    <w:rsid w:val="00C54A10"/>
    <w:rsid w:val="00C6115C"/>
    <w:rsid w:val="00C62A9F"/>
    <w:rsid w:val="00C64120"/>
    <w:rsid w:val="00C64A4D"/>
    <w:rsid w:val="00C67D41"/>
    <w:rsid w:val="00C73296"/>
    <w:rsid w:val="00C73FFB"/>
    <w:rsid w:val="00C7447E"/>
    <w:rsid w:val="00C748A6"/>
    <w:rsid w:val="00C82213"/>
    <w:rsid w:val="00C85696"/>
    <w:rsid w:val="00C85B9A"/>
    <w:rsid w:val="00C869D3"/>
    <w:rsid w:val="00C87BCD"/>
    <w:rsid w:val="00C9017A"/>
    <w:rsid w:val="00C9251D"/>
    <w:rsid w:val="00CA1E4E"/>
    <w:rsid w:val="00CA22E3"/>
    <w:rsid w:val="00CA3C2A"/>
    <w:rsid w:val="00CA5B75"/>
    <w:rsid w:val="00CB1B28"/>
    <w:rsid w:val="00CB6285"/>
    <w:rsid w:val="00CC0BE0"/>
    <w:rsid w:val="00CC449B"/>
    <w:rsid w:val="00CC4D2F"/>
    <w:rsid w:val="00CC6DC5"/>
    <w:rsid w:val="00CD0AFF"/>
    <w:rsid w:val="00CD33BA"/>
    <w:rsid w:val="00CD389B"/>
    <w:rsid w:val="00CD50A9"/>
    <w:rsid w:val="00CE326A"/>
    <w:rsid w:val="00CE5A28"/>
    <w:rsid w:val="00CE5CA5"/>
    <w:rsid w:val="00CE5F14"/>
    <w:rsid w:val="00CF0645"/>
    <w:rsid w:val="00CF0F48"/>
    <w:rsid w:val="00CF2DA1"/>
    <w:rsid w:val="00CF2EF3"/>
    <w:rsid w:val="00CF4529"/>
    <w:rsid w:val="00CF45E5"/>
    <w:rsid w:val="00CF490D"/>
    <w:rsid w:val="00CF513D"/>
    <w:rsid w:val="00D0037F"/>
    <w:rsid w:val="00D01FCE"/>
    <w:rsid w:val="00D04805"/>
    <w:rsid w:val="00D1048A"/>
    <w:rsid w:val="00D13C31"/>
    <w:rsid w:val="00D16770"/>
    <w:rsid w:val="00D20140"/>
    <w:rsid w:val="00D20EEB"/>
    <w:rsid w:val="00D21076"/>
    <w:rsid w:val="00D221A5"/>
    <w:rsid w:val="00D2598F"/>
    <w:rsid w:val="00D26753"/>
    <w:rsid w:val="00D27C58"/>
    <w:rsid w:val="00D306CE"/>
    <w:rsid w:val="00D30A27"/>
    <w:rsid w:val="00D30D3F"/>
    <w:rsid w:val="00D318B4"/>
    <w:rsid w:val="00D3253C"/>
    <w:rsid w:val="00D32E76"/>
    <w:rsid w:val="00D33770"/>
    <w:rsid w:val="00D41BA0"/>
    <w:rsid w:val="00D440DB"/>
    <w:rsid w:val="00D46652"/>
    <w:rsid w:val="00D46AFE"/>
    <w:rsid w:val="00D472DE"/>
    <w:rsid w:val="00D47469"/>
    <w:rsid w:val="00D47FCB"/>
    <w:rsid w:val="00D51805"/>
    <w:rsid w:val="00D526FF"/>
    <w:rsid w:val="00D54FC9"/>
    <w:rsid w:val="00D61084"/>
    <w:rsid w:val="00D65EC2"/>
    <w:rsid w:val="00D67BF3"/>
    <w:rsid w:val="00D7065B"/>
    <w:rsid w:val="00D716E7"/>
    <w:rsid w:val="00D7296F"/>
    <w:rsid w:val="00D75596"/>
    <w:rsid w:val="00D755C1"/>
    <w:rsid w:val="00D80914"/>
    <w:rsid w:val="00D8267F"/>
    <w:rsid w:val="00D85166"/>
    <w:rsid w:val="00D8519C"/>
    <w:rsid w:val="00D85DC5"/>
    <w:rsid w:val="00D86608"/>
    <w:rsid w:val="00D9032C"/>
    <w:rsid w:val="00D90D5B"/>
    <w:rsid w:val="00D92F89"/>
    <w:rsid w:val="00D95011"/>
    <w:rsid w:val="00D96ABF"/>
    <w:rsid w:val="00D96D9A"/>
    <w:rsid w:val="00DA1D74"/>
    <w:rsid w:val="00DA4968"/>
    <w:rsid w:val="00DB0C9B"/>
    <w:rsid w:val="00DB42D4"/>
    <w:rsid w:val="00DB43CF"/>
    <w:rsid w:val="00DC5C89"/>
    <w:rsid w:val="00DC6048"/>
    <w:rsid w:val="00DC7180"/>
    <w:rsid w:val="00DC7FD0"/>
    <w:rsid w:val="00DD0524"/>
    <w:rsid w:val="00DD13DD"/>
    <w:rsid w:val="00DD233D"/>
    <w:rsid w:val="00DD28C8"/>
    <w:rsid w:val="00DD332B"/>
    <w:rsid w:val="00DD5555"/>
    <w:rsid w:val="00DD7553"/>
    <w:rsid w:val="00DD78AC"/>
    <w:rsid w:val="00DE20CD"/>
    <w:rsid w:val="00DE266D"/>
    <w:rsid w:val="00DE3558"/>
    <w:rsid w:val="00DE381A"/>
    <w:rsid w:val="00DE43E4"/>
    <w:rsid w:val="00DE4C57"/>
    <w:rsid w:val="00DE564A"/>
    <w:rsid w:val="00DE6D2C"/>
    <w:rsid w:val="00DF041B"/>
    <w:rsid w:val="00DF1658"/>
    <w:rsid w:val="00DF27F2"/>
    <w:rsid w:val="00DF3FBE"/>
    <w:rsid w:val="00DF5946"/>
    <w:rsid w:val="00DF6E64"/>
    <w:rsid w:val="00E051B6"/>
    <w:rsid w:val="00E052EE"/>
    <w:rsid w:val="00E05B54"/>
    <w:rsid w:val="00E1265B"/>
    <w:rsid w:val="00E136A7"/>
    <w:rsid w:val="00E15402"/>
    <w:rsid w:val="00E17E94"/>
    <w:rsid w:val="00E20179"/>
    <w:rsid w:val="00E22FF7"/>
    <w:rsid w:val="00E35923"/>
    <w:rsid w:val="00E3649E"/>
    <w:rsid w:val="00E369A4"/>
    <w:rsid w:val="00E36AC5"/>
    <w:rsid w:val="00E433FE"/>
    <w:rsid w:val="00E4442B"/>
    <w:rsid w:val="00E44DF8"/>
    <w:rsid w:val="00E601A2"/>
    <w:rsid w:val="00E61AF7"/>
    <w:rsid w:val="00E629B8"/>
    <w:rsid w:val="00E67880"/>
    <w:rsid w:val="00E70777"/>
    <w:rsid w:val="00E70D5C"/>
    <w:rsid w:val="00E713CB"/>
    <w:rsid w:val="00E743BA"/>
    <w:rsid w:val="00E750D8"/>
    <w:rsid w:val="00E762BB"/>
    <w:rsid w:val="00E769BD"/>
    <w:rsid w:val="00E80A7B"/>
    <w:rsid w:val="00E8310B"/>
    <w:rsid w:val="00E83389"/>
    <w:rsid w:val="00E870B9"/>
    <w:rsid w:val="00E90E83"/>
    <w:rsid w:val="00E91990"/>
    <w:rsid w:val="00E91D05"/>
    <w:rsid w:val="00E93914"/>
    <w:rsid w:val="00E95E4F"/>
    <w:rsid w:val="00E97302"/>
    <w:rsid w:val="00EA0D45"/>
    <w:rsid w:val="00EA2D3E"/>
    <w:rsid w:val="00EA36D0"/>
    <w:rsid w:val="00EA6DA3"/>
    <w:rsid w:val="00EA7A26"/>
    <w:rsid w:val="00EB07D5"/>
    <w:rsid w:val="00EB216A"/>
    <w:rsid w:val="00EB530B"/>
    <w:rsid w:val="00EB70BA"/>
    <w:rsid w:val="00EC1C8E"/>
    <w:rsid w:val="00EC36D8"/>
    <w:rsid w:val="00EC54F5"/>
    <w:rsid w:val="00EC65C3"/>
    <w:rsid w:val="00ED0571"/>
    <w:rsid w:val="00ED0B67"/>
    <w:rsid w:val="00EE0324"/>
    <w:rsid w:val="00EF0D91"/>
    <w:rsid w:val="00EF281D"/>
    <w:rsid w:val="00EF5C94"/>
    <w:rsid w:val="00F02DD9"/>
    <w:rsid w:val="00F04DBF"/>
    <w:rsid w:val="00F07CB8"/>
    <w:rsid w:val="00F112D2"/>
    <w:rsid w:val="00F13570"/>
    <w:rsid w:val="00F14493"/>
    <w:rsid w:val="00F169CE"/>
    <w:rsid w:val="00F17598"/>
    <w:rsid w:val="00F178F7"/>
    <w:rsid w:val="00F22BEC"/>
    <w:rsid w:val="00F242DB"/>
    <w:rsid w:val="00F26580"/>
    <w:rsid w:val="00F26A68"/>
    <w:rsid w:val="00F35840"/>
    <w:rsid w:val="00F40A9C"/>
    <w:rsid w:val="00F43BDD"/>
    <w:rsid w:val="00F43C99"/>
    <w:rsid w:val="00F44FA6"/>
    <w:rsid w:val="00F451E3"/>
    <w:rsid w:val="00F46708"/>
    <w:rsid w:val="00F508A7"/>
    <w:rsid w:val="00F508DB"/>
    <w:rsid w:val="00F51267"/>
    <w:rsid w:val="00F52AE3"/>
    <w:rsid w:val="00F5370A"/>
    <w:rsid w:val="00F53860"/>
    <w:rsid w:val="00F542F4"/>
    <w:rsid w:val="00F546D0"/>
    <w:rsid w:val="00F549D7"/>
    <w:rsid w:val="00F55D8A"/>
    <w:rsid w:val="00F5650D"/>
    <w:rsid w:val="00F6070F"/>
    <w:rsid w:val="00F609E2"/>
    <w:rsid w:val="00F60B73"/>
    <w:rsid w:val="00F626F9"/>
    <w:rsid w:val="00F63B19"/>
    <w:rsid w:val="00F64758"/>
    <w:rsid w:val="00F715FF"/>
    <w:rsid w:val="00F72018"/>
    <w:rsid w:val="00F802E7"/>
    <w:rsid w:val="00F84C6D"/>
    <w:rsid w:val="00F861A8"/>
    <w:rsid w:val="00F9087A"/>
    <w:rsid w:val="00F92102"/>
    <w:rsid w:val="00F92881"/>
    <w:rsid w:val="00F94652"/>
    <w:rsid w:val="00F94B40"/>
    <w:rsid w:val="00F94BC4"/>
    <w:rsid w:val="00FA11EE"/>
    <w:rsid w:val="00FA6898"/>
    <w:rsid w:val="00FB04C4"/>
    <w:rsid w:val="00FB698C"/>
    <w:rsid w:val="00FB7A2A"/>
    <w:rsid w:val="00FC2A11"/>
    <w:rsid w:val="00FC653E"/>
    <w:rsid w:val="00FC66E6"/>
    <w:rsid w:val="00FC6B8A"/>
    <w:rsid w:val="00FD1EDE"/>
    <w:rsid w:val="00FD2EFF"/>
    <w:rsid w:val="00FE4587"/>
    <w:rsid w:val="00FE785B"/>
    <w:rsid w:val="00FF0135"/>
    <w:rsid w:val="00FF11A5"/>
    <w:rsid w:val="00FF6694"/>
    <w:rsid w:val="00FF69F4"/>
    <w:rsid w:val="01272039"/>
    <w:rsid w:val="02E16EAC"/>
    <w:rsid w:val="035A370F"/>
    <w:rsid w:val="0371289F"/>
    <w:rsid w:val="03CD1A9F"/>
    <w:rsid w:val="043A7135"/>
    <w:rsid w:val="04784101"/>
    <w:rsid w:val="05EC4752"/>
    <w:rsid w:val="06497B03"/>
    <w:rsid w:val="072639A0"/>
    <w:rsid w:val="072B545A"/>
    <w:rsid w:val="07352893"/>
    <w:rsid w:val="07CC09EB"/>
    <w:rsid w:val="082A120A"/>
    <w:rsid w:val="086504F8"/>
    <w:rsid w:val="0887011A"/>
    <w:rsid w:val="08A54F66"/>
    <w:rsid w:val="08EB0276"/>
    <w:rsid w:val="09524F20"/>
    <w:rsid w:val="09AD03A9"/>
    <w:rsid w:val="09B108DF"/>
    <w:rsid w:val="09C3197A"/>
    <w:rsid w:val="0A876E4C"/>
    <w:rsid w:val="0ABA2B73"/>
    <w:rsid w:val="0AC05EBA"/>
    <w:rsid w:val="0AEE54A4"/>
    <w:rsid w:val="0B7D3DAB"/>
    <w:rsid w:val="0BA01226"/>
    <w:rsid w:val="0D197B03"/>
    <w:rsid w:val="0D352A6D"/>
    <w:rsid w:val="0DD70047"/>
    <w:rsid w:val="0DDD6D83"/>
    <w:rsid w:val="0EE2505A"/>
    <w:rsid w:val="0F152C78"/>
    <w:rsid w:val="0F547044"/>
    <w:rsid w:val="0F7A5300"/>
    <w:rsid w:val="0F7F4595"/>
    <w:rsid w:val="0FDA5EF9"/>
    <w:rsid w:val="100F5919"/>
    <w:rsid w:val="101F2E80"/>
    <w:rsid w:val="10BA4B7A"/>
    <w:rsid w:val="10C4159C"/>
    <w:rsid w:val="10E01064"/>
    <w:rsid w:val="10E63637"/>
    <w:rsid w:val="10EA1EE2"/>
    <w:rsid w:val="115B4B8E"/>
    <w:rsid w:val="1170063A"/>
    <w:rsid w:val="129E1F80"/>
    <w:rsid w:val="12D15108"/>
    <w:rsid w:val="134B2991"/>
    <w:rsid w:val="13581912"/>
    <w:rsid w:val="13D12EE6"/>
    <w:rsid w:val="14FC6DA4"/>
    <w:rsid w:val="15634011"/>
    <w:rsid w:val="158C17BA"/>
    <w:rsid w:val="15A1087C"/>
    <w:rsid w:val="15E45C7A"/>
    <w:rsid w:val="161D68B6"/>
    <w:rsid w:val="17147FED"/>
    <w:rsid w:val="171C58D9"/>
    <w:rsid w:val="17285513"/>
    <w:rsid w:val="18C4126B"/>
    <w:rsid w:val="18D41D00"/>
    <w:rsid w:val="193D2A49"/>
    <w:rsid w:val="19A514AB"/>
    <w:rsid w:val="19B07C28"/>
    <w:rsid w:val="19D11E91"/>
    <w:rsid w:val="1A5A1E87"/>
    <w:rsid w:val="1AF75928"/>
    <w:rsid w:val="1B6F1962"/>
    <w:rsid w:val="1B701236"/>
    <w:rsid w:val="1BA610EE"/>
    <w:rsid w:val="1C5B3C94"/>
    <w:rsid w:val="1DB16262"/>
    <w:rsid w:val="1DED3012"/>
    <w:rsid w:val="1E1467F1"/>
    <w:rsid w:val="1EED2ABE"/>
    <w:rsid w:val="1EFF4DAB"/>
    <w:rsid w:val="1F63358C"/>
    <w:rsid w:val="1FD03C17"/>
    <w:rsid w:val="20174376"/>
    <w:rsid w:val="203E4F3F"/>
    <w:rsid w:val="22DE32B2"/>
    <w:rsid w:val="22E10CA1"/>
    <w:rsid w:val="22FF35CB"/>
    <w:rsid w:val="231452A2"/>
    <w:rsid w:val="25AD37B3"/>
    <w:rsid w:val="2604539D"/>
    <w:rsid w:val="26051FFC"/>
    <w:rsid w:val="26094761"/>
    <w:rsid w:val="26301CEE"/>
    <w:rsid w:val="26A80F07"/>
    <w:rsid w:val="26B23532"/>
    <w:rsid w:val="26E06332"/>
    <w:rsid w:val="27D33FCE"/>
    <w:rsid w:val="28A86F9B"/>
    <w:rsid w:val="29143B49"/>
    <w:rsid w:val="291E6775"/>
    <w:rsid w:val="2A007C29"/>
    <w:rsid w:val="2A1F785D"/>
    <w:rsid w:val="2ACA70BC"/>
    <w:rsid w:val="2B073965"/>
    <w:rsid w:val="2B8F395A"/>
    <w:rsid w:val="2C572D9B"/>
    <w:rsid w:val="2CC17B44"/>
    <w:rsid w:val="2D145EC5"/>
    <w:rsid w:val="2E3E65DD"/>
    <w:rsid w:val="2EB9568B"/>
    <w:rsid w:val="2FA200FA"/>
    <w:rsid w:val="2FAF3D45"/>
    <w:rsid w:val="2FEF26AC"/>
    <w:rsid w:val="301E0E9D"/>
    <w:rsid w:val="30CB76F6"/>
    <w:rsid w:val="3127037B"/>
    <w:rsid w:val="318C4BC4"/>
    <w:rsid w:val="31B410AC"/>
    <w:rsid w:val="321D3867"/>
    <w:rsid w:val="329B0E37"/>
    <w:rsid w:val="329B2BE5"/>
    <w:rsid w:val="32F95B0A"/>
    <w:rsid w:val="336E3329"/>
    <w:rsid w:val="33770F5C"/>
    <w:rsid w:val="33810A75"/>
    <w:rsid w:val="346A6D13"/>
    <w:rsid w:val="34943D90"/>
    <w:rsid w:val="349D106C"/>
    <w:rsid w:val="357F1A33"/>
    <w:rsid w:val="35E44BE1"/>
    <w:rsid w:val="369D6F2B"/>
    <w:rsid w:val="37070849"/>
    <w:rsid w:val="37411FAD"/>
    <w:rsid w:val="37582A72"/>
    <w:rsid w:val="37BA3B0D"/>
    <w:rsid w:val="37C256AF"/>
    <w:rsid w:val="38105C68"/>
    <w:rsid w:val="38D66AFF"/>
    <w:rsid w:val="38F44DFD"/>
    <w:rsid w:val="39080F47"/>
    <w:rsid w:val="391E33E4"/>
    <w:rsid w:val="398D3D6A"/>
    <w:rsid w:val="399A1E48"/>
    <w:rsid w:val="39F25C4E"/>
    <w:rsid w:val="3A085004"/>
    <w:rsid w:val="3AA82343"/>
    <w:rsid w:val="3AEF7F72"/>
    <w:rsid w:val="3AF37A62"/>
    <w:rsid w:val="3B143FF1"/>
    <w:rsid w:val="3B203B31"/>
    <w:rsid w:val="3B9A181B"/>
    <w:rsid w:val="3C1E0B0E"/>
    <w:rsid w:val="3C7E7FA3"/>
    <w:rsid w:val="3DFF49EC"/>
    <w:rsid w:val="3E5F37F1"/>
    <w:rsid w:val="3E6E72FA"/>
    <w:rsid w:val="3EAD1CD6"/>
    <w:rsid w:val="40237C35"/>
    <w:rsid w:val="409A272E"/>
    <w:rsid w:val="41313092"/>
    <w:rsid w:val="41513EDC"/>
    <w:rsid w:val="41E55C2A"/>
    <w:rsid w:val="41F320F5"/>
    <w:rsid w:val="41FB544E"/>
    <w:rsid w:val="42930A70"/>
    <w:rsid w:val="42A258CA"/>
    <w:rsid w:val="42A752DA"/>
    <w:rsid w:val="438569A9"/>
    <w:rsid w:val="440E76BA"/>
    <w:rsid w:val="446948F1"/>
    <w:rsid w:val="447C2876"/>
    <w:rsid w:val="44C44324"/>
    <w:rsid w:val="44E30791"/>
    <w:rsid w:val="44EB17AA"/>
    <w:rsid w:val="454B66FF"/>
    <w:rsid w:val="457A48DC"/>
    <w:rsid w:val="45D13B14"/>
    <w:rsid w:val="45E0412E"/>
    <w:rsid w:val="46026DAB"/>
    <w:rsid w:val="46205494"/>
    <w:rsid w:val="46843C64"/>
    <w:rsid w:val="47AC4676"/>
    <w:rsid w:val="47B916EB"/>
    <w:rsid w:val="47BD4361"/>
    <w:rsid w:val="47C847BD"/>
    <w:rsid w:val="47FD3CCE"/>
    <w:rsid w:val="4825637C"/>
    <w:rsid w:val="487702BD"/>
    <w:rsid w:val="48DE698D"/>
    <w:rsid w:val="48E15588"/>
    <w:rsid w:val="48EC3C4A"/>
    <w:rsid w:val="49831044"/>
    <w:rsid w:val="4AA76173"/>
    <w:rsid w:val="4AB32D6A"/>
    <w:rsid w:val="4AF64A04"/>
    <w:rsid w:val="4B2903D3"/>
    <w:rsid w:val="4B320057"/>
    <w:rsid w:val="4B5A17FD"/>
    <w:rsid w:val="4BD6537C"/>
    <w:rsid w:val="4C7A0C09"/>
    <w:rsid w:val="4CFA58E4"/>
    <w:rsid w:val="4D3161C8"/>
    <w:rsid w:val="4E780FC3"/>
    <w:rsid w:val="4EB946C7"/>
    <w:rsid w:val="4ED60DD5"/>
    <w:rsid w:val="4EFB083B"/>
    <w:rsid w:val="4F64785F"/>
    <w:rsid w:val="4F9442B3"/>
    <w:rsid w:val="4FCD667C"/>
    <w:rsid w:val="4FD04A7C"/>
    <w:rsid w:val="501D58D1"/>
    <w:rsid w:val="515B3056"/>
    <w:rsid w:val="515C2381"/>
    <w:rsid w:val="51C07B1A"/>
    <w:rsid w:val="51C94C21"/>
    <w:rsid w:val="51D535C6"/>
    <w:rsid w:val="529671F9"/>
    <w:rsid w:val="52AF2069"/>
    <w:rsid w:val="52D63A99"/>
    <w:rsid w:val="53024A18"/>
    <w:rsid w:val="532A16EF"/>
    <w:rsid w:val="536F5BE2"/>
    <w:rsid w:val="53CE4770"/>
    <w:rsid w:val="54817A35"/>
    <w:rsid w:val="54A454D1"/>
    <w:rsid w:val="54EF2BF0"/>
    <w:rsid w:val="556C5FEF"/>
    <w:rsid w:val="557B06A5"/>
    <w:rsid w:val="563A7E9B"/>
    <w:rsid w:val="569107B7"/>
    <w:rsid w:val="57001BF4"/>
    <w:rsid w:val="571F6A41"/>
    <w:rsid w:val="573A0B50"/>
    <w:rsid w:val="57763155"/>
    <w:rsid w:val="586012E6"/>
    <w:rsid w:val="58982D68"/>
    <w:rsid w:val="58A837E2"/>
    <w:rsid w:val="58F80B9F"/>
    <w:rsid w:val="590B2334"/>
    <w:rsid w:val="59C36CBA"/>
    <w:rsid w:val="59F1552F"/>
    <w:rsid w:val="5A0031AA"/>
    <w:rsid w:val="5A013BC4"/>
    <w:rsid w:val="5A13112F"/>
    <w:rsid w:val="5A4F003A"/>
    <w:rsid w:val="5BC70EDD"/>
    <w:rsid w:val="5CDF179C"/>
    <w:rsid w:val="5CEF070C"/>
    <w:rsid w:val="5CF73483"/>
    <w:rsid w:val="5D3E4AC3"/>
    <w:rsid w:val="5D5201C0"/>
    <w:rsid w:val="5DD90C6C"/>
    <w:rsid w:val="5E323B4E"/>
    <w:rsid w:val="5EDD7C2F"/>
    <w:rsid w:val="5EE259C5"/>
    <w:rsid w:val="5F6C28C1"/>
    <w:rsid w:val="5F910587"/>
    <w:rsid w:val="5FC058B5"/>
    <w:rsid w:val="60964868"/>
    <w:rsid w:val="609E6B13"/>
    <w:rsid w:val="60A972A5"/>
    <w:rsid w:val="60B66CB8"/>
    <w:rsid w:val="62EF4BD2"/>
    <w:rsid w:val="632C14B3"/>
    <w:rsid w:val="635B58F5"/>
    <w:rsid w:val="63E87188"/>
    <w:rsid w:val="643A38E1"/>
    <w:rsid w:val="644A0D3B"/>
    <w:rsid w:val="64B57F8D"/>
    <w:rsid w:val="6532781A"/>
    <w:rsid w:val="65556AA0"/>
    <w:rsid w:val="656F1260"/>
    <w:rsid w:val="65A74E21"/>
    <w:rsid w:val="65D73F7A"/>
    <w:rsid w:val="66CD7FD8"/>
    <w:rsid w:val="6727621A"/>
    <w:rsid w:val="67545239"/>
    <w:rsid w:val="67566AFF"/>
    <w:rsid w:val="681658E6"/>
    <w:rsid w:val="6876507C"/>
    <w:rsid w:val="6892481D"/>
    <w:rsid w:val="68EE341D"/>
    <w:rsid w:val="690C3919"/>
    <w:rsid w:val="698433E2"/>
    <w:rsid w:val="69953551"/>
    <w:rsid w:val="69CF1E5C"/>
    <w:rsid w:val="69CF6807"/>
    <w:rsid w:val="69FF6FDA"/>
    <w:rsid w:val="6A0E36C1"/>
    <w:rsid w:val="6A8E65B0"/>
    <w:rsid w:val="6B225394"/>
    <w:rsid w:val="6B3B3E3F"/>
    <w:rsid w:val="6B826114"/>
    <w:rsid w:val="6C0C59DE"/>
    <w:rsid w:val="6C731F01"/>
    <w:rsid w:val="6CAC3E0C"/>
    <w:rsid w:val="6CBE13CE"/>
    <w:rsid w:val="6D195F0B"/>
    <w:rsid w:val="6D6A6E60"/>
    <w:rsid w:val="6DE94229"/>
    <w:rsid w:val="6E2635A3"/>
    <w:rsid w:val="6E8D72AA"/>
    <w:rsid w:val="6E957F0D"/>
    <w:rsid w:val="6EF462C4"/>
    <w:rsid w:val="6F5778B8"/>
    <w:rsid w:val="6F854425"/>
    <w:rsid w:val="6F946416"/>
    <w:rsid w:val="6FBD713F"/>
    <w:rsid w:val="6FC3011A"/>
    <w:rsid w:val="700D4CF7"/>
    <w:rsid w:val="70F80C27"/>
    <w:rsid w:val="715414DE"/>
    <w:rsid w:val="729606F7"/>
    <w:rsid w:val="729745F5"/>
    <w:rsid w:val="72DD00D4"/>
    <w:rsid w:val="73466F84"/>
    <w:rsid w:val="73612AB3"/>
    <w:rsid w:val="738670B1"/>
    <w:rsid w:val="73912EE4"/>
    <w:rsid w:val="73DD4830"/>
    <w:rsid w:val="75630D65"/>
    <w:rsid w:val="76103849"/>
    <w:rsid w:val="765406AD"/>
    <w:rsid w:val="76571F4C"/>
    <w:rsid w:val="766507CE"/>
    <w:rsid w:val="76B4739E"/>
    <w:rsid w:val="76FF4ABD"/>
    <w:rsid w:val="772434F7"/>
    <w:rsid w:val="77C13BBC"/>
    <w:rsid w:val="780350F4"/>
    <w:rsid w:val="78D9133E"/>
    <w:rsid w:val="79095095"/>
    <w:rsid w:val="793A6280"/>
    <w:rsid w:val="7A57071F"/>
    <w:rsid w:val="7A7E3F4B"/>
    <w:rsid w:val="7ADA773F"/>
    <w:rsid w:val="7B44085E"/>
    <w:rsid w:val="7B861D51"/>
    <w:rsid w:val="7C25519A"/>
    <w:rsid w:val="7C3E1BE4"/>
    <w:rsid w:val="7C507B69"/>
    <w:rsid w:val="7C7F5263"/>
    <w:rsid w:val="7D140B97"/>
    <w:rsid w:val="7D24000F"/>
    <w:rsid w:val="7D254A84"/>
    <w:rsid w:val="7D40500C"/>
    <w:rsid w:val="7D441C2B"/>
    <w:rsid w:val="7DA1304F"/>
    <w:rsid w:val="7E01111B"/>
    <w:rsid w:val="7E8607EA"/>
    <w:rsid w:val="7EF649F8"/>
    <w:rsid w:val="7F83196D"/>
    <w:rsid w:val="7F945FBF"/>
    <w:rsid w:val="7F985AAF"/>
    <w:rsid w:val="7FBF013E"/>
    <w:rsid w:val="7FF714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utoSpaceDE w:val="0"/>
      <w:autoSpaceDN w:val="0"/>
    </w:pPr>
    <w:rPr>
      <w:rFonts w:ascii="仿宋" w:hAnsi="仿宋" w:eastAsia="仿宋" w:cs="仿宋"/>
      <w:sz w:val="22"/>
      <w:szCs w:val="22"/>
      <w:lang w:val="zh-TW" w:eastAsia="zh-TW" w:bidi="zh-TW"/>
    </w:rPr>
  </w:style>
  <w:style w:type="paragraph" w:styleId="2">
    <w:name w:val="heading 1"/>
    <w:basedOn w:val="1"/>
    <w:next w:val="1"/>
    <w:link w:val="51"/>
    <w:qFormat/>
    <w:uiPriority w:val="9"/>
    <w:pPr>
      <w:numPr>
        <w:ilvl w:val="0"/>
        <w:numId w:val="1"/>
      </w:numPr>
      <w:spacing w:before="63"/>
      <w:outlineLvl w:val="0"/>
    </w:pPr>
    <w:rPr>
      <w:rFonts w:ascii="黑体" w:hAnsi="黑体" w:eastAsia="黑体" w:cs="黑体"/>
      <w:b/>
      <w:sz w:val="36"/>
      <w:szCs w:val="36"/>
    </w:rPr>
  </w:style>
  <w:style w:type="paragraph" w:styleId="3">
    <w:name w:val="heading 2"/>
    <w:basedOn w:val="1"/>
    <w:next w:val="1"/>
    <w:link w:val="38"/>
    <w:unhideWhenUsed/>
    <w:qFormat/>
    <w:uiPriority w:val="9"/>
    <w:pPr>
      <w:keepNext/>
      <w:keepLines/>
      <w:spacing w:before="260" w:line="360" w:lineRule="auto"/>
      <w:outlineLvl w:val="1"/>
    </w:pPr>
    <w:rPr>
      <w:rFonts w:asciiTheme="majorHAnsi" w:hAnsiTheme="majorHAnsi" w:eastAsiaTheme="majorEastAsia" w:cstheme="majorBidi"/>
      <w:bCs/>
      <w:sz w:val="32"/>
      <w:szCs w:val="32"/>
    </w:rPr>
  </w:style>
  <w:style w:type="paragraph" w:styleId="4">
    <w:name w:val="heading 3"/>
    <w:basedOn w:val="1"/>
    <w:next w:val="1"/>
    <w:link w:val="39"/>
    <w:unhideWhenUsed/>
    <w:qFormat/>
    <w:uiPriority w:val="9"/>
    <w:pPr>
      <w:keepNext/>
      <w:keepLines/>
      <w:numPr>
        <w:ilvl w:val="2"/>
        <w:numId w:val="1"/>
      </w:numPr>
      <w:spacing w:before="120" w:line="360" w:lineRule="auto"/>
      <w:outlineLvl w:val="2"/>
    </w:pPr>
    <w:rPr>
      <w:rFonts w:eastAsia="黑体"/>
      <w:b/>
      <w:bCs/>
      <w:sz w:val="28"/>
      <w:szCs w:val="32"/>
    </w:rPr>
  </w:style>
  <w:style w:type="paragraph" w:styleId="5">
    <w:name w:val="heading 4"/>
    <w:basedOn w:val="1"/>
    <w:next w:val="1"/>
    <w:link w:val="40"/>
    <w:unhideWhenUsed/>
    <w:qFormat/>
    <w:uiPriority w:val="9"/>
    <w:pPr>
      <w:keepNext/>
      <w:keepLines/>
      <w:numPr>
        <w:ilvl w:val="3"/>
        <w:numId w:val="1"/>
      </w:numPr>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41"/>
    <w:unhideWhenUsed/>
    <w:qFormat/>
    <w:uiPriority w:val="9"/>
    <w:pPr>
      <w:keepNext/>
      <w:keepLines/>
      <w:numPr>
        <w:ilvl w:val="4"/>
        <w:numId w:val="1"/>
      </w:numPr>
      <w:spacing w:before="280" w:after="290" w:line="376" w:lineRule="auto"/>
      <w:outlineLvl w:val="4"/>
    </w:pPr>
    <w:rPr>
      <w:b/>
      <w:bCs/>
      <w:sz w:val="28"/>
      <w:szCs w:val="28"/>
    </w:rPr>
  </w:style>
  <w:style w:type="paragraph" w:styleId="7">
    <w:name w:val="heading 6"/>
    <w:basedOn w:val="1"/>
    <w:next w:val="1"/>
    <w:link w:val="42"/>
    <w:semiHidden/>
    <w:unhideWhenUsed/>
    <w:qFormat/>
    <w:uiPriority w:val="9"/>
    <w:pPr>
      <w:keepNext/>
      <w:keepLines/>
      <w:numPr>
        <w:ilvl w:val="5"/>
        <w:numId w:val="1"/>
      </w:numPr>
      <w:spacing w:before="240" w:after="64" w:line="320" w:lineRule="auto"/>
      <w:outlineLvl w:val="5"/>
    </w:pPr>
    <w:rPr>
      <w:rFonts w:asciiTheme="majorHAnsi" w:hAnsiTheme="majorHAnsi" w:eastAsiaTheme="majorEastAsia" w:cstheme="majorBidi"/>
      <w:b/>
      <w:bCs/>
      <w:sz w:val="24"/>
      <w:szCs w:val="24"/>
    </w:rPr>
  </w:style>
  <w:style w:type="paragraph" w:styleId="8">
    <w:name w:val="heading 7"/>
    <w:basedOn w:val="1"/>
    <w:next w:val="1"/>
    <w:link w:val="43"/>
    <w:semiHidden/>
    <w:unhideWhenUsed/>
    <w:qFormat/>
    <w:uiPriority w:val="9"/>
    <w:pPr>
      <w:keepNext/>
      <w:keepLines/>
      <w:numPr>
        <w:ilvl w:val="6"/>
        <w:numId w:val="1"/>
      </w:numPr>
      <w:spacing w:before="240" w:after="64" w:line="320" w:lineRule="auto"/>
      <w:outlineLvl w:val="6"/>
    </w:pPr>
    <w:rPr>
      <w:b/>
      <w:bCs/>
      <w:sz w:val="24"/>
      <w:szCs w:val="24"/>
    </w:rPr>
  </w:style>
  <w:style w:type="paragraph" w:styleId="9">
    <w:name w:val="heading 8"/>
    <w:basedOn w:val="1"/>
    <w:next w:val="1"/>
    <w:link w:val="44"/>
    <w:semiHidden/>
    <w:unhideWhenUsed/>
    <w:qFormat/>
    <w:uiPriority w:val="9"/>
    <w:pPr>
      <w:keepNext/>
      <w:keepLines/>
      <w:numPr>
        <w:ilvl w:val="7"/>
        <w:numId w:val="1"/>
      </w:numPr>
      <w:spacing w:before="240" w:after="64" w:line="320" w:lineRule="auto"/>
      <w:outlineLvl w:val="7"/>
    </w:pPr>
    <w:rPr>
      <w:rFonts w:asciiTheme="majorHAnsi" w:hAnsiTheme="majorHAnsi" w:eastAsiaTheme="majorEastAsia" w:cstheme="majorBidi"/>
      <w:sz w:val="24"/>
      <w:szCs w:val="24"/>
    </w:rPr>
  </w:style>
  <w:style w:type="paragraph" w:styleId="10">
    <w:name w:val="heading 9"/>
    <w:basedOn w:val="1"/>
    <w:next w:val="1"/>
    <w:link w:val="45"/>
    <w:semiHidden/>
    <w:unhideWhenUsed/>
    <w:qFormat/>
    <w:uiPriority w:val="9"/>
    <w:pPr>
      <w:keepNext/>
      <w:keepLines/>
      <w:numPr>
        <w:ilvl w:val="8"/>
        <w:numId w:val="1"/>
      </w:numPr>
      <w:spacing w:before="240" w:after="64" w:line="320" w:lineRule="auto"/>
      <w:outlineLvl w:val="8"/>
    </w:pPr>
    <w:rPr>
      <w:rFonts w:asciiTheme="majorHAnsi" w:hAnsiTheme="majorHAnsi" w:eastAsiaTheme="majorEastAsia" w:cstheme="majorBidi"/>
      <w:sz w:val="21"/>
      <w:szCs w:val="21"/>
    </w:rPr>
  </w:style>
  <w:style w:type="character" w:default="1" w:styleId="29">
    <w:name w:val="Default Paragraph Font"/>
    <w:semiHidden/>
    <w:unhideWhenUsed/>
    <w:qFormat/>
    <w:uiPriority w:val="1"/>
  </w:style>
  <w:style w:type="table" w:default="1" w:styleId="27">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unhideWhenUsed/>
    <w:qFormat/>
    <w:uiPriority w:val="39"/>
    <w:pPr>
      <w:ind w:left="1320"/>
    </w:pPr>
    <w:rPr>
      <w:rFonts w:asciiTheme="minorHAnsi" w:hAnsiTheme="minorHAnsi" w:cstheme="minorHAnsi"/>
      <w:sz w:val="18"/>
      <w:szCs w:val="18"/>
    </w:rPr>
  </w:style>
  <w:style w:type="paragraph" w:styleId="12">
    <w:name w:val="annotation text"/>
    <w:basedOn w:val="1"/>
    <w:link w:val="58"/>
    <w:semiHidden/>
    <w:unhideWhenUsed/>
    <w:qFormat/>
    <w:uiPriority w:val="99"/>
  </w:style>
  <w:style w:type="paragraph" w:styleId="13">
    <w:name w:val="Body Text"/>
    <w:basedOn w:val="1"/>
    <w:link w:val="49"/>
    <w:qFormat/>
    <w:uiPriority w:val="1"/>
    <w:pPr>
      <w:spacing w:before="50" w:beforeLines="50" w:line="312" w:lineRule="auto"/>
      <w:ind w:left="50" w:leftChars="50" w:right="50" w:rightChars="50" w:firstLine="200" w:firstLineChars="200"/>
      <w:jc w:val="both"/>
    </w:pPr>
    <w:rPr>
      <w:sz w:val="32"/>
      <w:szCs w:val="32"/>
    </w:rPr>
  </w:style>
  <w:style w:type="paragraph" w:styleId="14">
    <w:name w:val="toc 5"/>
    <w:basedOn w:val="1"/>
    <w:next w:val="1"/>
    <w:unhideWhenUsed/>
    <w:qFormat/>
    <w:uiPriority w:val="39"/>
    <w:pPr>
      <w:ind w:left="880"/>
    </w:pPr>
    <w:rPr>
      <w:rFonts w:asciiTheme="minorHAnsi" w:hAnsiTheme="minorHAnsi" w:cstheme="minorHAnsi"/>
      <w:sz w:val="18"/>
      <w:szCs w:val="18"/>
    </w:rPr>
  </w:style>
  <w:style w:type="paragraph" w:styleId="15">
    <w:name w:val="toc 3"/>
    <w:basedOn w:val="1"/>
    <w:next w:val="1"/>
    <w:unhideWhenUsed/>
    <w:qFormat/>
    <w:uiPriority w:val="39"/>
    <w:pPr>
      <w:ind w:left="440"/>
    </w:pPr>
    <w:rPr>
      <w:rFonts w:asciiTheme="minorHAnsi" w:hAnsiTheme="minorHAnsi" w:cstheme="minorHAnsi"/>
      <w:i/>
      <w:iCs/>
      <w:sz w:val="20"/>
      <w:szCs w:val="20"/>
    </w:rPr>
  </w:style>
  <w:style w:type="paragraph" w:styleId="16">
    <w:name w:val="toc 8"/>
    <w:basedOn w:val="1"/>
    <w:next w:val="1"/>
    <w:unhideWhenUsed/>
    <w:qFormat/>
    <w:uiPriority w:val="39"/>
    <w:pPr>
      <w:ind w:left="1540"/>
    </w:pPr>
    <w:rPr>
      <w:rFonts w:asciiTheme="minorHAnsi" w:hAnsiTheme="minorHAnsi" w:cstheme="minorHAnsi"/>
      <w:sz w:val="18"/>
      <w:szCs w:val="18"/>
    </w:rPr>
  </w:style>
  <w:style w:type="paragraph" w:styleId="17">
    <w:name w:val="footer"/>
    <w:basedOn w:val="1"/>
    <w:link w:val="37"/>
    <w:unhideWhenUsed/>
    <w:qFormat/>
    <w:uiPriority w:val="99"/>
    <w:pPr>
      <w:tabs>
        <w:tab w:val="center" w:pos="4153"/>
        <w:tab w:val="right" w:pos="8306"/>
      </w:tabs>
      <w:snapToGrid w:val="0"/>
    </w:pPr>
    <w:rPr>
      <w:sz w:val="18"/>
      <w:szCs w:val="18"/>
    </w:rPr>
  </w:style>
  <w:style w:type="paragraph" w:styleId="18">
    <w:name w:val="header"/>
    <w:basedOn w:val="1"/>
    <w:link w:val="36"/>
    <w:unhideWhenUsed/>
    <w:qFormat/>
    <w:uiPriority w:val="99"/>
    <w:pPr>
      <w:pBdr>
        <w:bottom w:val="single" w:color="auto" w:sz="6" w:space="1"/>
      </w:pBdr>
      <w:tabs>
        <w:tab w:val="center" w:pos="4153"/>
        <w:tab w:val="right" w:pos="8306"/>
      </w:tabs>
      <w:snapToGrid w:val="0"/>
      <w:jc w:val="center"/>
    </w:pPr>
    <w:rPr>
      <w:sz w:val="18"/>
      <w:szCs w:val="18"/>
    </w:rPr>
  </w:style>
  <w:style w:type="paragraph" w:styleId="19">
    <w:name w:val="toc 1"/>
    <w:basedOn w:val="1"/>
    <w:next w:val="1"/>
    <w:qFormat/>
    <w:uiPriority w:val="39"/>
    <w:pPr>
      <w:spacing w:before="120" w:after="120"/>
    </w:pPr>
    <w:rPr>
      <w:rFonts w:asciiTheme="minorHAnsi" w:hAnsiTheme="minorHAnsi" w:cstheme="minorHAnsi"/>
      <w:b/>
      <w:bCs/>
      <w:caps/>
      <w:sz w:val="20"/>
      <w:szCs w:val="20"/>
    </w:rPr>
  </w:style>
  <w:style w:type="paragraph" w:styleId="20">
    <w:name w:val="toc 4"/>
    <w:basedOn w:val="1"/>
    <w:next w:val="1"/>
    <w:unhideWhenUsed/>
    <w:qFormat/>
    <w:uiPriority w:val="39"/>
    <w:pPr>
      <w:ind w:left="660"/>
    </w:pPr>
    <w:rPr>
      <w:rFonts w:asciiTheme="minorHAnsi" w:hAnsiTheme="minorHAnsi" w:cstheme="minorHAnsi"/>
      <w:sz w:val="18"/>
      <w:szCs w:val="18"/>
    </w:rPr>
  </w:style>
  <w:style w:type="paragraph" w:styleId="21">
    <w:name w:val="toc 6"/>
    <w:basedOn w:val="1"/>
    <w:next w:val="1"/>
    <w:unhideWhenUsed/>
    <w:qFormat/>
    <w:uiPriority w:val="39"/>
    <w:pPr>
      <w:ind w:left="1100"/>
    </w:pPr>
    <w:rPr>
      <w:rFonts w:asciiTheme="minorHAnsi" w:hAnsiTheme="minorHAnsi" w:cstheme="minorHAnsi"/>
      <w:sz w:val="18"/>
      <w:szCs w:val="18"/>
    </w:rPr>
  </w:style>
  <w:style w:type="paragraph" w:styleId="22">
    <w:name w:val="toc 2"/>
    <w:basedOn w:val="1"/>
    <w:next w:val="1"/>
    <w:qFormat/>
    <w:uiPriority w:val="39"/>
    <w:pPr>
      <w:ind w:left="220"/>
    </w:pPr>
    <w:rPr>
      <w:rFonts w:asciiTheme="minorHAnsi" w:hAnsiTheme="minorHAnsi" w:cstheme="minorHAnsi"/>
      <w:smallCaps/>
      <w:sz w:val="20"/>
      <w:szCs w:val="20"/>
    </w:rPr>
  </w:style>
  <w:style w:type="paragraph" w:styleId="23">
    <w:name w:val="toc 9"/>
    <w:basedOn w:val="1"/>
    <w:next w:val="1"/>
    <w:unhideWhenUsed/>
    <w:qFormat/>
    <w:uiPriority w:val="39"/>
    <w:pPr>
      <w:ind w:left="1760"/>
    </w:pPr>
    <w:rPr>
      <w:rFonts w:asciiTheme="minorHAnsi" w:hAnsiTheme="minorHAnsi" w:cstheme="minorHAnsi"/>
      <w:sz w:val="18"/>
      <w:szCs w:val="18"/>
    </w:rPr>
  </w:style>
  <w:style w:type="paragraph" w:styleId="24">
    <w:name w:val="Normal (Web)"/>
    <w:basedOn w:val="1"/>
    <w:semiHidden/>
    <w:unhideWhenUsed/>
    <w:qFormat/>
    <w:uiPriority w:val="99"/>
    <w:pPr>
      <w:spacing w:beforeAutospacing="1" w:afterAutospacing="1"/>
    </w:pPr>
    <w:rPr>
      <w:rFonts w:cs="Times New Roman"/>
      <w:sz w:val="24"/>
      <w:lang w:val="en-US" w:eastAsia="zh-CN" w:bidi="ar-SA"/>
    </w:rPr>
  </w:style>
  <w:style w:type="paragraph" w:styleId="25">
    <w:name w:val="Title"/>
    <w:basedOn w:val="1"/>
    <w:next w:val="1"/>
    <w:qFormat/>
    <w:uiPriority w:val="10"/>
    <w:pPr>
      <w:widowControl/>
      <w:spacing w:before="312" w:beforeLines="100" w:after="312" w:afterLines="100" w:line="560" w:lineRule="exact"/>
      <w:jc w:val="center"/>
    </w:pPr>
    <w:rPr>
      <w:rFonts w:ascii="华光大标宋_CNKI" w:hAnsi="华光大标宋_CNKI" w:eastAsia="方正小标宋_GBK"/>
      <w:sz w:val="36"/>
      <w:szCs w:val="40"/>
    </w:rPr>
  </w:style>
  <w:style w:type="paragraph" w:styleId="26">
    <w:name w:val="annotation subject"/>
    <w:basedOn w:val="12"/>
    <w:next w:val="12"/>
    <w:link w:val="59"/>
    <w:semiHidden/>
    <w:unhideWhenUsed/>
    <w:qFormat/>
    <w:uiPriority w:val="99"/>
    <w:rPr>
      <w:b/>
      <w:bCs/>
    </w:rPr>
  </w:style>
  <w:style w:type="table" w:styleId="28">
    <w:name w:val="Table Grid"/>
    <w:basedOn w:val="2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0">
    <w:name w:val="FollowedHyperlink"/>
    <w:basedOn w:val="29"/>
    <w:semiHidden/>
    <w:unhideWhenUsed/>
    <w:qFormat/>
    <w:uiPriority w:val="99"/>
    <w:rPr>
      <w:color w:val="800080" w:themeColor="followedHyperlink"/>
      <w:u w:val="single"/>
      <w14:textFill>
        <w14:solidFill>
          <w14:schemeClr w14:val="folHlink"/>
        </w14:solidFill>
      </w14:textFill>
    </w:rPr>
  </w:style>
  <w:style w:type="character" w:styleId="31">
    <w:name w:val="Hyperlink"/>
    <w:basedOn w:val="29"/>
    <w:unhideWhenUsed/>
    <w:qFormat/>
    <w:uiPriority w:val="99"/>
    <w:rPr>
      <w:color w:val="0000FF" w:themeColor="hyperlink"/>
      <w:u w:val="single"/>
      <w14:textFill>
        <w14:solidFill>
          <w14:schemeClr w14:val="hlink"/>
        </w14:solidFill>
      </w14:textFill>
    </w:rPr>
  </w:style>
  <w:style w:type="character" w:styleId="32">
    <w:name w:val="annotation reference"/>
    <w:basedOn w:val="29"/>
    <w:semiHidden/>
    <w:unhideWhenUsed/>
    <w:qFormat/>
    <w:uiPriority w:val="99"/>
    <w:rPr>
      <w:sz w:val="21"/>
      <w:szCs w:val="21"/>
    </w:rPr>
  </w:style>
  <w:style w:type="paragraph" w:styleId="33">
    <w:name w:val="List Paragraph"/>
    <w:basedOn w:val="1"/>
    <w:qFormat/>
    <w:uiPriority w:val="34"/>
  </w:style>
  <w:style w:type="table" w:customStyle="1" w:styleId="34">
    <w:name w:val="Table Normal"/>
    <w:semiHidden/>
    <w:unhideWhenUsed/>
    <w:qFormat/>
    <w:uiPriority w:val="2"/>
    <w:tblPr>
      <w:tblCellMar>
        <w:top w:w="0" w:type="dxa"/>
        <w:left w:w="0" w:type="dxa"/>
        <w:bottom w:w="0" w:type="dxa"/>
        <w:right w:w="0" w:type="dxa"/>
      </w:tblCellMar>
    </w:tblPr>
  </w:style>
  <w:style w:type="paragraph" w:customStyle="1" w:styleId="35">
    <w:name w:val="Table Paragraph"/>
    <w:basedOn w:val="1"/>
    <w:qFormat/>
    <w:uiPriority w:val="1"/>
  </w:style>
  <w:style w:type="character" w:customStyle="1" w:styleId="36">
    <w:name w:val="页眉 字符"/>
    <w:basedOn w:val="29"/>
    <w:link w:val="18"/>
    <w:qFormat/>
    <w:uiPriority w:val="99"/>
    <w:rPr>
      <w:rFonts w:ascii="仿宋" w:hAnsi="仿宋" w:eastAsia="仿宋" w:cs="仿宋"/>
      <w:sz w:val="18"/>
      <w:szCs w:val="18"/>
      <w:lang w:val="zh-TW" w:eastAsia="zh-TW" w:bidi="zh-TW"/>
    </w:rPr>
  </w:style>
  <w:style w:type="character" w:customStyle="1" w:styleId="37">
    <w:name w:val="页脚 字符"/>
    <w:basedOn w:val="29"/>
    <w:link w:val="17"/>
    <w:qFormat/>
    <w:uiPriority w:val="99"/>
    <w:rPr>
      <w:rFonts w:ascii="仿宋" w:hAnsi="仿宋" w:eastAsia="仿宋" w:cs="仿宋"/>
      <w:sz w:val="18"/>
      <w:szCs w:val="18"/>
      <w:lang w:val="zh-TW" w:eastAsia="zh-TW" w:bidi="zh-TW"/>
    </w:rPr>
  </w:style>
  <w:style w:type="character" w:customStyle="1" w:styleId="38">
    <w:name w:val="标题 2 字符"/>
    <w:basedOn w:val="29"/>
    <w:link w:val="3"/>
    <w:qFormat/>
    <w:uiPriority w:val="9"/>
    <w:rPr>
      <w:rFonts w:asciiTheme="majorHAnsi" w:hAnsiTheme="majorHAnsi" w:eastAsiaTheme="majorEastAsia" w:cstheme="majorBidi"/>
      <w:b/>
      <w:bCs/>
      <w:sz w:val="32"/>
      <w:szCs w:val="32"/>
      <w:lang w:val="zh-TW" w:eastAsia="zh-TW" w:bidi="zh-TW"/>
    </w:rPr>
  </w:style>
  <w:style w:type="character" w:customStyle="1" w:styleId="39">
    <w:name w:val="标题 3 字符"/>
    <w:basedOn w:val="29"/>
    <w:link w:val="4"/>
    <w:qFormat/>
    <w:uiPriority w:val="9"/>
    <w:rPr>
      <w:rFonts w:ascii="仿宋" w:hAnsi="仿宋" w:eastAsia="黑体" w:cs="仿宋"/>
      <w:b/>
      <w:bCs/>
      <w:sz w:val="28"/>
      <w:szCs w:val="32"/>
      <w:lang w:val="zh-TW" w:eastAsia="zh-TW" w:bidi="zh-TW"/>
    </w:rPr>
  </w:style>
  <w:style w:type="character" w:customStyle="1" w:styleId="40">
    <w:name w:val="标题 4 字符"/>
    <w:basedOn w:val="29"/>
    <w:link w:val="5"/>
    <w:qFormat/>
    <w:uiPriority w:val="9"/>
    <w:rPr>
      <w:rFonts w:asciiTheme="majorHAnsi" w:hAnsiTheme="majorHAnsi" w:eastAsiaTheme="majorEastAsia" w:cstheme="majorBidi"/>
      <w:b/>
      <w:bCs/>
      <w:sz w:val="28"/>
      <w:szCs w:val="28"/>
      <w:lang w:val="zh-TW" w:eastAsia="zh-TW" w:bidi="zh-TW"/>
    </w:rPr>
  </w:style>
  <w:style w:type="character" w:customStyle="1" w:styleId="41">
    <w:name w:val="标题 5 字符"/>
    <w:basedOn w:val="29"/>
    <w:link w:val="6"/>
    <w:qFormat/>
    <w:uiPriority w:val="9"/>
    <w:rPr>
      <w:rFonts w:ascii="仿宋" w:hAnsi="仿宋" w:eastAsia="仿宋" w:cs="仿宋"/>
      <w:b/>
      <w:bCs/>
      <w:sz w:val="28"/>
      <w:szCs w:val="28"/>
      <w:lang w:val="zh-TW" w:eastAsia="zh-TW" w:bidi="zh-TW"/>
    </w:rPr>
  </w:style>
  <w:style w:type="character" w:customStyle="1" w:styleId="42">
    <w:name w:val="标题 6 字符"/>
    <w:basedOn w:val="29"/>
    <w:link w:val="7"/>
    <w:semiHidden/>
    <w:qFormat/>
    <w:uiPriority w:val="9"/>
    <w:rPr>
      <w:rFonts w:asciiTheme="majorHAnsi" w:hAnsiTheme="majorHAnsi" w:eastAsiaTheme="majorEastAsia" w:cstheme="majorBidi"/>
      <w:b/>
      <w:bCs/>
      <w:sz w:val="24"/>
      <w:szCs w:val="24"/>
      <w:lang w:val="zh-TW" w:eastAsia="zh-TW" w:bidi="zh-TW"/>
    </w:rPr>
  </w:style>
  <w:style w:type="character" w:customStyle="1" w:styleId="43">
    <w:name w:val="标题 7 字符"/>
    <w:basedOn w:val="29"/>
    <w:link w:val="8"/>
    <w:semiHidden/>
    <w:qFormat/>
    <w:uiPriority w:val="9"/>
    <w:rPr>
      <w:rFonts w:ascii="仿宋" w:hAnsi="仿宋" w:eastAsia="仿宋" w:cs="仿宋"/>
      <w:b/>
      <w:bCs/>
      <w:sz w:val="24"/>
      <w:szCs w:val="24"/>
      <w:lang w:val="zh-TW" w:eastAsia="zh-TW" w:bidi="zh-TW"/>
    </w:rPr>
  </w:style>
  <w:style w:type="character" w:customStyle="1" w:styleId="44">
    <w:name w:val="标题 8 字符"/>
    <w:basedOn w:val="29"/>
    <w:link w:val="9"/>
    <w:semiHidden/>
    <w:qFormat/>
    <w:uiPriority w:val="9"/>
    <w:rPr>
      <w:rFonts w:asciiTheme="majorHAnsi" w:hAnsiTheme="majorHAnsi" w:eastAsiaTheme="majorEastAsia" w:cstheme="majorBidi"/>
      <w:sz w:val="24"/>
      <w:szCs w:val="24"/>
      <w:lang w:val="zh-TW" w:eastAsia="zh-TW" w:bidi="zh-TW"/>
    </w:rPr>
  </w:style>
  <w:style w:type="character" w:customStyle="1" w:styleId="45">
    <w:name w:val="标题 9 字符"/>
    <w:basedOn w:val="29"/>
    <w:link w:val="10"/>
    <w:semiHidden/>
    <w:qFormat/>
    <w:uiPriority w:val="9"/>
    <w:rPr>
      <w:rFonts w:asciiTheme="majorHAnsi" w:hAnsiTheme="majorHAnsi" w:eastAsiaTheme="majorEastAsia" w:cstheme="majorBidi"/>
      <w:sz w:val="21"/>
      <w:szCs w:val="21"/>
      <w:lang w:val="zh-TW" w:eastAsia="zh-TW" w:bidi="zh-TW"/>
    </w:rPr>
  </w:style>
  <w:style w:type="paragraph" w:customStyle="1" w:styleId="46">
    <w:name w:val="样式1"/>
    <w:basedOn w:val="4"/>
    <w:link w:val="48"/>
    <w:qFormat/>
    <w:uiPriority w:val="0"/>
    <w:pPr>
      <w:numPr>
        <w:ilvl w:val="0"/>
        <w:numId w:val="2"/>
      </w:numPr>
      <w:spacing w:line="312" w:lineRule="auto"/>
    </w:pPr>
  </w:style>
  <w:style w:type="paragraph" w:customStyle="1" w:styleId="47">
    <w:name w:val="样式2"/>
    <w:basedOn w:val="4"/>
    <w:link w:val="50"/>
    <w:qFormat/>
    <w:uiPriority w:val="0"/>
    <w:pPr>
      <w:numPr>
        <w:ilvl w:val="0"/>
        <w:numId w:val="3"/>
      </w:numPr>
    </w:pPr>
  </w:style>
  <w:style w:type="character" w:customStyle="1" w:styleId="48">
    <w:name w:val="样式1 字符"/>
    <w:basedOn w:val="39"/>
    <w:link w:val="46"/>
    <w:qFormat/>
    <w:uiPriority w:val="0"/>
    <w:rPr>
      <w:rFonts w:ascii="仿宋" w:hAnsi="仿宋" w:eastAsia="黑体" w:cs="仿宋"/>
      <w:sz w:val="28"/>
      <w:szCs w:val="32"/>
      <w:lang w:val="zh-TW" w:eastAsia="zh-TW" w:bidi="zh-TW"/>
    </w:rPr>
  </w:style>
  <w:style w:type="character" w:customStyle="1" w:styleId="49">
    <w:name w:val="正文文本 字符"/>
    <w:basedOn w:val="29"/>
    <w:link w:val="13"/>
    <w:qFormat/>
    <w:uiPriority w:val="99"/>
    <w:rPr>
      <w:rFonts w:ascii="仿宋" w:hAnsi="仿宋" w:eastAsia="仿宋" w:cs="仿宋"/>
      <w:sz w:val="32"/>
      <w:szCs w:val="32"/>
      <w:lang w:val="zh-TW" w:eastAsia="zh-TW" w:bidi="zh-TW"/>
    </w:rPr>
  </w:style>
  <w:style w:type="character" w:customStyle="1" w:styleId="50">
    <w:name w:val="样式2 字符"/>
    <w:basedOn w:val="39"/>
    <w:link w:val="47"/>
    <w:qFormat/>
    <w:uiPriority w:val="0"/>
    <w:rPr>
      <w:rFonts w:ascii="仿宋" w:hAnsi="仿宋" w:eastAsia="黑体" w:cs="仿宋"/>
      <w:sz w:val="28"/>
      <w:szCs w:val="32"/>
      <w:lang w:val="zh-TW" w:eastAsia="zh-TW" w:bidi="zh-TW"/>
    </w:rPr>
  </w:style>
  <w:style w:type="character" w:customStyle="1" w:styleId="51">
    <w:name w:val="标题 1 字符"/>
    <w:basedOn w:val="29"/>
    <w:link w:val="2"/>
    <w:qFormat/>
    <w:uiPriority w:val="9"/>
    <w:rPr>
      <w:rFonts w:ascii="黑体" w:hAnsi="黑体" w:eastAsia="黑体" w:cs="黑体"/>
      <w:b/>
      <w:sz w:val="36"/>
      <w:szCs w:val="36"/>
      <w:lang w:val="zh-TW" w:eastAsia="zh-TW" w:bidi="zh-TW"/>
    </w:rPr>
  </w:style>
  <w:style w:type="paragraph" w:customStyle="1" w:styleId="52">
    <w:name w:val="专栏标题"/>
    <w:basedOn w:val="1"/>
    <w:link w:val="54"/>
    <w:qFormat/>
    <w:uiPriority w:val="0"/>
    <w:pPr>
      <w:autoSpaceDE/>
      <w:autoSpaceDN/>
      <w:spacing w:before="48" w:after="20" w:afterLines="20"/>
      <w:jc w:val="center"/>
    </w:pPr>
    <w:rPr>
      <w:rFonts w:ascii="Times New Roman" w:hAnsi="Times New Roman" w:eastAsia="黑体" w:cs="Times New Roman"/>
      <w:bCs/>
      <w:sz w:val="30"/>
      <w:szCs w:val="28"/>
      <w:lang w:val="en-US" w:eastAsia="zh-CN" w:bidi="ar-SA"/>
    </w:rPr>
  </w:style>
  <w:style w:type="paragraph" w:customStyle="1" w:styleId="53">
    <w:name w:val="专栏正文"/>
    <w:basedOn w:val="1"/>
    <w:link w:val="55"/>
    <w:qFormat/>
    <w:uiPriority w:val="0"/>
    <w:pPr>
      <w:autoSpaceDE/>
      <w:autoSpaceDN/>
      <w:adjustRightInd w:val="0"/>
      <w:snapToGrid w:val="0"/>
      <w:spacing w:before="48" w:line="500" w:lineRule="exact"/>
      <w:ind w:firstLine="200" w:firstLineChars="200"/>
      <w:jc w:val="both"/>
    </w:pPr>
    <w:rPr>
      <w:rFonts w:ascii="Times New Roman" w:hAnsi="Times New Roman" w:eastAsia="仿宋_GB2312" w:cs="Times New Roman"/>
      <w:sz w:val="24"/>
      <w:szCs w:val="28"/>
      <w:lang w:val="en-US" w:eastAsia="zh-CN" w:bidi="ar-SA"/>
    </w:rPr>
  </w:style>
  <w:style w:type="character" w:customStyle="1" w:styleId="54">
    <w:name w:val="专栏标题 字符"/>
    <w:basedOn w:val="29"/>
    <w:link w:val="52"/>
    <w:qFormat/>
    <w:uiPriority w:val="0"/>
    <w:rPr>
      <w:rFonts w:ascii="Times New Roman" w:hAnsi="Times New Roman" w:eastAsia="黑体" w:cs="Times New Roman"/>
      <w:bCs/>
      <w:sz w:val="30"/>
      <w:szCs w:val="28"/>
      <w:lang w:eastAsia="zh-CN"/>
    </w:rPr>
  </w:style>
  <w:style w:type="character" w:customStyle="1" w:styleId="55">
    <w:name w:val="专栏正文 字符"/>
    <w:basedOn w:val="29"/>
    <w:link w:val="53"/>
    <w:qFormat/>
    <w:uiPriority w:val="0"/>
    <w:rPr>
      <w:rFonts w:ascii="Times New Roman" w:hAnsi="Times New Roman" w:eastAsia="仿宋_GB2312" w:cs="Times New Roman"/>
      <w:sz w:val="24"/>
      <w:szCs w:val="28"/>
      <w:lang w:eastAsia="zh-CN"/>
    </w:rPr>
  </w:style>
  <w:style w:type="character" w:customStyle="1" w:styleId="56">
    <w:name w:val="font21"/>
    <w:basedOn w:val="29"/>
    <w:qFormat/>
    <w:uiPriority w:val="0"/>
    <w:rPr>
      <w:rFonts w:hint="eastAsia" w:ascii="宋体" w:hAnsi="宋体" w:eastAsia="宋体"/>
      <w:color w:val="000000"/>
      <w:sz w:val="21"/>
      <w:szCs w:val="21"/>
      <w:u w:val="none"/>
    </w:rPr>
  </w:style>
  <w:style w:type="character" w:customStyle="1" w:styleId="57">
    <w:name w:val="font11"/>
    <w:basedOn w:val="29"/>
    <w:qFormat/>
    <w:uiPriority w:val="0"/>
    <w:rPr>
      <w:rFonts w:hint="default" w:ascii="Times New Roman" w:hAnsi="Times New Roman" w:cs="Times New Roman"/>
      <w:color w:val="000000"/>
      <w:sz w:val="21"/>
      <w:szCs w:val="21"/>
      <w:u w:val="none"/>
    </w:rPr>
  </w:style>
  <w:style w:type="character" w:customStyle="1" w:styleId="58">
    <w:name w:val="批注文字 字符"/>
    <w:basedOn w:val="29"/>
    <w:link w:val="12"/>
    <w:semiHidden/>
    <w:qFormat/>
    <w:uiPriority w:val="99"/>
    <w:rPr>
      <w:rFonts w:ascii="仿宋" w:hAnsi="仿宋" w:eastAsia="仿宋" w:cs="仿宋"/>
      <w:sz w:val="22"/>
      <w:szCs w:val="22"/>
      <w:lang w:val="zh-TW" w:eastAsia="zh-TW" w:bidi="zh-TW"/>
    </w:rPr>
  </w:style>
  <w:style w:type="character" w:customStyle="1" w:styleId="59">
    <w:name w:val="批注主题 字符"/>
    <w:basedOn w:val="58"/>
    <w:link w:val="26"/>
    <w:semiHidden/>
    <w:qFormat/>
    <w:uiPriority w:val="99"/>
    <w:rPr>
      <w:rFonts w:ascii="仿宋" w:hAnsi="仿宋" w:eastAsia="仿宋" w:cs="仿宋"/>
      <w:b/>
      <w:bCs/>
      <w:sz w:val="22"/>
      <w:szCs w:val="22"/>
      <w:lang w:val="zh-TW" w:eastAsia="zh-TW" w:bidi="zh-TW"/>
    </w:rPr>
  </w:style>
  <w:style w:type="character" w:customStyle="1" w:styleId="60">
    <w:name w:val="专栏正文 Char"/>
    <w:qFormat/>
    <w:uiPriority w:val="0"/>
    <w:rPr>
      <w:rFonts w:ascii="方正仿宋_GB2312" w:hAnsi="方正仿宋_GB2312" w:eastAsia="方正仿宋_GB2312" w:cs="方正仿宋_GB2312"/>
      <w:kern w:val="2"/>
      <w:sz w:val="28"/>
      <w:szCs w:val="32"/>
    </w:rPr>
  </w:style>
  <w:style w:type="paragraph" w:customStyle="1" w:styleId="61">
    <w:name w:val="专栏"/>
    <w:qFormat/>
    <w:uiPriority w:val="0"/>
    <w:pPr>
      <w:autoSpaceDE w:val="0"/>
      <w:autoSpaceDN w:val="0"/>
      <w:ind w:firstLine="560"/>
    </w:pPr>
    <w:rPr>
      <w:rFonts w:ascii="Times New Roman" w:hAnsi="Times New Roman" w:eastAsia="仿宋_GB2312" w:cs="仿宋"/>
      <w:sz w:val="24"/>
      <w:szCs w:val="22"/>
      <w:lang w:val="zh-TW" w:eastAsia="zh-TW" w:bidi="zh-TW"/>
    </w:rPr>
  </w:style>
  <w:style w:type="paragraph" w:customStyle="1" w:styleId="62">
    <w:name w:val="乐山-正文 Char"/>
    <w:basedOn w:val="1"/>
    <w:next w:val="1"/>
    <w:qFormat/>
    <w:uiPriority w:val="0"/>
    <w:pPr>
      <w:spacing w:line="440" w:lineRule="exact"/>
      <w:ind w:firstLine="200" w:firstLineChars="200"/>
    </w:pPr>
    <w:rPr>
      <w:rFonts w:ascii="Arial" w:hAnsi="Arial" w:eastAsia="华文细黑" w:cs="宋体"/>
      <w:szCs w:val="20"/>
    </w:rPr>
  </w:style>
  <w:style w:type="paragraph" w:customStyle="1" w:styleId="63">
    <w:name w:val="00"/>
    <w:basedOn w:val="1"/>
    <w:qFormat/>
    <w:uiPriority w:val="0"/>
    <w:pPr>
      <w:autoSpaceDE w:val="0"/>
      <w:autoSpaceDN w:val="0"/>
      <w:spacing w:line="360" w:lineRule="auto"/>
      <w:ind w:firstLine="600" w:firstLineChars="200"/>
    </w:pPr>
    <w:rPr>
      <w:rFonts w:ascii="Times New Roman" w:hAnsi="Times New Roman" w:eastAsia="仿宋" w:cs="等线"/>
      <w:sz w:val="28"/>
      <w:szCs w:val="30"/>
    </w:rPr>
  </w:style>
  <w:style w:type="character" w:customStyle="1" w:styleId="64">
    <w:name w:val="font31"/>
    <w:basedOn w:val="29"/>
    <w:qFormat/>
    <w:uiPriority w:val="0"/>
    <w:rPr>
      <w:rFonts w:hint="default" w:ascii="Times New Roman" w:hAnsi="Times New Roman" w:cs="Times New Roman"/>
      <w:color w:val="000000"/>
      <w:sz w:val="21"/>
      <w:szCs w:val="21"/>
      <w:u w:val="none"/>
    </w:rPr>
  </w:style>
  <w:style w:type="paragraph" w:customStyle="1" w:styleId="65">
    <w:name w:val="Table Text"/>
    <w:basedOn w:val="1"/>
    <w:semiHidden/>
    <w:qFormat/>
    <w:uiPriority w:val="0"/>
    <w:rPr>
      <w:rFonts w:ascii="FangSong_GB2312" w:hAnsi="FangSong_GB2312" w:eastAsia="FangSong_GB2312" w:cs="FangSong_GB2312"/>
      <w:sz w:val="24"/>
      <w:szCs w:val="24"/>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microsoft.com/office/2011/relationships/commentsExtended" Target="commentsExtended.xml"/><Relationship Id="rId3" Type="http://schemas.openxmlformats.org/officeDocument/2006/relationships/comments" Target="comments.xml"/><Relationship Id="rId23" Type="http://schemas.microsoft.com/office/2011/relationships/people" Target="people.xml"/><Relationship Id="rId22" Type="http://schemas.openxmlformats.org/officeDocument/2006/relationships/fontTable" Target="fontTable.xml"/><Relationship Id="rId21" Type="http://schemas.openxmlformats.org/officeDocument/2006/relationships/customXml" Target="../customXml/item3.xml"/><Relationship Id="rId20" Type="http://schemas.openxmlformats.org/officeDocument/2006/relationships/customXml" Target="../customXml/item2.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customShpExts>
</s:customData>
</file>

<file path=customXml/item2.xml><?xml version="1.0" encoding="utf-8"?>
<contractReview xmlns="http://schemas.wps.cn/vas-ai-hub/contract-review">
  <reviewItems>
    <reviewItem>
      <errorID>9ea150ac-db92-43ac-8ecf-582f09c75da9</errorID>
      <errorWord>全面落实乡村振兴</errorWord>
      <group>L1_Political</group>
      <groupName>政治性问题</groupName>
      <ability>L2_Keyword</ability>
      <abilityName>固定表述</abilityName>
      <candidateList>
        <item>全面推进乡村振兴</item>
      </candidateList>
      <explain>词汇“全面推进乡村振兴”在特定场景下为固定表述形式，请确认此处的“全面落实乡村振兴”是否存在不当。</explain>
      <paraID>43782EE5</paraID>
      <start>0</start>
      <end>8</end>
      <status>modified</status>
      <modifiedWord>全面推进乡村振兴</modifiedWord>
      <trackRevisions>false</trackRevisions>
    </reviewItem>
    <reviewItem>
      <errorID>6adef7f8-4c72-46d1-8c74-62f4b0691715</errorID>
      <errorWord>耕地地力保持</errorWord>
      <group>L1_Knowledge</group>
      <groupName>知识性问题</groupName>
      <ability>L2_Knowledge</ability>
      <abilityName>其他知识</abilityName>
      <candidateList>
        <item>耕地地力保护</item>
      </candidateList>
      <explain/>
      <paraID>3BA493B9</paraID>
      <start>92</start>
      <end>98</end>
      <status>ignored</status>
      <modifiedWord/>
      <trackRevisions>false</trackRevisions>
    </reviewItem>
    <reviewItem>
      <errorID>9b3e89ea-b78c-4af4-8bd9-4640e0c6c097</errorID>
      <errorWord>，</errorWord>
      <group>L1_Word</group>
      <groupName>字词问题</groupName>
      <ability>L2_Typo</ability>
      <abilityName>字词错误</abilityName>
      <candidateList>
        <item>，对</item>
      </candidateList>
      <explain/>
      <paraID>35ACE6D8</paraID>
      <start>37</start>
      <end>38</end>
      <status>ignored</status>
      <modifiedWord/>
      <trackRevisions>false</trackRevisions>
    </reviewItem>
    <reviewItem>
      <errorID>6a8588ea-44fe-4663-88b5-e2b5c9ef4a77</errorID>
      <errorWord>必须且</errorWord>
      <group>L1_Word</group>
      <groupName>字词问题</groupName>
      <ability>L2_Typo</ability>
      <abilityName>字词错误</abilityName>
      <candidateList>
        <item>必须</item>
      </candidateList>
      <explain>〈副〉❶表示事理上和情理上必要；一定要：学习～刻苦钻研。❷加强命令语气：明天你～来。‖注意“必须”的否定是“无须”、“不须”或“不必”。</explain>
      <paraID>401A07F1</paraID>
      <start>47</start>
      <end>50</end>
      <status>ignored</status>
      <modifiedWord/>
      <trackRevisions>false</trackRevisions>
    </reviewItem>
    <reviewItem>
      <errorID>ba7e6f6e-f10c-4552-8f39-684b28ded39e</errorID>
      <errorWord>利用其</errorWord>
      <group>L1_Word</group>
      <groupName>字词问题</groupName>
      <ability>L2_Typo</ability>
      <abilityName>字词错误</abilityName>
      <candidateList>
        <item>利用</item>
      </candidateList>
      <explain/>
      <paraID>401A07F1</paraID>
      <start>162</start>
      <end>165</end>
      <status>ignored</status>
      <modifiedWord/>
      <trackRevisions>false</trackRevisions>
    </reviewItem>
    <reviewItem>
      <errorID>59e86c2a-982a-41fe-bf45-d47e5d0030b5</errorID>
      <errorWord>农田面源污染</errorWord>
      <group>L1_Political</group>
      <groupName>政治性问题</groupName>
      <ability>L2_Keyword</ability>
      <abilityName>固定表述</abilityName>
      <candidateList>
        <item>农业面源污染</item>
      </candidateList>
      <explain>词汇“农业面源污染”在特定场景下为固定表述形式，请确认此处的“农田面源污染”是否存在不当。</explain>
      <paraID> 3B9826A</paraID>
      <start>143</start>
      <end>149</end>
      <status>ignored</status>
      <modifiedWord/>
      <trackRevisions>false</trackRevisions>
    </reviewItem>
    <reviewItem>
      <errorID>9d53a738-b84b-404b-88bf-4284491cd90e</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21E610FA</paraID>
      <start>33</start>
      <end>34</end>
      <status>ignored</status>
      <modifiedWord/>
      <trackRevisions>false</trackRevisions>
    </reviewItem>
    <reviewItem>
      <errorID>56f8c5b5-8e6d-450f-be6c-2274a6174e6f</errorID>
      <errorWord>1、</errorWord>
      <group>L1_Format</group>
      <groupName>格式问题</groupName>
      <ability>L2_Ordinal</ability>
      <abilityName>序号格式</abilityName>
      <candidateList>
        <item>1.</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58AF085F</paraID>
      <start>0</start>
      <end>2</end>
      <status>ignored</status>
      <modifiedWord/>
      <trackRevisions>false</trackRevisions>
    </reviewItem>
    <reviewItem>
      <errorID>4271cc48-4f08-48bc-90e1-80baf4a302e7</errorID>
      <errorWord>2、</errorWord>
      <group>L1_Format</group>
      <groupName>格式问题</groupName>
      <ability>L2_Ordinal</ability>
      <abilityName>序号格式</abilityName>
      <candidateList>
        <item>2.</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4D595F8C</paraID>
      <start>0</start>
      <end>2</end>
      <status>ignored</status>
      <modifiedWord/>
      <trackRevisions>false</trackRevisions>
    </reviewItem>
    <reviewItem>
      <errorID>8c4f2a07-37f2-4e53-96e7-34ade5be2d42</errorID>
      <errorWord>3、</errorWord>
      <group>L1_Format</group>
      <groupName>格式问题</groupName>
      <ability>L2_Ordinal</ability>
      <abilityName>序号格式</abilityName>
      <candidateList>
        <item>3.</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1174F402</paraID>
      <start>0</start>
      <end>2</end>
      <status>ignored</status>
      <modifiedWord/>
      <trackRevisions>false</trackRevisions>
    </reviewItem>
    <reviewItem>
      <errorID>3e801751-b9d0-4d42-862a-2606e9a94c5e</errorID>
      <errorWord>4、</errorWord>
      <group>L1_Format</group>
      <groupName>格式问题</groupName>
      <ability>L2_Ordinal</ability>
      <abilityName>序号格式</abilityName>
      <candidateList>
        <item>4.</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74F07A21</paraID>
      <start>0</start>
      <end>2</end>
      <status>ignored</status>
      <modifiedWord/>
      <trackRevisions>false</trackRevisions>
    </reviewItem>
    <reviewItem>
      <errorID>fd609acd-bcab-4bd0-83a6-3049f840075b</errorID>
      <errorWord>，</errorWord>
      <group>L1_Word</group>
      <groupName>字词问题</groupName>
      <ability>L2_Typo</ability>
      <abilityName>字词错误</abilityName>
      <candidateList>
        <item>，在</item>
      </candidateList>
      <explain/>
      <paraID>488A41CB</paraID>
      <start>165</start>
      <end>166</end>
      <status>ignored</status>
      <modifiedWord/>
      <trackRevisions>false</trackRevisions>
    </reviewItem>
    <reviewItem>
      <errorID>a4dfc01b-d6d1-4f46-bc97-731314718270</errorID>
      <errorWord>5、</errorWord>
      <group>L1_Format</group>
      <groupName>格式问题</groupName>
      <ability>L2_Ordinal</ability>
      <abilityName>序号格式</abilityName>
      <candidateList>
        <item>5.</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7B0AE1AF</paraID>
      <start>0</start>
      <end>2</end>
      <status>ignored</status>
      <modifiedWord/>
      <trackRevisions>false</trackRevisions>
    </reviewItem>
    <reviewItem>
      <errorID>58eb4731-3a30-49c2-9002-53c4fa0ccc0b</errorID>
      <errorWord>6、</errorWord>
      <group>L1_Format</group>
      <groupName>格式问题</groupName>
      <ability>L2_Ordinal</ability>
      <abilityName>序号格式</abilityName>
      <candidateList>
        <item>6.</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4B463C1C</paraID>
      <start>0</start>
      <end>2</end>
      <status>ignored</status>
      <modifiedWord/>
      <trackRevisions>false</trackRevisions>
    </reviewItem>
    <reviewItem>
      <errorID>cbc223a1-c4fd-429a-84c8-fc78b8bc5086</errorID>
      <errorWord>一二三产融合</errorWord>
      <group>L1_Political</group>
      <groupName>政治性问题</groupName>
      <ability>L2_Keyword</ability>
      <abilityName>固定表述</abilityName>
      <candidateList>
        <item>一二三产业融合</item>
      </candidateList>
      <explain>词汇“一二三产业融合”在特定场景下为固定表述形式，请确认此处的“一二三产融合”是否存在不当。</explain>
      <paraID>1C990024</paraID>
      <start>4</start>
      <end>11</end>
      <status>modified</status>
      <modifiedWord>一二三产业融合</modifiedWord>
      <trackRevisions>false</trackRevisions>
    </reviewItem>
    <reviewItem>
      <errorID>a8231a53-bcb3-40e6-9970-db017e2a61b1</errorID>
      <errorWord>-</errorWord>
      <group>L1_Format</group>
      <groupName>格式问题</groupName>
      <ability>L2_HalfPunc</ability>
      <abilityName>全半角检查</abilityName>
      <candidateList>
        <item>－</item>
      </candidateList>
      <explain>文本全半角错误。</explain>
      <paraID>5F5075DB</paraID>
      <start>29</start>
      <end>30</end>
      <status>modified</status>
      <modifiedWord>－</modifiedWord>
      <trackRevisions>false</trackRevisions>
    </reviewItem>
    <reviewItem>
      <errorID>f01fb72a-8d49-4d18-95e7-8f12da52c963</errorID>
      <errorWord>村的</errorWord>
      <group>L1_Word</group>
      <groupName>字词问题</groupName>
      <ability>L2_Typo</ability>
      <abilityName>字词错误</abilityName>
      <candidateList>
        <item>村</item>
      </candidateList>
      <explain/>
      <paraID>78AC2FBE</paraID>
      <start>39</start>
      <end>40</end>
      <status>modified</status>
      <modifiedWord>村</modifiedWord>
      <trackRevisions>false</trackRevisions>
    </reviewItem>
    <reviewItem>
      <errorID>6e028261-f769-49da-8e3e-1bf1d95333a0</errorID>
      <errorWord>垃圾焚烧场</errorWord>
      <group>L1_Word</group>
      <groupName>字词问题</groupName>
      <ability>L2_Typo</ability>
      <abilityName>字词错误</abilityName>
      <candidateList>
        <item>垃圾焚烧厂</item>
      </candidateList>
      <explain/>
      <paraID>10EC1437</paraID>
      <start>84</start>
      <end>89</end>
      <status>modified</status>
      <modifiedWord>垃圾焚烧厂</modifiedWord>
      <trackRevisions>false</trackRevisions>
    </reviewItem>
    <reviewItem>
      <errorID>040184f3-5361-48da-ab09-b4f468e6f8a4</errorID>
      <errorWord>高压廊</errorWord>
      <group>L1_Word</group>
      <groupName>字词问题</groupName>
      <ability>L2_Typo</ability>
      <abilityName>字词错误</abilityName>
      <candidateList>
        <item>高压管</item>
      </candidateList>
      <explain/>
      <paraID>6792F5A0</paraID>
      <start>2</start>
      <end>5</end>
      <status>ignored</status>
      <modifiedWord/>
      <trackRevisions>false</trackRevisions>
    </reviewItem>
    <reviewItem>
      <errorID>f5ef448e-5d7f-4ca1-b71e-4550d8b5d135</errorID>
      <errorWord>区域一体的</errorWord>
      <group>L1_Knowledge</group>
      <groupName>知识性问题</groupName>
      <ability>L2_Knowledge</ability>
      <abilityName>其他知识</abilityName>
      <candidateList>
        <item>区域一体化的</item>
      </candidateList>
      <explain/>
      <paraID> BE5E321</paraID>
      <start>2</start>
      <end>7</end>
      <status>ignored</status>
      <modifiedWord/>
      <trackRevisions>false</trackRevisions>
    </reviewItem>
    <reviewItem>
      <errorID>c8df45a3-7f5c-437a-9cfd-2bc570be4f6c</errorID>
      <errorWord>高</errorWord>
      <group>L1_Word</group>
      <groupName>字词问题</groupName>
      <ability>L2_Typo</ability>
      <abilityName>字词错误</abilityName>
      <candidateList>
        <item>高天</item>
      </candidateList>
      <explain/>
      <paraID> D4720F7</paraID>
      <start>73</start>
      <end>75</end>
      <status>modified</status>
      <modifiedWord>高天</modifiedWord>
      <trackRevisions>false</trackRevisions>
    </reviewItem>
    <reviewItem>
      <errorID>a345ae25-23bf-4625-9c07-7c7691fb83d7</errorID>
      <errorWord>然气</errorWord>
      <group>L1_Word</group>
      <groupName>字词问题</groupName>
      <ability>L2_Typo</ability>
      <abilityName>字词错误</abilityName>
      <candidateList>
        <item>燃气</item>
      </candidateList>
      <explain>存在发音相同字词的误用。</explain>
      <paraID> D4720F7</paraID>
      <start>75</start>
      <end>77</end>
      <status>ignored</status>
      <modifiedWord/>
      <trackRevisions>false</trackRevisions>
    </reviewItem>
    <reviewItem>
      <errorID>06f35b92-66ed-4882-8114-9b2c6bbe588e</errorID>
      <errorWord>水库管理</errorWord>
      <group>L1_Knowledge</group>
      <groupName>知识性问题</groupName>
      <ability>L2_Term</ability>
      <abilityName>专业术语</abilityName>
      <candidateList>
        <item>水质管理</item>
      </candidateList>
      <explain/>
      <paraID>4B41590E</paraID>
      <start>76</start>
      <end>80</end>
      <status>ignored</status>
      <modifiedWord/>
      <trackRevisions>false</trackRevisions>
    </reviewItem>
    <reviewItem>
      <errorID>c0b3ecdf-87d8-4ca8-a819-cec0da68b134</errorID>
      <errorWord>疏竣</errorWord>
      <group>L1_Word</group>
      <groupName>字词问题</groupName>
      <ability>L2_Typo</ability>
      <abilityName>字词错误</abilityName>
      <candidateList>
        <item>疏浚</item>
      </candidateList>
      <explain/>
      <paraID>4B41590E</paraID>
      <start>113</start>
      <end>115</end>
      <status>modified</status>
      <modifiedWord>疏浚</modifiedWord>
      <trackRevisions>false</trackRevisions>
    </reviewItem>
    <reviewItem>
      <errorID>26939862-29d5-498a-90b0-8c493a71b892</errorID>
      <errorWord>完善完善</errorWord>
      <group>L1_Word</group>
      <groupName>字词问题</groupName>
      <ability>L2_Typo</ability>
      <abilityName>字词错误</abilityName>
      <candidateList>
        <item>完善</item>
      </candidateList>
      <explain>❶〈形〉完备美好：设备～。❷〈动〉使完善：～管理制度。</explain>
      <paraID>35282AD3</paraID>
      <start>0</start>
      <end>2</end>
      <status>modified</status>
      <modifiedWord>完善</modifiedWord>
      <trackRevisions>false</trackRevisions>
    </reviewItem>
    <reviewItem>
      <errorID>1ffa7766-64b9-4e3e-a123-504a2891841d</errorID>
      <errorWord>防灾分区</errorWord>
      <group>L1_Knowledge</group>
      <groupName>知识性问题</groupName>
      <ability>L2_Term</ability>
      <abilityName>专业术语</abilityName>
      <candidateList>
        <item>防烟分区</item>
      </candidateList>
      <explain/>
      <paraID>60FFB373</paraID>
      <start>38</start>
      <end>42</end>
      <status>ignored</status>
      <modifiedWord/>
      <trackRevisions>false</trackRevisions>
    </reviewItem>
    <reviewItem>
      <errorID>4793059b-47af-46fe-b6eb-07f11649a8a7</errorID>
      <errorWord>平灾</errorWord>
      <group>L1_Word</group>
      <groupName>字词问题</groupName>
      <ability>L2_Typo</ability>
      <abilityName>字词错误</abilityName>
      <candidateList>
        <item>平仄</item>
      </candidateList>
      <explain/>
      <paraID>19595B35</paraID>
      <start>69</start>
      <end>71</end>
      <status>ignored</status>
      <modifiedWord/>
      <trackRevisions>false</trackRevisions>
    </reviewItem>
    <reviewItem>
      <errorID>1392aad3-70da-4642-8fb6-b86bec19289a</errorID>
      <errorWord>平疫</errorWord>
      <group>L1_Word</group>
      <groupName>字词问题</groupName>
      <ability>L2_Typo</ability>
      <abilityName>字词错误</abilityName>
      <candidateList>
        <item>平移</item>
      </candidateList>
      <explain/>
      <paraID>4712B633</paraID>
      <start>37</start>
      <end>39</end>
      <status>ignored</status>
      <modifiedWord/>
      <trackRevisions>false</trackRevisions>
    </reviewItem>
    <reviewItem>
      <errorID>ed86918d-46f5-4260-ae9b-bc58e235d0a2</errorID>
      <errorWord>的提前下</errorWord>
      <group>L1_Word</group>
      <groupName>字词问题</groupName>
      <ability>L2_Typo</ability>
      <abilityName>字词错误</abilityName>
      <candidateList>
        <item>的前提下</item>
      </candidateList>
      <explain/>
      <paraID>49EC88BF</paraID>
      <start>206</start>
      <end>210</end>
      <status>modified</status>
      <modifiedWord>的前提下</modifiedWord>
      <trackRevisions>false</trackRevisions>
    </reviewItem>
    <reviewItem>
      <errorID>fb3d8876-8ca7-4299-9441-be698482ba32</errorID>
      <errorWord>，</errorWord>
      <group>L1_Word</group>
      <groupName>字词问题</groupName>
      <ability>L2_Typo</ability>
      <abilityName>字词错误</abilityName>
      <candidateList>
        <item>，在</item>
      </candidateList>
      <explain/>
      <paraID>51F2D1D9</paraID>
      <start>26</start>
      <end>27</end>
      <status>ignored</status>
      <modifiedWord/>
      <trackRevisions>false</trackRevisions>
    </reviewItem>
    <reviewItem>
      <errorID>7c10b85c-c865-4de0-80de-a3b187f8467c</errorID>
      <errorWord>要素等</errorWord>
      <group>L1_Word</group>
      <groupName>字词问题</groupName>
      <ability>L2_Typo</ability>
      <abilityName>字词错误</abilityName>
      <candidateList>
        <item>要素</item>
      </candidateList>
      <explain>〈名〉构成事物的必要因素：一般说来，每个汉字都有形、音、义三个～。</explain>
      <paraID>227CCA2A</paraID>
      <start>45</start>
      <end>47</end>
      <status>modified</status>
      <modifiedWord>要素</modifiedWord>
      <trackRevisions>false</trackRevisions>
    </reviewItem>
    <reviewItem>
      <errorID>712efee3-87c3-43e2-bb95-f0a4272b18fb</errorID>
      <errorWord>“</errorWord>
      <group>L1_Punc</group>
      <groupName>标点问题</groupName>
      <ability>L2_Punc</ability>
      <abilityName>标点符号检查</abilityName>
      <candidateList/>
      <explain/>
      <paraID>386276A8</paraID>
      <start>43</start>
      <end>44</end>
      <status>unmodified</status>
      <modifiedWord/>
      <trackRevisions>false</trackRevisions>
    </reviewItem>
    <reviewItem>
      <errorID>4714401b-f576-4075-b95e-a39f07c05592</errorID>
      <errorWord>，</errorWord>
      <group>L1_Word</group>
      <groupName>字词问题</groupName>
      <ability>L2_Typo</ability>
      <abilityName>字词错误</abilityName>
      <candidateList>
        <item>，以</item>
      </candidateList>
      <explain/>
      <paraID>3678A7A2</paraID>
      <start>31</start>
      <end>32</end>
      <status>ignored</status>
      <modifiedWord/>
      <trackRevisions>false</trackRevisions>
    </reviewItem>
    <reviewItem>
      <errorID>a72b84ad-e134-4277-aad6-f12827296987</errorID>
      <errorWord>-</errorWord>
      <group>L1_Format</group>
      <groupName>格式问题</groupName>
      <ability>L2_HalfPunc</ability>
      <abilityName>全半角检查</abilityName>
      <candidateList>
        <item>－</item>
      </candidateList>
      <explain>文本全半角错误。</explain>
      <paraID>6BFF903F</paraID>
      <start>67</start>
      <end>68</end>
      <status>ignored</status>
      <modifiedWord/>
      <trackRevisions>false</trackRevisions>
    </reviewItem>
    <reviewItem>
      <errorID>32462cd7-83c4-4c29-8232-03bb069b92c4</errorID>
      <errorWord>-</errorWord>
      <group>L1_Format</group>
      <groupName>格式问题</groupName>
      <ability>L2_HalfPunc</ability>
      <abilityName>全半角检查</abilityName>
      <candidateList>
        <item>－</item>
      </candidateList>
      <explain>文本全半角错误。</explain>
      <paraID>6BFF903F</paraID>
      <start>72</start>
      <end>73</end>
      <status>ignored</status>
      <modifiedWord/>
      <trackRevisions>false</trackRevisions>
    </reviewItem>
    <reviewItem>
      <errorID>ca9fb2ec-d589-4e60-8894-492b7d672713</errorID>
      <errorWord>1、</errorWord>
      <group>L1_Format</group>
      <groupName>格式问题</groupName>
      <ability>L2_Ordinal</ability>
      <abilityName>序号格式</abilityName>
      <candidateList>
        <item>1.</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19BF2AFB</paraID>
      <start>0</start>
      <end>2</end>
      <status>ignored</status>
      <modifiedWord/>
      <trackRevisions>false</trackRevisions>
    </reviewItem>
    <reviewItem>
      <errorID>812cbf93-77af-45e5-a956-5b7633c560b1</errorID>
      <errorWord>-</errorWord>
      <group>L1_Format</group>
      <groupName>格式问题</groupName>
      <ability>L2_HalfPunc</ability>
      <abilityName>全半角检查</abilityName>
      <candidateList>
        <item>－</item>
      </candidateList>
      <explain>文本全半角错误。</explain>
      <paraID>55E09AAD</paraID>
      <start>5</start>
      <end>6</end>
      <status>ignored</status>
      <modifiedWord/>
      <trackRevisions>false</trackRevisions>
    </reviewItem>
    <reviewItem>
      <errorID>60dc9c3d-e10b-4c6e-8515-40f8020aa16b</errorID>
      <errorWord>-</errorWord>
      <group>L1_Format</group>
      <groupName>格式问题</groupName>
      <ability>L2_HalfPunc</ability>
      <abilityName>全半角检查</abilityName>
      <candidateList>
        <item>－</item>
      </candidateList>
      <explain>文本全半角错误。</explain>
      <paraID>55E09AAD</paraID>
      <start>8</start>
      <end>9</end>
      <status>ignored</status>
      <modifiedWord/>
      <trackRevisions>false</trackRevisions>
    </reviewItem>
    <reviewItem>
      <errorID>1e612c2d-bdce-4b4e-87b2-d60d572a8ace</errorID>
      <errorWord>2、</errorWord>
      <group>L1_Format</group>
      <groupName>格式问题</groupName>
      <ability>L2_Ordinal</ability>
      <abilityName>序号格式</abilityName>
      <candidateList>
        <item>2.</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249AC13B</paraID>
      <start>0</start>
      <end>2</end>
      <status>ignored</status>
      <modifiedWord/>
      <trackRevisions>false</trackRevisions>
    </reviewItem>
    <reviewItem>
      <errorID>b779e407-8467-4a25-b790-785853f9679f</errorID>
      <errorWord>3、</errorWord>
      <group>L1_Format</group>
      <groupName>格式问题</groupName>
      <ability>L2_Ordinal</ability>
      <abilityName>序号格式</abilityName>
      <candidateList>
        <item>3.</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2454A699</paraID>
      <start>0</start>
      <end>2</end>
      <status>ignored</status>
      <modifiedWord/>
      <trackRevisions>false</trackRevisions>
    </reviewItem>
    <reviewItem>
      <errorID>87cf550c-a4e0-4efd-969b-4ace6c30064c</errorID>
      <errorWord>4、</errorWord>
      <group>L1_Format</group>
      <groupName>格式问题</groupName>
      <ability>L2_Ordinal</ability>
      <abilityName>序号格式</abilityName>
      <candidateList>
        <item>4.</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2493CE74</paraID>
      <start>0</start>
      <end>2</end>
      <status>ignored</status>
      <modifiedWord/>
      <trackRevisions>false</trackRevisions>
    </reviewItem>
    <reviewItem>
      <errorID>fa19b190-2635-4c48-935b-053796f6d019</errorID>
      <errorWord>5、</errorWord>
      <group>L1_Format</group>
      <groupName>格式问题</groupName>
      <ability>L2_Ordinal</ability>
      <abilityName>序号格式</abilityName>
      <candidateList>
        <item>5.</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77ABA30A</paraID>
      <start>0</start>
      <end>2</end>
      <status>ignored</status>
      <modifiedWord/>
      <trackRevisions>false</trackRevisions>
    </reviewItem>
    <reviewItem>
      <errorID>1bc9c2c8-1430-4928-9927-a879c006719e</errorID>
      <errorWord>6、</errorWord>
      <group>L1_Format</group>
      <groupName>格式问题</groupName>
      <ability>L2_Ordinal</ability>
      <abilityName>序号格式</abilityName>
      <candidateList>
        <item>6.</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5DBBC036</paraID>
      <start>0</start>
      <end>2</end>
      <status>ignored</status>
      <modifiedWord/>
      <trackRevisions>false</trackRevisions>
    </reviewItem>
    <reviewItem>
      <errorID>e8ab3b0d-8763-40bd-80f0-bdc3899ffa32</errorID>
      <errorWord>II</errorWord>
      <group>L1_Knowledge</group>
      <groupName>知识性问题</groupName>
      <ability>L2_Knowledge</ability>
      <abilityName>其他知识</abilityName>
      <candidateList>
        <item>Ⅱ</item>
      </candidateList>
      <explain/>
      <paraID>78F6FB2C</paraID>
      <start>17</start>
      <end>18</end>
      <status>modified</status>
      <modifiedWord>Ⅱ</modifiedWord>
      <trackRevisions>false</trackRevisions>
    </reviewItem>
    <reviewItem>
      <errorID>3d85dcbc-7586-4af3-92e7-10c1c672d5fa</errorID>
      <errorWord>12.5-18.8万</errorWord>
      <group>L1_Knowledge</group>
      <groupName>知识性问题</groupName>
      <ability>L2_Knowledge</ability>
      <abilityName>其他知识</abilityName>
      <candidateList>
        <item>12.5万-18.8万</item>
      </candidateList>
      <explain>“12.5-18.8万”中的单位“万”仅出现在后一个数字上，容易引起歧义；根据《现代汉语标点符号数字用法规范手册》，数字表示范围两边需要使用统一的格式。</explain>
      <paraID>7545739C</paraID>
      <start>141</start>
      <end>152</end>
      <status>modified</status>
      <modifiedWord>12.5万-18.8万</modifiedWord>
      <trackRevisions>false</trackRevisions>
    </reviewItem>
    <reviewItem>
      <errorID>a4edb8f8-50c0-44d3-94c5-abfd847232c6</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1AF64268</paraID>
      <start>27</start>
      <end>28</end>
      <status>ignored</status>
      <modifiedWord/>
      <trackRevisions>false</trackRevisions>
    </reviewItem>
    <reviewItem>
      <errorID>778574bc-e013-4bad-b7c5-96033377bf92</errorID>
      <errorWord>永久基本田</errorWord>
      <group>L1_Political</group>
      <groupName>政治性问题</groupName>
      <ability>L2_Keyword</ability>
      <abilityName>固定表述</abilityName>
      <candidateList>
        <item>永久基本农田</item>
      </candidateList>
      <explain>词汇“永久基本农田”在特定场景下为固定表述形式，请确认此处的“永久基本田”是否存在不当。</explain>
      <paraID> FE488EE</paraID>
      <start>105</start>
      <end>111</end>
      <status>modified</status>
      <modifiedWord>永久基本农田</modifiedWord>
      <trackRevisions>false</trackRevisions>
    </reviewItem>
    <reviewItem>
      <errorID>be994b1d-a930-4e43-90d5-2546a0505aff</errorID>
      <errorWord>挂的</errorWord>
      <group>L1_Word</group>
      <groupName>字词问题</groupName>
      <ability>L2_Typo</ability>
      <abilityName>字词错误</abilityName>
      <candidateList>
        <item>挂钩</item>
      </candidateList>
      <explain>❶（－∥－）〈动〉用钩把两节车厢连接起来。❷（－∥－）〈动〉比喻建立某种联系：企业直接跟原料产地～｜这两个单位早就挂起钩来了。❸〈名〉用来吊起重物或把车厢等连接起来的钩：吊车～｜火车～。</explain>
      <paraID>18C8A81F</paraID>
      <start>77</start>
      <end>79</end>
      <status>modified</status>
      <modifiedWord>挂钩</modifiedWord>
      <trackRevisions>false</trackRevisions>
    </reviewItem>
    <reviewItem>
      <errorID>1dbb5d61-033a-4439-aea5-d2305ed0aac4</errorID>
      <errorWord>，</errorWord>
      <group>L1_Word</group>
      <groupName>字词问题</groupName>
      <ability>L2_Typo</ability>
      <abilityName>字词错误</abilityName>
      <candidateList>
        <item>，以</item>
      </candidateList>
      <explain/>
      <paraID> 79F43C2</paraID>
      <start>50</start>
      <end>51</end>
      <status>ignored</status>
      <modifiedWord/>
      <trackRevisions>false</trackRevisions>
    </reviewItem>
    <reviewItem>
      <errorID>e532a7be-ebd0-4029-8004-bfb8668ae5bc</errorID>
      <errorWord>。。</errorWord>
      <group>L1_Punc</group>
      <groupName>标点问题</groupName>
      <ability>L2_Punc</ability>
      <abilityName>标点符号检查</abilityName>
      <candidateList>
        <item>。</item>
      </candidateList>
      <explain/>
      <paraID>53024CC6</paraID>
      <start>80</start>
      <end>81</end>
      <status>modified</status>
      <modifiedWord>。</modifiedWord>
      <trackRevisions>false</trackRevisions>
    </reviewItem>
    <reviewItem>
      <errorID>73bae036-e67d-40f0-be80-62a89e108a08</errorID>
      <errorWord>，</errorWord>
      <group>L1_Word</group>
      <groupName>字词问题</groupName>
      <ability>L2_Typo</ability>
      <abilityName>字词错误</abilityName>
      <candidateList>
        <item>，将</item>
      </candidateList>
      <explain/>
      <paraID>48046D09</paraID>
      <start>119</start>
      <end>120</end>
      <status>ignored</status>
      <modifiedWord/>
      <trackRevisions>false</trackRevisions>
    </reviewItem>
    <reviewItem>
      <errorID>430e7b35-09ab-4c7d-8812-c67363c348fd</errorID>
      <errorWord>[2025]1号</errorWord>
      <group>L1_Knowledge</group>
      <groupName>知识性问题</groupName>
      <ability>L2_Knowledge</ability>
      <abilityName>其他知识</abilityName>
      <candidateList>
        <item>〔2025〕1号</item>
      </candidateList>
      <explain>发文字号格式错误</explain>
      <paraID>677A49C3</paraID>
      <start>49</start>
      <end>57</end>
      <status>modified</status>
      <modifiedWord>〔2025〕1号</modifiedWord>
      <trackRevisions>false</trackRevisions>
    </reviewItem>
    <reviewItem>
      <errorID>e3dafa5a-6f52-4de7-a5ee-a1e28f1ef884</errorID>
      <errorWord>;</errorWord>
      <group>L1_Format</group>
      <groupName>格式问题</groupName>
      <ability>L2_HalfPunc</ability>
      <abilityName>全半角检查</abilityName>
      <candidateList>
        <item>；</item>
      </candidateList>
      <explain>文本全半角错误。</explain>
      <paraID>143138C4</paraID>
      <start>35</start>
      <end>36</end>
      <status>ignored</status>
      <modifiedWord/>
      <trackRevisions>false</trackRevisions>
    </reviewItem>
    <reviewItem>
      <errorID>86283ee8-1cbc-4110-af82-ea2323713ecb</errorID>
      <errorWord>;</errorWord>
      <group>L1_Format</group>
      <groupName>格式问题</groupName>
      <ability>L2_HalfPunc</ability>
      <abilityName>全半角检查</abilityName>
      <candidateList>
        <item>；</item>
      </candidateList>
      <explain>文本全半角错误。</explain>
      <paraID>  B71336</paraID>
      <start>22</start>
      <end>23</end>
      <status>ignored</status>
      <modifiedWord/>
      <trackRevisions>false</trackRevisions>
    </reviewItem>
    <reviewItem>
      <errorID>ca920231-9d24-4c81-a676-716fd3466b2c</errorID>
      <errorWord>;</errorWord>
      <group>L1_Format</group>
      <groupName>格式问题</groupName>
      <ability>L2_HalfPunc</ability>
      <abilityName>全半角检查</abilityName>
      <candidateList>
        <item>；</item>
      </candidateList>
      <explain>文本全半角错误。</explain>
      <paraID>79DBB2B4</paraID>
      <start>38</start>
      <end>39</end>
      <status>ignored</status>
      <modifiedWord/>
      <trackRevisions>false</trackRevisions>
    </reviewItem>
    <reviewItem>
      <errorID>7315ee46-0314-4f74-b7c5-5c5d4a246c31</errorID>
      <errorWord>;</errorWord>
      <group>L1_Format</group>
      <groupName>格式问题</groupName>
      <ability>L2_HalfPunc</ability>
      <abilityName>全半角检查</abilityName>
      <candidateList>
        <item>；</item>
      </candidateList>
      <explain>文本全半角错误。</explain>
      <paraID>42A0109E</paraID>
      <start>22</start>
      <end>23</end>
      <status>ignored</status>
      <modifiedWord/>
      <trackRevisions>false</trackRevisions>
    </reviewItem>
    <reviewItem>
      <errorID>3d9ab205-1694-4bf8-8873-a55d5a2a6534</errorID>
      <errorWord>;</errorWord>
      <group>L1_Format</group>
      <groupName>格式问题</groupName>
      <ability>L2_HalfPunc</ability>
      <abilityName>全半角检查</abilityName>
      <candidateList>
        <item>；</item>
      </candidateList>
      <explain>文本全半角错误。</explain>
      <paraID> 3C72B51</paraID>
      <start>41</start>
      <end>42</end>
      <status>ignored</status>
      <modifiedWord/>
      <trackRevisions>false</trackRevisions>
    </reviewItem>
    <reviewItem>
      <errorID>abcb1ffa-0f87-49a6-8645-39c145ed2973</errorID>
      <errorWord>;</errorWord>
      <group>L1_Format</group>
      <groupName>格式问题</groupName>
      <ability>L2_HalfPunc</ability>
      <abilityName>全半角检查</abilityName>
      <candidateList>
        <item>；</item>
      </candidateList>
      <explain>文本全半角错误。</explain>
      <paraID>1279A03B</paraID>
      <start>61</start>
      <end>62</end>
      <status>ignored</status>
      <modifiedWord/>
      <trackRevisions>false</trackRevisions>
    </reviewItem>
    <reviewItem>
      <errorID>e997ac43-42a6-4827-9df5-4d9c5a3e0d1c</errorID>
      <errorWord>:</errorWord>
      <group>L1_Format</group>
      <groupName>格式问题</groupName>
      <ability>L2_HalfPunc</ability>
      <abilityName>全半角检查</abilityName>
      <candidateList>
        <item>：</item>
      </candidateList>
      <explain>文本全半角错误。</explain>
      <paraID>70282163</paraID>
      <start>30</start>
      <end>31</end>
      <status>ignored</status>
      <modifiedWord/>
      <trackRevisions>false</trackRevisions>
    </reviewItem>
    <reviewItem>
      <errorID>022a778a-2ba0-40f6-ba6c-1020db44cf43</errorID>
      <errorWord>法律、法规</errorWord>
      <group>L1_Word</group>
      <groupName>字词问题</groupName>
      <ability>L2_Typo</ability>
      <abilityName>字词错误</abilityName>
      <candidateList>
        <item>法律法规</item>
      </candidateList>
      <explain/>
      <paraID>31583547</paraID>
      <start>4</start>
      <end>9</end>
      <status>unmodified</status>
      <modifiedWord/>
      <trackRevisions>false</trackRevisions>
    </reviewItem>
    <reviewItem>
      <errorID>04df1815-8f76-43d6-948d-99d2bfefcc41</errorID>
      <errorWord>;</errorWord>
      <group>L1_Format</group>
      <groupName>格式问题</groupName>
      <ability>L2_HalfPunc</ability>
      <abilityName>全半角检查</abilityName>
      <candidateList>
        <item>；</item>
      </candidateList>
      <explain>文本全半角错误。</explain>
      <paraID>52439DF4</paraID>
      <start>19</start>
      <end>20</end>
      <status>unmodified</status>
      <modifiedWord/>
      <trackRevisions>false</trackRevisions>
    </reviewItem>
    <reviewItem>
      <errorID>0162ddfe-8773-4dbd-87c9-94352b3f73db</errorID>
      <errorWord>;</errorWord>
      <group>L1_Format</group>
      <groupName>格式问题</groupName>
      <ability>L2_HalfPunc</ability>
      <abilityName>全半角检查</abilityName>
      <candidateList>
        <item>；</item>
      </candidateList>
      <explain>文本全半角错误。</explain>
      <paraID>36B25893</paraID>
      <start>36</start>
      <end>37</end>
      <status>unmodified</status>
      <modifiedWord/>
      <trackRevisions>false</trackRevisions>
    </reviewItem>
    <reviewItem>
      <errorID>34e654c5-5fa4-4150-b7ba-212329d4dc1b</errorID>
      <errorWord>;</errorWord>
      <group>L1_Format</group>
      <groupName>格式问题</groupName>
      <ability>L2_HalfPunc</ability>
      <abilityName>全半角检查</abilityName>
      <candidateList>
        <item>；</item>
      </candidateList>
      <explain>文本全半角错误。</explain>
      <paraID>6B76770B</paraID>
      <start>46</start>
      <end>47</end>
      <status>unmodified</status>
      <modifiedWord/>
      <trackRevisions>false</trackRevisions>
    </reviewItem>
    <reviewItem>
      <errorID>1345a882-f5ce-4722-8308-481b9da69df8</errorID>
      <errorWord>;</errorWord>
      <group>L1_Format</group>
      <groupName>格式问题</groupName>
      <ability>L2_HalfPunc</ability>
      <abilityName>全半角检查</abilityName>
      <candidateList>
        <item>；</item>
      </candidateList>
      <explain>文本全半角错误。</explain>
      <paraID>55ABB07C</paraID>
      <start>20</start>
      <end>21</end>
      <status>unmodified</status>
      <modifiedWord/>
      <trackRevisions>false</trackRevisions>
    </reviewItem>
    <reviewItem>
      <errorID>6f758cf5-1bda-496a-ad7a-9a0905b6d1e2</errorID>
      <errorWord>;</errorWord>
      <group>L1_Format</group>
      <groupName>格式问题</groupName>
      <ability>L2_HalfPunc</ability>
      <abilityName>全半角检查</abilityName>
      <candidateList>
        <item>；</item>
      </candidateList>
      <explain>文本全半角错误。</explain>
      <paraID>61DBAD47</paraID>
      <start>47</start>
      <end>48</end>
      <status>unmodified</status>
      <modifiedWord/>
      <trackRevisions>false</trackRevisions>
    </reviewItem>
    <reviewItem>
      <errorID>9b49b690-9f4b-4acc-bee7-2fd0ae281de5</errorID>
      <errorWord>;</errorWord>
      <group>L1_Format</group>
      <groupName>格式问题</groupName>
      <ability>L2_HalfPunc</ability>
      <abilityName>全半角检查</abilityName>
      <candidateList>
        <item>；</item>
      </candidateList>
      <explain>文本全半角错误。</explain>
      <paraID>4BD25405</paraID>
      <start>36</start>
      <end>37</end>
      <status>unmodified</status>
      <modifiedWord/>
      <trackRevisions>false</trackRevisions>
    </reviewItem>
    <reviewItem>
      <errorID>e8e44973-b2c1-41bc-8503-4a0905a8edc3</errorID>
      <errorWord>;</errorWord>
      <group>L1_Format</group>
      <groupName>格式问题</groupName>
      <ability>L2_HalfPunc</ability>
      <abilityName>全半角检查</abilityName>
      <candidateList>
        <item>；</item>
      </candidateList>
      <explain>文本全半角错误。</explain>
      <paraID>1772EA61</paraID>
      <start>31</start>
      <end>32</end>
      <status>unmodified</status>
      <modifiedWord/>
      <trackRevisions>false</trackRevisions>
    </reviewItem>
    <reviewItem>
      <errorID>93a82701-1b46-4724-a882-041297e20d42</errorID>
      <errorWord>;</errorWord>
      <group>L1_Format</group>
      <groupName>格式问题</groupName>
      <ability>L2_HalfPunc</ability>
      <abilityName>全半角检查</abilityName>
      <candidateList>
        <item>；</item>
      </candidateList>
      <explain>文本全半角错误。</explain>
      <paraID>4354A1AC</paraID>
      <start>33</start>
      <end>34</end>
      <status>unmodified</status>
      <modifiedWord/>
      <trackRevisions>false</trackRevisions>
    </reviewItem>
    <reviewItem>
      <errorID>311f23f5-57d1-4df8-97f2-5461c5a6e0b9</errorID>
      <errorWord>法律、法规</errorWord>
      <group>L1_Word</group>
      <groupName>字词问题</groupName>
      <ability>L2_Typo</ability>
      <abilityName>字词错误</abilityName>
      <candidateList>
        <item>法律法规</item>
      </candidateList>
      <explain/>
      <paraID>65C8AE31</paraID>
      <start>4</start>
      <end>9</end>
      <status>unmodified</status>
      <modifiedWord/>
      <trackRevisions>false</trackRevisions>
    </reviewItem>
    <reviewItem>
      <errorID>fda5e32c-02a1-4379-8fb8-2df795bb0c66</errorID>
      <errorWord>;</errorWord>
      <group>L1_Format</group>
      <groupName>格式问题</groupName>
      <ability>L2_HalfPunc</ability>
      <abilityName>全半角检查</abilityName>
      <candidateList>
        <item>；</item>
      </candidateList>
      <explain>文本全半角错误。</explain>
      <paraID>7E632F82</paraID>
      <start>21</start>
      <end>22</end>
      <status>unmodified</status>
      <modifiedWord/>
      <trackRevisions>false</trackRevisions>
    </reviewItem>
    <reviewItem>
      <errorID>61c21906-3766-4980-a123-78fc1348e9c7</errorID>
      <errorWord>;</errorWord>
      <group>L1_Format</group>
      <groupName>格式问题</groupName>
      <ability>L2_HalfPunc</ability>
      <abilityName>全半角检查</abilityName>
      <candidateList>
        <item>；</item>
      </candidateList>
      <explain>文本全半角错误。</explain>
      <paraID> 4D60BF2</paraID>
      <start>54</start>
      <end>55</end>
      <status>unmodified</status>
      <modifiedWord/>
      <trackRevisions>false</trackRevisions>
    </reviewItem>
    <reviewItem>
      <errorID>8cbaebb7-388e-4070-b074-84dc119af4a6</errorID>
      <errorWord>;</errorWord>
      <group>L1_Format</group>
      <groupName>格式问题</groupName>
      <ability>L2_HalfPunc</ability>
      <abilityName>全半角检查</abilityName>
      <candidateList>
        <item>；</item>
      </candidateList>
      <explain>文本全半角错误。</explain>
      <paraID> 4D60BF2</paraID>
      <start>84</start>
      <end>85</end>
      <status>unmodified</status>
      <modifiedWord/>
      <trackRevisions>false</trackRevisions>
    </reviewItem>
    <reviewItem>
      <errorID>ea493b1e-c965-4acf-a24d-c9d9df01c33d</errorID>
      <errorWord>法律、法规</errorWord>
      <group>L1_Word</group>
      <groupName>字词问题</groupName>
      <ability>L2_Typo</ability>
      <abilityName>字词错误</abilityName>
      <candidateList>
        <item>法律法规</item>
      </candidateList>
      <explain/>
      <paraID>774412D5</paraID>
      <start>4</start>
      <end>9</end>
      <status>unmodified</status>
      <modifiedWord/>
      <trackRevisions>false</trackRevisions>
    </reviewItem>
    <reviewItem>
      <errorID>ac7138e6-7882-4f9e-be8a-e99b717e085f</errorID>
      <errorWord>;</errorWord>
      <group>L1_Format</group>
      <groupName>格式问题</groupName>
      <ability>L2_HalfPunc</ability>
      <abilityName>全半角检查</abilityName>
      <candidateList>
        <item>；</item>
      </candidateList>
      <explain>文本全半角错误。</explain>
      <paraID>535AD177</paraID>
      <start>14</start>
      <end>15</end>
      <status>unmodified</status>
      <modifiedWord/>
      <trackRevisions>false</trackRevisions>
    </reviewItem>
    <reviewItem>
      <errorID>e5780245-9144-46c2-accc-1156b2cdfc81</errorID>
      <errorWord>;</errorWord>
      <group>L1_Format</group>
      <groupName>格式问题</groupName>
      <ability>L2_HalfPunc</ability>
      <abilityName>全半角检查</abilityName>
      <candidateList>
        <item>；</item>
      </candidateList>
      <explain>文本全半角错误。</explain>
      <paraID>460FAE10</paraID>
      <start>12</start>
      <end>13</end>
      <status>unmodified</status>
      <modifiedWord/>
      <trackRevisions>false</trackRevisions>
    </reviewItem>
    <reviewItem>
      <errorID>67bf9016-48fc-4650-a6cb-a7d60365be5c</errorID>
      <errorWord>;</errorWord>
      <group>L1_Format</group>
      <groupName>格式问题</groupName>
      <ability>L2_HalfPunc</ability>
      <abilityName>全半角检查</abilityName>
      <candidateList>
        <item>；</item>
      </candidateList>
      <explain>文本全半角错误。</explain>
      <paraID>  F6A225</paraID>
      <start>15</start>
      <end>16</end>
      <status>unmodified</status>
      <modifiedWord/>
      <trackRevisions>false</trackRevisions>
    </reviewItem>
    <reviewItem>
      <errorID>792a9f88-fee2-415f-9ad4-ffae6d2bf521</errorID>
      <errorWord>:</errorWord>
      <group>L1_Format</group>
      <groupName>格式问题</groupName>
      <ability>L2_HalfPunc</ability>
      <abilityName>全半角检查</abilityName>
      <candidateList>
        <item>：</item>
      </candidateList>
      <explain>文本全半角错误。</explain>
      <paraID>1B2A281D</paraID>
      <start>14</start>
      <end>15</end>
      <status>unmodified</status>
      <modifiedWord/>
      <trackRevisions>false</trackRevisions>
    </reviewItem>
    <reviewItem>
      <errorID>301f4646-4ca4-4d1e-a418-634b277080be</errorID>
      <errorWord>;</errorWord>
      <group>L1_Format</group>
      <groupName>格式问题</groupName>
      <ability>L2_HalfPunc</ability>
      <abilityName>全半角检查</abilityName>
      <candidateList>
        <item>；</item>
      </candidateList>
      <explain>文本全半角错误。</explain>
      <paraID>6DFED93B</paraID>
      <start>16</start>
      <end>17</end>
      <status>unmodified</status>
      <modifiedWord/>
      <trackRevisions>false</trackRevisions>
    </reviewItem>
    <reviewItem>
      <errorID>02bd15c6-cdd1-48e6-acb8-91ccd248b85b</errorID>
      <errorWord>;</errorWord>
      <group>L1_Format</group>
      <groupName>格式问题</groupName>
      <ability>L2_HalfPunc</ability>
      <abilityName>全半角检查</abilityName>
      <candidateList>
        <item>；</item>
      </candidateList>
      <explain>文本全半角错误。</explain>
      <paraID>7C6E01C8</paraID>
      <start>20</start>
      <end>21</end>
      <status>unmodified</status>
      <modifiedWord/>
      <trackRevisions>false</trackRevisions>
    </reviewItem>
    <reviewItem>
      <errorID>fc836bfa-5132-4595-8710-f2f032044015</errorID>
      <errorWord>;</errorWord>
      <group>L1_Format</group>
      <groupName>格式问题</groupName>
      <ability>L2_HalfPunc</ability>
      <abilityName>全半角检查</abilityName>
      <candidateList>
        <item>；</item>
      </candidateList>
      <explain>文本全半角错误。</explain>
      <paraID>236BFE6C</paraID>
      <start>17</start>
      <end>18</end>
      <status>unmodified</status>
      <modifiedWord/>
      <trackRevisions>false</trackRevisions>
    </reviewItem>
    <reviewItem>
      <errorID>d93b2529-d2aa-4b96-97b4-ed87c0251d4b</errorID>
      <errorWord>;</errorWord>
      <group>L1_Format</group>
      <groupName>格式问题</groupName>
      <ability>L2_HalfPunc</ability>
      <abilityName>全半角检查</abilityName>
      <candidateList>
        <item>；</item>
      </candidateList>
      <explain>文本全半角错误。</explain>
      <paraID>54088E41</paraID>
      <start>14</start>
      <end>15</end>
      <status>unmodified</status>
      <modifiedWord/>
      <trackRevisions>false</trackRevisions>
    </reviewItem>
    <reviewItem>
      <errorID>96abf04e-4ace-4643-9f44-b924f44c9f77</errorID>
      <errorWord>;</errorWord>
      <group>L1_Format</group>
      <groupName>格式问题</groupName>
      <ability>L2_HalfPunc</ability>
      <abilityName>全半角检查</abilityName>
      <candidateList>
        <item>；</item>
      </candidateList>
      <explain>文本全半角错误。</explain>
      <paraID>38D5D6C7</paraID>
      <start>48</start>
      <end>49</end>
      <status>unmodified</status>
      <modifiedWord/>
      <trackRevisions>false</trackRevisions>
    </reviewItem>
    <reviewItem>
      <errorID>3e60b40f-bc37-4b13-8962-b5a000d5f60b</errorID>
      <errorWord>;</errorWord>
      <group>L1_Format</group>
      <groupName>格式问题</groupName>
      <ability>L2_HalfPunc</ability>
      <abilityName>全半角检查</abilityName>
      <candidateList>
        <item>；</item>
      </candidateList>
      <explain>文本全半角错误。</explain>
      <paraID>60CB519C</paraID>
      <start>75</start>
      <end>76</end>
      <status>unmodified</status>
      <modifiedWord/>
      <trackRevisions>false</trackRevisions>
    </reviewItem>
    <reviewItem>
      <errorID>75e49c33-3095-4dcc-98a1-44d2bfeef26a</errorID>
      <errorWord>法律、法规</errorWord>
      <group>L1_Word</group>
      <groupName>字词问题</groupName>
      <ability>L2_Typo</ability>
      <abilityName>字词错误</abilityName>
      <candidateList>
        <item>法律法规</item>
      </candidateList>
      <explain/>
      <paraID>2C643ED0</paraID>
      <start>5</start>
      <end>10</end>
      <status>unmodified</status>
      <modifiedWord/>
      <trackRevisions>false</trackRevisions>
    </reviewItem>
    <reviewItem>
      <errorID>7c776c78-ac85-47b5-8be5-27e1e4b1b43e</errorID>
      <errorWord>;</errorWord>
      <group>L1_Format</group>
      <groupName>格式问题</groupName>
      <ability>L2_HalfPunc</ability>
      <abilityName>全半角检查</abilityName>
      <candidateList>
        <item>；</item>
      </candidateList>
      <explain>文本全半角错误。</explain>
      <paraID>6EB64012</paraID>
      <start>51</start>
      <end>52</end>
      <status>unmodified</status>
      <modifiedWord/>
      <trackRevisions>false</trackRevisions>
    </reviewItem>
    <reviewItem>
      <errorID>3a71063f-3a8c-4ace-a9fc-b1165fa27173</errorID>
      <errorWord>;</errorWord>
      <group>L1_Format</group>
      <groupName>格式问题</groupName>
      <ability>L2_HalfPunc</ability>
      <abilityName>全半角检查</abilityName>
      <candidateList>
        <item>；</item>
      </candidateList>
      <explain>文本全半角错误。</explain>
      <paraID>29291727</paraID>
      <start>40</start>
      <end>41</end>
      <status>unmodified</status>
      <modifiedWord/>
      <trackRevisions>false</trackRevisions>
    </reviewItem>
    <reviewItem>
      <errorID>ad3eb2a9-3b40-4d07-a3a1-94386309fdd4</errorID>
      <errorWord>法律、法规</errorWord>
      <group>L1_Word</group>
      <groupName>字词问题</groupName>
      <ability>L2_Typo</ability>
      <abilityName>字词错误</abilityName>
      <candidateList>
        <item>法律法规</item>
      </candidateList>
      <explain/>
      <paraID>375D2980</paraID>
      <start>4</start>
      <end>9</end>
      <status>unmodified</status>
      <modifiedWord/>
      <trackRevisions>false</trackRevisions>
    </reviewItem>
    <reviewItem>
      <errorID>aa55d6d5-56e8-4fea-894a-c82261c1d3ca</errorID>
      <errorWord>)</errorWord>
      <group>L1_Format</group>
      <groupName>格式问题</groupName>
      <ability>L2_HalfPunc</ability>
      <abilityName>全半角检查</abilityName>
      <candidateList>
        <item>）</item>
      </candidateList>
      <explain>文本全半角错误。</explain>
      <paraID> FDC0350</paraID>
      <start>26</start>
      <end>27</end>
      <status>unmodified</status>
      <modifiedWord/>
      <trackRevisions>false</trackRevisions>
    </reviewItem>
    <reviewItem>
      <errorID>8b59c391-ab67-4745-a58e-45385dd9d703</errorID>
      <errorWord>(</errorWord>
      <group>L1_Format</group>
      <groupName>格式问题</groupName>
      <ability>L2_HalfPunc</ability>
      <abilityName>全半角检查</abilityName>
      <candidateList>
        <item>（</item>
      </candidateList>
      <explain>文本全半角错误。</explain>
      <paraID> E9BE66D</paraID>
      <start>64</start>
      <end>65</end>
      <status>unmodified</status>
      <modifiedWord/>
      <trackRevisions>false</trackRevisions>
    </reviewItem>
    <reviewItem>
      <errorID>a23908c4-5487-4a56-9303-e278488386ab</errorID>
      <errorWord>)</errorWord>
      <group>L1_Format</group>
      <groupName>格式问题</groupName>
      <ability>L2_HalfPunc</ability>
      <abilityName>全半角检查</abilityName>
      <candidateList>
        <item>）</item>
      </candidateList>
      <explain>文本全半角错误。</explain>
      <paraID> E9BE66D</paraID>
      <start>67</start>
      <end>68</end>
      <status>unmodified</status>
      <modifiedWord/>
      <trackRevisions>false</trackRevisions>
    </reviewItem>
    <reviewItem>
      <errorID>c21995b8-dc8a-4435-9a70-ba0088802639</errorID>
      <errorWord>:</errorWord>
      <group>L1_Format</group>
      <groupName>格式问题</groupName>
      <ability>L2_HalfPunc</ability>
      <abilityName>全半角检查</abilityName>
      <candidateList>
        <item>：</item>
      </candidateList>
      <explain>文本全半角错误。</explain>
      <paraID>4F4E5C37</paraID>
      <start>1</start>
      <end>2</end>
      <status>unmodified</status>
      <modifiedWord/>
      <trackRevisions>false</trackRevisions>
    </reviewItem>
    <reviewItem>
      <errorID>e29494e9-3c5c-4553-a74e-eeca170df8fd</errorID>
      <errorWord>一二三产融合</errorWord>
      <group>L1_Political</group>
      <groupName>政治性问题</groupName>
      <ability>L2_Keyword</ability>
      <abilityName>固定表述</abilityName>
      <candidateList>
        <item>一二三产业融合</item>
      </candidateList>
      <explain>词汇“一二三产业融合”在特定场景下为固定表述形式，请确认此处的“一二三产融合”是否存在不当。</explain>
      <paraID>3B0D0C5B</paraID>
      <start>37</start>
      <end>44</end>
      <status>modified</status>
      <modifiedWord>一二三产业融合</modifiedWord>
      <trackRevisions>false</trackRevisions>
    </reviewItem>
    <reviewItem>
      <errorID>b1388449-bc15-437e-bd00-7e46e1b6ce6e</errorID>
      <errorWord>联通性</errorWord>
      <group>L1_Word</group>
      <groupName>字词问题</groupName>
      <ability>L2_Typo</ability>
      <abilityName>字词错误</abilityName>
      <candidateList>
        <item>连通性</item>
      </candidateList>
      <explain/>
      <paraID>6829F25E</paraID>
      <start>71</start>
      <end>74</end>
      <status>unmodified</status>
      <modifiedWord/>
      <trackRevisions>false</trackRevisions>
    </reviewItem>
    <reviewItem>
      <errorID>0c77e636-e5ba-4c01-8f6f-a13e1a0232c8</errorID>
      <errorWord>建筑外墙面</errorWord>
      <group>L1_Knowledge</group>
      <groupName>知识性问题</groupName>
      <ability>L2_Term</ability>
      <abilityName>专业术语</abilityName>
      <candidateList>
        <item>建筑外立面</item>
      </candidateList>
      <explain/>
      <paraID>2D4E4872</paraID>
      <start>97</start>
      <end>102</end>
      <status>unmodified</status>
      <modifiedWord/>
      <trackRevisions>false</trackRevisions>
    </reviewItem>
    <reviewItem>
      <errorID>83716b3b-8a0b-4b52-8bd2-ee2dddc8ac39</errorID>
      <errorWord>，</errorWord>
      <group>L1_Word</group>
      <groupName>字词问题</groupName>
      <ability>L2_Typo</ability>
      <abilityName>字词错误</abilityName>
      <candidateList>
        <item>，由</item>
      </candidateList>
      <explain/>
      <paraID>61D29588</paraID>
      <start>41</start>
      <end>42</end>
      <status>unmodified</status>
      <modifiedWord/>
      <trackRevisions>false</trackRevisions>
    </reviewItem>
    <reviewItem>
      <errorID>9b34fc48-aab2-40c9-8446-e6535fd7e0cd</errorID>
      <errorWord>”、“</errorWord>
      <group>L1_Punc</group>
      <groupName>标点问题</groupName>
      <ability>L2_Punc</ability>
      <abilityName>标点符号检查</abilityName>
      <candidateList>
        <item>”“</item>
      </candidateList>
      <explain>根据国标GB/T 15834-2011《标点符号用法》中的4.5.3.5节，标有引号的并列成分之间、标有书名号的并列成分之间通常不用顿号。如“《红楼梦》《三国演义》《西游记》《水浒传》，是我国长篇小说的四大名著”。</explain>
      <paraID>53B2D372</paraID>
      <start>24</start>
      <end>27</end>
      <status>unmodified</status>
      <modifiedWord/>
      <trackRevisions>false</trackRevisions>
    </reviewItem>
    <reviewItem>
      <errorID>efd702de-3005-4ee8-83be-d317998cd210</errorID>
      <errorWord>言简意骸</errorWord>
      <group>L1_Knowledge</group>
      <groupName>知识性问题</groupName>
      <ability>L2_Idiom</ability>
      <abilityName>成语和诗歌</abilityName>
      <candidateList>
        <item>言简意深</item>
      </candidateList>
      <explain>言辞简练，含意深刻。</explain>
      <paraID>5D39CC89</paraID>
      <start>31</start>
      <end>35</end>
      <status>unmodified</status>
      <modifiedWord/>
      <trackRevisions>false</trackRevisions>
    </reviewItem>
    <reviewItem>
      <errorID>67d8e559-0e4f-42ee-8500-20c916961e99</errorID>
      <errorWord>，</errorWord>
      <group>L1_Word</group>
      <groupName>字词问题</groupName>
      <ability>L2_Typo</ability>
      <abilityName>字词错误</abilityName>
      <candidateList>
        <item>，以</item>
      </candidateList>
      <explain/>
      <paraID>16350AFE</paraID>
      <start>36</start>
      <end>38</end>
      <status>modified</status>
      <modifiedWord>，以</modifiedWord>
      <trackRevisions>false</trackRevisions>
    </reviewItem>
    <reviewItem>
      <errorID>40225822-d315-43d7-9b1e-84d27737adaf</errorID>
      <errorWord>)</errorWord>
      <group>L1_Format</group>
      <groupName>格式问题</groupName>
      <ability>L2_HalfPunc</ability>
      <abilityName>全半角检查</abilityName>
      <candidateList>
        <item>）</item>
      </candidateList>
      <explain>文本全半角错误。</explain>
      <paraID>6660AF3F</paraID>
      <start>19</start>
      <end>20</end>
      <status>unmodified</status>
      <modifiedWord/>
      <trackRevisions>false</trackRevisions>
    </reviewItem>
  </reviewItems>
  <config/>
</contractReview>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bffc684-f1d1-4a19-8a6b-2b18a9feb780}">
  <ds:schemaRefs/>
</ds:datastoreItem>
</file>

<file path=customXml/itemProps3.xml><?xml version="1.0" encoding="utf-8"?>
<ds:datastoreItem xmlns:ds="http://schemas.openxmlformats.org/officeDocument/2006/customXml" ds:itemID="{90836915-A3B0-4DD5-B54D-078305C85CB1}">
  <ds:schemaRefs/>
</ds:datastoreItem>
</file>

<file path=docProps/app.xml><?xml version="1.0" encoding="utf-8"?>
<Properties xmlns="http://schemas.openxmlformats.org/officeDocument/2006/extended-properties" xmlns:vt="http://schemas.openxmlformats.org/officeDocument/2006/docPropsVTypes">
  <Template>Normal.dotm</Template>
  <Pages>73</Pages>
  <Words>3782</Words>
  <Characters>3846</Characters>
  <Lines>1925</Lines>
  <Paragraphs>2048</Paragraphs>
  <TotalTime>0</TotalTime>
  <ScaleCrop>false</ScaleCrop>
  <LinksUpToDate>false</LinksUpToDate>
  <CharactersWithSpaces>3968</CharactersWithSpaces>
  <Application>WPS Office_11.1.0.11636_F1E327BC-269C-435d-A152-05C5408002CA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2024-12-07T15:58:00Z</dcterms:created>
  <dc:creator>ZYP</dc:creator>
  <cp:lastModifiedBy>lenovo-KG</cp:lastModifiedBy>
  <cp:lastPrinted>2025-10-29T08:21:00Z</cp:lastPrinted>
  <dcterms:modified xsi:type="dcterms:W3CDTF">2025-11-18T02:59:21Z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2023-08-01T00:00:00Z</vt:filetime>
  </property>
  <property fmtid="{D5CDD505-2E9C-101B-9397-08002B2CF9AE}" pid="3" name="Creator">
    <vt:lpwstr>Microsoft® Word 2021</vt:lpwstr>
  </property>
  <property fmtid="{D5CDD505-2E9C-101B-9397-08002B2CF9AE}" pid="4" name="LastSaved">
    <vt:filetime>2023-08-07T00:00:00Z</vt:filetime>
  </property>
  <property fmtid="{D5CDD505-2E9C-101B-9397-08002B2CF9AE}" pid="5" name="KSOProductBuildVer">
    <vt:lpwstr>2052-11.1.0.11636</vt:lpwstr>
  </property>
  <property fmtid="{D5CDD505-2E9C-101B-9397-08002B2CF9AE}" pid="6" name="ICV">
    <vt:lpwstr>44EB16F5EFCB45ACB528284EE1727BAB_13</vt:lpwstr>
  </property>
  <property fmtid="{D5CDD505-2E9C-101B-9397-08002B2CF9AE}" pid="7" name="KSOTemplateDocerSaveRecord">
    <vt:lpwstr>eyJoZGlkIjoiNzhjNTU3OTViZDM3ZTljOGNlZjUwNTUzMTY5MDVmZjciLCJ1c2VySWQiOiIxMjk0MDI1MjUwIn0=</vt:lpwstr>
  </property>
</Properties>
</file>