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04697">
      <w:pPr>
        <w:spacing w:line="600" w:lineRule="exact"/>
        <w:jc w:val="left"/>
        <w:rPr>
          <w:rFonts w:hint="default" w:ascii="Times New Roman" w:hAnsi="Times New Roman" w:eastAsia="楷体" w:cs="Times New Roman"/>
          <w:sz w:val="32"/>
          <w:szCs w:val="32"/>
        </w:rPr>
      </w:pPr>
    </w:p>
    <w:p w14:paraId="23D8368C">
      <w:pPr>
        <w:spacing w:line="600" w:lineRule="exact"/>
        <w:jc w:val="center"/>
        <w:rPr>
          <w:rFonts w:hint="eastAsia" w:ascii="方正小标宋_GBK" w:hAnsi="Times New Roman" w:eastAsia="方正小标宋_GBK" w:cs="方正仿宋_GBK"/>
          <w:sz w:val="36"/>
          <w:szCs w:val="36"/>
        </w:rPr>
      </w:pPr>
    </w:p>
    <w:p w14:paraId="7354E849">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萧县</w:t>
      </w:r>
      <w:r>
        <w:rPr>
          <w:rFonts w:hint="default" w:ascii="Times New Roman" w:hAnsi="Times New Roman" w:eastAsia="方正小标宋_GBK" w:cs="Times New Roman"/>
          <w:sz w:val="44"/>
          <w:szCs w:val="44"/>
          <w:lang w:val="en-US" w:eastAsia="zh-CN"/>
        </w:rPr>
        <w:t>青龙集镇人民政府</w:t>
      </w:r>
      <w:r>
        <w:rPr>
          <w:rFonts w:hint="default" w:ascii="Times New Roman" w:hAnsi="Times New Roman" w:eastAsia="方正小标宋_GBK" w:cs="Times New Roman"/>
          <w:sz w:val="44"/>
          <w:szCs w:val="44"/>
        </w:rPr>
        <w:t>2026年</w:t>
      </w:r>
    </w:p>
    <w:p w14:paraId="2B6B8C9B">
      <w:pPr>
        <w:spacing w:line="600" w:lineRule="exact"/>
        <w:jc w:val="center"/>
        <w:rPr>
          <w:rFonts w:hint="default" w:ascii="Times New Roman" w:hAnsi="Times New Roman" w:eastAsia="方正仿宋_GBK" w:cs="Times New Roman"/>
          <w:color w:val="FF0000"/>
          <w:sz w:val="32"/>
          <w:szCs w:val="32"/>
        </w:rPr>
      </w:pPr>
      <w:r>
        <w:rPr>
          <w:rFonts w:hint="default" w:ascii="Times New Roman" w:hAnsi="Times New Roman" w:eastAsia="方正小标宋_GBK" w:cs="Times New Roman"/>
          <w:sz w:val="44"/>
          <w:szCs w:val="44"/>
        </w:rPr>
        <w:t>部门预算</w:t>
      </w:r>
    </w:p>
    <w:p w14:paraId="616846D6">
      <w:pPr>
        <w:spacing w:line="60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28D87990">
      <w:pPr>
        <w:spacing w:line="600" w:lineRule="exact"/>
        <w:jc w:val="left"/>
        <w:rPr>
          <w:rFonts w:hint="default" w:ascii="Times New Roman" w:hAnsi="Times New Roman" w:eastAsia="方正仿宋_GBK" w:cs="Times New Roman"/>
          <w:sz w:val="28"/>
          <w:szCs w:val="32"/>
        </w:rPr>
      </w:pPr>
    </w:p>
    <w:p w14:paraId="792C2B0C">
      <w:pPr>
        <w:spacing w:line="600" w:lineRule="exact"/>
        <w:jc w:val="left"/>
        <w:rPr>
          <w:rFonts w:hint="default" w:ascii="Times New Roman" w:hAnsi="Times New Roman" w:eastAsia="方正仿宋_GBK" w:cs="Times New Roman"/>
          <w:sz w:val="28"/>
          <w:szCs w:val="32"/>
        </w:rPr>
      </w:pPr>
    </w:p>
    <w:p w14:paraId="0AD19828">
      <w:pPr>
        <w:spacing w:line="600" w:lineRule="exact"/>
        <w:jc w:val="left"/>
        <w:rPr>
          <w:rFonts w:hint="default" w:ascii="Times New Roman" w:hAnsi="Times New Roman" w:eastAsia="方正仿宋_GBK" w:cs="Times New Roman"/>
          <w:sz w:val="28"/>
          <w:szCs w:val="32"/>
        </w:rPr>
      </w:pPr>
    </w:p>
    <w:p w14:paraId="3515C084">
      <w:pPr>
        <w:spacing w:line="600" w:lineRule="exact"/>
        <w:jc w:val="left"/>
        <w:rPr>
          <w:rFonts w:hint="default" w:ascii="Times New Roman" w:hAnsi="Times New Roman" w:eastAsia="方正仿宋_GBK" w:cs="Times New Roman"/>
          <w:sz w:val="28"/>
          <w:szCs w:val="32"/>
        </w:rPr>
      </w:pPr>
    </w:p>
    <w:p w14:paraId="4D9618ED">
      <w:pPr>
        <w:spacing w:line="600" w:lineRule="exact"/>
        <w:jc w:val="left"/>
        <w:rPr>
          <w:rFonts w:hint="default" w:ascii="Times New Roman" w:hAnsi="Times New Roman" w:eastAsia="方正仿宋_GBK" w:cs="Times New Roman"/>
          <w:sz w:val="28"/>
          <w:szCs w:val="32"/>
        </w:rPr>
      </w:pPr>
    </w:p>
    <w:p w14:paraId="55507D80">
      <w:pPr>
        <w:spacing w:line="600" w:lineRule="exact"/>
        <w:jc w:val="left"/>
        <w:rPr>
          <w:rFonts w:hint="default" w:ascii="Times New Roman" w:hAnsi="Times New Roman" w:eastAsia="方正仿宋_GBK" w:cs="Times New Roman"/>
          <w:sz w:val="28"/>
          <w:szCs w:val="32"/>
        </w:rPr>
      </w:pPr>
    </w:p>
    <w:p w14:paraId="0C9F5C19">
      <w:pPr>
        <w:spacing w:line="600" w:lineRule="exact"/>
        <w:jc w:val="left"/>
        <w:rPr>
          <w:rFonts w:hint="default" w:ascii="Times New Roman" w:hAnsi="Times New Roman" w:eastAsia="方正仿宋_GBK" w:cs="Times New Roman"/>
          <w:sz w:val="28"/>
          <w:szCs w:val="32"/>
        </w:rPr>
      </w:pPr>
    </w:p>
    <w:p w14:paraId="6B44A3FD">
      <w:pPr>
        <w:spacing w:line="600" w:lineRule="exact"/>
        <w:jc w:val="left"/>
        <w:rPr>
          <w:rFonts w:hint="default" w:ascii="Times New Roman" w:hAnsi="Times New Roman" w:eastAsia="方正仿宋_GBK" w:cs="Times New Roman"/>
          <w:sz w:val="28"/>
          <w:szCs w:val="32"/>
        </w:rPr>
      </w:pPr>
    </w:p>
    <w:p w14:paraId="24AE2BB7">
      <w:pPr>
        <w:spacing w:line="600" w:lineRule="exact"/>
        <w:jc w:val="left"/>
        <w:rPr>
          <w:rFonts w:hint="default" w:ascii="Times New Roman" w:hAnsi="Times New Roman" w:eastAsia="方正仿宋_GBK" w:cs="Times New Roman"/>
          <w:sz w:val="28"/>
          <w:szCs w:val="32"/>
        </w:rPr>
      </w:pPr>
    </w:p>
    <w:p w14:paraId="37B3CE23">
      <w:pPr>
        <w:spacing w:line="600" w:lineRule="exact"/>
        <w:jc w:val="left"/>
        <w:rPr>
          <w:rFonts w:hint="default" w:ascii="Times New Roman" w:hAnsi="Times New Roman" w:eastAsia="方正仿宋_GBK" w:cs="Times New Roman"/>
          <w:sz w:val="28"/>
          <w:szCs w:val="32"/>
        </w:rPr>
      </w:pPr>
    </w:p>
    <w:p w14:paraId="30EE9C9B">
      <w:pPr>
        <w:spacing w:line="600" w:lineRule="exact"/>
        <w:jc w:val="left"/>
        <w:rPr>
          <w:rFonts w:hint="default" w:ascii="Times New Roman" w:hAnsi="Times New Roman" w:eastAsia="方正仿宋_GBK" w:cs="Times New Roman"/>
          <w:sz w:val="28"/>
          <w:szCs w:val="32"/>
        </w:rPr>
      </w:pPr>
    </w:p>
    <w:p w14:paraId="313E57B0">
      <w:pPr>
        <w:spacing w:line="600" w:lineRule="exact"/>
        <w:jc w:val="left"/>
        <w:rPr>
          <w:rFonts w:hint="default" w:ascii="Times New Roman" w:hAnsi="Times New Roman" w:eastAsia="方正仿宋_GBK" w:cs="Times New Roman"/>
          <w:sz w:val="28"/>
          <w:szCs w:val="32"/>
        </w:rPr>
      </w:pPr>
    </w:p>
    <w:p w14:paraId="1B069411">
      <w:pPr>
        <w:spacing w:line="600" w:lineRule="exact"/>
        <w:jc w:val="left"/>
        <w:rPr>
          <w:rFonts w:hint="default" w:ascii="Times New Roman" w:hAnsi="Times New Roman" w:eastAsia="方正仿宋_GBK" w:cs="Times New Roman"/>
          <w:sz w:val="28"/>
          <w:szCs w:val="32"/>
        </w:rPr>
      </w:pPr>
    </w:p>
    <w:p w14:paraId="7303D864">
      <w:pPr>
        <w:spacing w:line="600" w:lineRule="exact"/>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2026年</w:t>
      </w:r>
      <w:r>
        <w:rPr>
          <w:rFonts w:hint="eastAsia" w:ascii="Times New Roman" w:hAnsi="Times New Roman" w:eastAsia="方正仿宋_GBK" w:cs="Times New Roman"/>
          <w:sz w:val="44"/>
          <w:szCs w:val="44"/>
          <w:lang w:val="en-US" w:eastAsia="zh-CN"/>
        </w:rPr>
        <w:t>2</w:t>
      </w:r>
      <w:r>
        <w:rPr>
          <w:rFonts w:hint="default" w:ascii="Times New Roman" w:hAnsi="Times New Roman" w:eastAsia="方正仿宋_GBK" w:cs="Times New Roman"/>
          <w:sz w:val="44"/>
          <w:szCs w:val="44"/>
        </w:rPr>
        <w:t>月</w:t>
      </w:r>
    </w:p>
    <w:p w14:paraId="69A5E854">
      <w:pPr>
        <w:spacing w:line="600" w:lineRule="exact"/>
        <w:jc w:val="center"/>
        <w:rPr>
          <w:rFonts w:hint="default" w:ascii="Times New Roman" w:hAnsi="Times New Roman" w:eastAsia="黑体" w:cs="Times New Roman"/>
          <w:sz w:val="44"/>
          <w:szCs w:val="44"/>
        </w:rPr>
      </w:pPr>
      <w:r>
        <w:rPr>
          <w:rFonts w:hint="default" w:ascii="Times New Roman" w:hAnsi="Times New Roman" w:eastAsia="方正仿宋_GBK" w:cs="Times New Roman"/>
          <w:sz w:val="32"/>
          <w:szCs w:val="32"/>
        </w:rPr>
        <w:br w:type="page"/>
      </w:r>
      <w:r>
        <w:rPr>
          <w:rFonts w:hint="default" w:ascii="Times New Roman" w:hAnsi="Times New Roman" w:eastAsia="黑体" w:cs="Times New Roman"/>
          <w:sz w:val="44"/>
          <w:szCs w:val="44"/>
        </w:rPr>
        <w:t>目  录</w:t>
      </w:r>
    </w:p>
    <w:p w14:paraId="44C0CAC7">
      <w:pPr>
        <w:spacing w:line="560" w:lineRule="exact"/>
        <w:jc w:val="left"/>
        <w:rPr>
          <w:rFonts w:hint="default" w:ascii="Times New Roman" w:hAnsi="Times New Roman" w:eastAsia="方正小标宋_GBK" w:cs="Times New Roman"/>
          <w:sz w:val="28"/>
          <w:szCs w:val="32"/>
        </w:rPr>
      </w:pPr>
    </w:p>
    <w:p w14:paraId="1B90B1F2">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第一部分 部门概况</w:t>
      </w:r>
    </w:p>
    <w:p w14:paraId="31DC8D5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1.主要职责</w:t>
      </w:r>
    </w:p>
    <w:p w14:paraId="60D1FA0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2.部门预算构成</w:t>
      </w:r>
    </w:p>
    <w:p w14:paraId="5A2631C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3.2026年度主要工作任务</w:t>
      </w:r>
    </w:p>
    <w:p w14:paraId="7341E4C1">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第二部分 2026年部门预算表</w:t>
      </w:r>
    </w:p>
    <w:p w14:paraId="63E5BB1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2026年收支总表</w:t>
      </w:r>
    </w:p>
    <w:p w14:paraId="793D7B3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2026年收入总表</w:t>
      </w:r>
    </w:p>
    <w:p w14:paraId="7669807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2026年支出总表</w:t>
      </w:r>
    </w:p>
    <w:p w14:paraId="722EB5E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 xml:space="preserve">2026年财政拨款收支总表 </w:t>
      </w:r>
    </w:p>
    <w:p w14:paraId="2DBE14B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2026年一般公共预算支出表</w:t>
      </w:r>
    </w:p>
    <w:p w14:paraId="451898C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2026年一般公共预算基本支出表</w:t>
      </w:r>
    </w:p>
    <w:p w14:paraId="795AD69D">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 xml:space="preserve">2026年政府性基金预算支出表 </w:t>
      </w:r>
    </w:p>
    <w:p w14:paraId="637B7F2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2026年国有资本经营预算支出表</w:t>
      </w:r>
    </w:p>
    <w:p w14:paraId="2BC5EEE9">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 xml:space="preserve">2026年项目支出表 </w:t>
      </w:r>
    </w:p>
    <w:p w14:paraId="5639569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 xml:space="preserve">2026年政府采购支出表 </w:t>
      </w:r>
    </w:p>
    <w:p w14:paraId="260565AB">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sz w:val="32"/>
          <w:szCs w:val="32"/>
          <w:lang w:val="en-US" w:eastAsia="zh-CN"/>
        </w:rPr>
        <w:t>青龙集镇人民政府</w:t>
      </w:r>
      <w:r>
        <w:rPr>
          <w:rFonts w:hint="default" w:ascii="Times New Roman" w:hAnsi="Times New Roman" w:eastAsia="方正仿宋_GBK" w:cs="Times New Roman"/>
          <w:sz w:val="32"/>
          <w:szCs w:val="32"/>
        </w:rPr>
        <w:t>2026年政府购买服务支出表</w:t>
      </w:r>
    </w:p>
    <w:p w14:paraId="7A7978D7">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第三部分 2026年部门预算情况说明 </w:t>
      </w:r>
    </w:p>
    <w:p w14:paraId="0D318C7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1.关于2026年收支总表的说明 </w:t>
      </w:r>
    </w:p>
    <w:p w14:paraId="205DFF9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2.关于2026年收入总表的说明 </w:t>
      </w:r>
    </w:p>
    <w:p w14:paraId="0D4D36E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3.关于2026年支出总表的说明 </w:t>
      </w:r>
    </w:p>
    <w:p w14:paraId="64A6E63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4.关于2026年财政拨款收支总表的说明</w:t>
      </w:r>
    </w:p>
    <w:p w14:paraId="2FD13CE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5.关于2026年一般公共预算支出表的说明</w:t>
      </w:r>
    </w:p>
    <w:p w14:paraId="6C72DF9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6.关于2026年一般公共预算基本支出表的说明</w:t>
      </w:r>
    </w:p>
    <w:p w14:paraId="092A5E22">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7.关于2026年政府性基金预算支出表的说明 </w:t>
      </w:r>
    </w:p>
    <w:p w14:paraId="2D627B0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8.关于2026年国有资本经营预算支出表的说明 </w:t>
      </w:r>
    </w:p>
    <w:p w14:paraId="52352B2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9.关于2026年项目支出表的说明</w:t>
      </w:r>
    </w:p>
    <w:p w14:paraId="66FA600B">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10.关于2026年政府采购支出表的说明 </w:t>
      </w:r>
    </w:p>
    <w:p w14:paraId="418ED5B2">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11.关于2026年政府购买服务支出表的说明 </w:t>
      </w:r>
    </w:p>
    <w:p w14:paraId="713DF7DE">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12.其他重要事项情况说明</w:t>
      </w:r>
    </w:p>
    <w:p w14:paraId="1CACA24A">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第四部分 名词解释</w:t>
      </w:r>
    </w:p>
    <w:p w14:paraId="49EA6B93">
      <w:pPr>
        <w:spacing w:line="560" w:lineRule="exact"/>
        <w:ind w:firstLine="640" w:firstLineChars="200"/>
        <w:jc w:val="center"/>
        <w:rPr>
          <w:rFonts w:hint="default" w:ascii="Times New Roman" w:hAnsi="Times New Roman" w:eastAsia="方正小标宋_GBK" w:cs="Times New Roman"/>
          <w:sz w:val="36"/>
          <w:szCs w:val="36"/>
        </w:rPr>
      </w:pPr>
      <w:r>
        <w:rPr>
          <w:rFonts w:hint="default" w:ascii="Times New Roman" w:hAnsi="Times New Roman" w:eastAsia="方正黑体_GBK" w:cs="Times New Roman"/>
          <w:sz w:val="32"/>
          <w:szCs w:val="32"/>
        </w:rPr>
        <w:br w:type="page"/>
      </w:r>
      <w:r>
        <w:rPr>
          <w:rFonts w:hint="default" w:ascii="Times New Roman" w:hAnsi="Times New Roman" w:eastAsia="方正小标宋_GBK" w:cs="Times New Roman"/>
          <w:sz w:val="36"/>
          <w:szCs w:val="36"/>
        </w:rPr>
        <w:t>第一部分 部门概况</w:t>
      </w:r>
    </w:p>
    <w:p w14:paraId="42970104">
      <w:pPr>
        <w:spacing w:line="560" w:lineRule="exact"/>
        <w:jc w:val="left"/>
        <w:rPr>
          <w:rFonts w:hint="default" w:ascii="Times New Roman" w:hAnsi="Times New Roman" w:eastAsia="方正小标宋_GBK" w:cs="Times New Roman"/>
          <w:sz w:val="32"/>
          <w:szCs w:val="32"/>
        </w:rPr>
      </w:pPr>
    </w:p>
    <w:p w14:paraId="77CB4259">
      <w:pPr>
        <w:spacing w:line="560" w:lineRule="exact"/>
        <w:ind w:firstLine="640" w:firstLineChars="200"/>
        <w:jc w:val="left"/>
        <w:rPr>
          <w:rFonts w:hint="eastAsia" w:ascii="方正黑体_GBK" w:hAnsi="Times New Roman" w:eastAsia="方正黑体_GBK" w:cs="方正仿宋_GBK"/>
          <w:sz w:val="32"/>
          <w:szCs w:val="32"/>
        </w:rPr>
      </w:pPr>
      <w:r>
        <w:rPr>
          <w:rFonts w:hint="eastAsia" w:ascii="方正黑体_GBK" w:hAnsi="Times New Roman" w:eastAsia="方正黑体_GBK" w:cs="方正仿宋_GBK"/>
          <w:sz w:val="32"/>
          <w:szCs w:val="32"/>
        </w:rPr>
        <w:t>一、主要职责</w:t>
      </w:r>
    </w:p>
    <w:p w14:paraId="6CBD8C19">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根据中共萧县县委办公室文件《关于印发〈萧县乡镇党政机构改革实施方案〉的通知》（萧办发[2006]11号）精神，设置萧县青龙集镇人民政府，为县政府工作部门。青龙集镇人民政府是基层国家行政机关，行使本行政区的行政职能。其主要职责是：</w:t>
      </w:r>
    </w:p>
    <w:p w14:paraId="7ED4A249">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（一）党委工作职责</w:t>
      </w:r>
    </w:p>
    <w:p w14:paraId="7EA8DC5F">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1.保证党的路线、方针、政策的贯彻执行。</w:t>
      </w:r>
    </w:p>
    <w:p w14:paraId="40BB225B">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2.保证监督职能。</w:t>
      </w:r>
    </w:p>
    <w:p w14:paraId="0639ED6F">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3.教育和管理职能。</w:t>
      </w:r>
    </w:p>
    <w:p w14:paraId="7DF7EE74">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4.服从和服务于经济建设的职能。</w:t>
      </w:r>
    </w:p>
    <w:p w14:paraId="47767C10">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5.负责抓好本镇党建、群团、精神文明建设、新闻宣传工作。</w:t>
      </w:r>
    </w:p>
    <w:p w14:paraId="2A4DAB4C">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6.完成县委、县政府交给的其它工作任务。</w:t>
      </w:r>
    </w:p>
    <w:p w14:paraId="626944EC">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（二）政府职能</w:t>
      </w:r>
    </w:p>
    <w:p w14:paraId="506384B7">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1.贯彻执行党和国家的路线、方针、政策、法律、法规。</w:t>
      </w:r>
    </w:p>
    <w:p w14:paraId="4AD14BBA">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2.拟定和实施本镇农业、农村经济发展规划、年度计划。</w:t>
      </w:r>
    </w:p>
    <w:p w14:paraId="7757E30B">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3.负责本镇企业发展、企业体制改革、科技进步、经济技术协作，推动外向型经济发展。</w:t>
      </w:r>
    </w:p>
    <w:p w14:paraId="4062BC89">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4.管理和指导本镇农业、企业、计划、财务、统计、审计、价格、物资、设备、技术、劳动、保险、安全生产、质量、土地管理、村镇建设、环境保护等工作。</w:t>
      </w:r>
    </w:p>
    <w:p w14:paraId="019ECE99">
      <w:pPr>
        <w:spacing w:line="560" w:lineRule="exact"/>
        <w:ind w:firstLine="640" w:firstLineChars="200"/>
        <w:jc w:val="left"/>
        <w:rPr>
          <w:rFonts w:hint="eastAsia" w:ascii="方正仿宋_GBK" w:hAnsi="Times New Roman" w:eastAsia="方正仿宋_GBK" w:cs="方正仿宋_GBK"/>
          <w:sz w:val="32"/>
          <w:szCs w:val="32"/>
          <w:lang w:val="en-US"/>
        </w:rPr>
      </w:pPr>
      <w:r>
        <w:rPr>
          <w:rFonts w:hint="eastAsia" w:ascii="方正仿宋_GBK" w:hAnsi="Times New Roman" w:eastAsia="方正仿宋_GBK" w:cs="方正仿宋_GBK"/>
          <w:sz w:val="32"/>
          <w:szCs w:val="32"/>
          <w:lang w:val="en-US" w:eastAsia="zh-CN"/>
        </w:rPr>
        <w:t>5.指导农业、企业固定资产投资项目的咨询、论证、审查；集体经济组织的资产管理和评估；为经济发展提供经济、技术、法律、信息服务。</w:t>
      </w:r>
    </w:p>
    <w:p w14:paraId="0E5AD0F3">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6.指导和管理本镇教育、文化、科技、体育、卫生、人民调解组织建设；做好法制宣传、教育、法律服务、民间纠纷调解工作。</w:t>
      </w:r>
    </w:p>
    <w:p w14:paraId="2C0FD76F">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7.拟定和实施本镇社会治安综合治理计划，并组织、指导、协调、检查各单位工作。</w:t>
      </w:r>
    </w:p>
    <w:p w14:paraId="098EBA8D">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8.拟定本镇民政事业发展和年度工作计划，做好定补、救灾救济、扶贫、双拥、优待、抚恤、老龄、五保、殡改等工作。</w:t>
      </w:r>
    </w:p>
    <w:p w14:paraId="50817A2F">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9.搞好本镇民兵组织建设、国防教育、军事训练、征兵等工作。</w:t>
      </w:r>
    </w:p>
    <w:p w14:paraId="0B98393D">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10.贯彻执行党和国家的计划生育方针、政策，拟定本镇人口与计划生育的年度计划，做好调查研究，检查督促和统计工作。</w:t>
      </w:r>
    </w:p>
    <w:p w14:paraId="31EA2607">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11.编制财政预算内、预算外、自筹资金的年度预算、决算和管理，执行镇人代会审查批准的财政收支预算和县政府下达的收支任务，做好各项财政收入的征收管理、划解工作。</w:t>
      </w:r>
    </w:p>
    <w:p w14:paraId="57175C48">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12.建立健全各项财务制度，加强对本镇企事业、行政单位财务指导管理，提高财政资金使用效益，促进经济和社会事业的协调发展。</w:t>
      </w:r>
    </w:p>
    <w:p w14:paraId="211D38F2">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13.抓好精神文明创建，丰富群众文化生活，提倡移风易俗，反对封建迷信，破除陈规陋习，树立社会主义新风尚。</w:t>
      </w:r>
    </w:p>
    <w:p w14:paraId="70796CB3">
      <w:pPr>
        <w:spacing w:line="560" w:lineRule="exact"/>
        <w:ind w:firstLine="640" w:firstLineChars="200"/>
        <w:jc w:val="left"/>
        <w:rPr>
          <w:rFonts w:hint="eastAsia" w:ascii="方正仿宋_GBK" w:hAnsi="Times New Roman" w:eastAsia="方正仿宋_GBK" w:cs="方正仿宋_GBK"/>
          <w:sz w:val="32"/>
          <w:szCs w:val="32"/>
          <w:lang w:val="en-US" w:eastAsia="zh-CN"/>
        </w:rPr>
      </w:pPr>
      <w:r>
        <w:rPr>
          <w:rFonts w:hint="eastAsia" w:ascii="方正仿宋_GBK" w:hAnsi="Times New Roman" w:eastAsia="方正仿宋_GBK" w:cs="方正仿宋_GBK"/>
          <w:sz w:val="32"/>
          <w:szCs w:val="32"/>
          <w:lang w:val="en-US" w:eastAsia="zh-CN"/>
        </w:rPr>
        <w:t>14.完成上级政府交办的其它事项。</w:t>
      </w:r>
    </w:p>
    <w:p w14:paraId="320A89FE">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二、部门预算构成</w:t>
      </w:r>
    </w:p>
    <w:p w14:paraId="2DB8D5B9">
      <w:pPr>
        <w:spacing w:line="560" w:lineRule="exact"/>
        <w:ind w:firstLine="640" w:firstLineChars="200"/>
        <w:jc w:val="left"/>
        <w:rPr>
          <w:rFonts w:hint="eastAsia" w:ascii="方正仿宋_GBK" w:hAnsi="Times New Roman" w:eastAsia="方正仿宋_GBK" w:cs="方正仿宋_GBK"/>
          <w:sz w:val="32"/>
          <w:szCs w:val="32"/>
          <w:lang w:eastAsia="zh-CN"/>
        </w:rPr>
      </w:pPr>
      <w:r>
        <w:rPr>
          <w:rFonts w:hint="eastAsia" w:ascii="方正仿宋_GBK" w:hAnsi="Times New Roman" w:eastAsia="方正仿宋_GBK" w:cs="方正仿宋_GBK"/>
          <w:sz w:val="32"/>
          <w:szCs w:val="32"/>
          <w:lang w:val="en-US" w:eastAsia="zh-CN"/>
        </w:rPr>
        <w:t>部门预算构成:</w:t>
      </w:r>
      <w:r>
        <w:rPr>
          <w:rFonts w:hint="eastAsia" w:ascii="方正仿宋_GBK" w:hAnsi="Times New Roman" w:eastAsia="方正仿宋_GBK" w:cs="方正仿宋_GBK"/>
          <w:sz w:val="32"/>
          <w:szCs w:val="32"/>
        </w:rPr>
        <w:t>从预算单位构成看，</w:t>
      </w:r>
      <w:r>
        <w:rPr>
          <w:rFonts w:hint="eastAsia" w:ascii="方正仿宋_GBK" w:hAnsi="Times New Roman" w:eastAsia="方正仿宋_GBK" w:cs="方正仿宋_GBK"/>
          <w:sz w:val="32"/>
          <w:szCs w:val="32"/>
          <w:lang w:eastAsia="zh-CN"/>
        </w:rPr>
        <w:t>萧县青龙集镇人民政府</w:t>
      </w:r>
      <w:r>
        <w:rPr>
          <w:rFonts w:hint="eastAsia" w:ascii="方正仿宋_GBK" w:hAnsi="Times New Roman" w:eastAsia="方正仿宋_GBK" w:cs="方正仿宋_GBK"/>
          <w:sz w:val="32"/>
          <w:szCs w:val="32"/>
        </w:rPr>
        <w:t>202</w:t>
      </w:r>
      <w:r>
        <w:rPr>
          <w:rFonts w:hint="eastAsia" w:ascii="方正仿宋_GBK" w:hAnsi="Times New Roman" w:eastAsia="方正仿宋_GBK" w:cs="方正仿宋_GBK"/>
          <w:sz w:val="32"/>
          <w:szCs w:val="32"/>
          <w:lang w:val="en-US" w:eastAsia="zh-CN"/>
        </w:rPr>
        <w:t>6</w:t>
      </w:r>
      <w:r>
        <w:rPr>
          <w:rFonts w:hint="eastAsia" w:ascii="方正仿宋_GBK" w:hAnsi="Times New Roman" w:eastAsia="方正仿宋_GBK" w:cs="方正仿宋_GBK"/>
          <w:sz w:val="32"/>
          <w:szCs w:val="32"/>
        </w:rPr>
        <w:t>年度部门预算包括</w:t>
      </w:r>
      <w:r>
        <w:rPr>
          <w:rFonts w:hint="eastAsia" w:ascii="方正仿宋_GBK" w:hAnsi="Times New Roman" w:eastAsia="方正仿宋_GBK" w:cs="方正仿宋_GBK"/>
          <w:sz w:val="32"/>
          <w:szCs w:val="32"/>
          <w:lang w:eastAsia="zh-CN"/>
        </w:rPr>
        <w:t>乡镇</w:t>
      </w:r>
      <w:r>
        <w:rPr>
          <w:rFonts w:hint="eastAsia" w:ascii="方正仿宋_GBK" w:hAnsi="Times New Roman" w:eastAsia="方正仿宋_GBK" w:cs="方正仿宋_GBK"/>
          <w:sz w:val="32"/>
          <w:szCs w:val="32"/>
        </w:rPr>
        <w:t>本级预算，纳入部门预算编制范围的预算单位共</w:t>
      </w:r>
      <w:r>
        <w:rPr>
          <w:rFonts w:hint="eastAsia" w:ascii="方正仿宋_GBK" w:hAnsi="Times New Roman" w:eastAsia="方正仿宋_GBK" w:cs="方正仿宋_GBK"/>
          <w:sz w:val="32"/>
          <w:szCs w:val="32"/>
          <w:lang w:val="en-US" w:eastAsia="zh-CN"/>
        </w:rPr>
        <w:t>1</w:t>
      </w:r>
      <w:r>
        <w:rPr>
          <w:rFonts w:hint="eastAsia" w:ascii="方正仿宋_GBK" w:hAnsi="Times New Roman" w:eastAsia="方正仿宋_GBK" w:cs="方正仿宋_GBK"/>
          <w:sz w:val="32"/>
          <w:szCs w:val="32"/>
        </w:rPr>
        <w:t>个，具体情况见下表。</w:t>
      </w:r>
    </w:p>
    <w:p w14:paraId="0747FF30">
      <w:pPr>
        <w:spacing w:line="560" w:lineRule="exact"/>
        <w:ind w:firstLine="640" w:firstLineChars="200"/>
        <w:jc w:val="left"/>
        <w:rPr>
          <w:rFonts w:hint="default" w:ascii="Times New Roman" w:hAnsi="Times New Roman" w:eastAsia="方正仿宋_GBK" w:cs="Times New Roman"/>
          <w:sz w:val="32"/>
          <w:szCs w:val="32"/>
        </w:rPr>
      </w:pPr>
    </w:p>
    <w:tbl>
      <w:tblPr>
        <w:tblStyle w:val="5"/>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14:paraId="6AB168E4">
        <w:tblPrEx>
          <w:shd w:val="clear" w:color="auto" w:fill="FFFFFF"/>
          <w:tblCellMar>
            <w:top w:w="0" w:type="dxa"/>
            <w:left w:w="0" w:type="dxa"/>
            <w:bottom w:w="0" w:type="dxa"/>
            <w:right w:w="0" w:type="dxa"/>
          </w:tblCellMar>
        </w:tblPrEx>
        <w:trPr>
          <w:trHeight w:val="829" w:hRule="exac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26A3F3">
            <w:pPr>
              <w:spacing w:line="560" w:lineRule="exact"/>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rPr>
              <w:t>序号</w:t>
            </w:r>
          </w:p>
        </w:tc>
        <w:tc>
          <w:tcPr>
            <w:tcW w:w="36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67D079">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rPr>
              <w:t>单位名称</w:t>
            </w:r>
          </w:p>
        </w:tc>
        <w:tc>
          <w:tcPr>
            <w:tcW w:w="4500" w:type="dxa"/>
            <w:tcBorders>
              <w:top w:val="single" w:color="auto" w:sz="8" w:space="0"/>
              <w:left w:val="nil"/>
              <w:bottom w:val="single" w:color="auto" w:sz="8" w:space="0"/>
              <w:right w:val="single" w:color="auto" w:sz="8" w:space="0"/>
            </w:tcBorders>
            <w:shd w:val="clear" w:color="auto" w:fill="FFFFFF"/>
            <w:noWrap w:val="0"/>
            <w:vAlign w:val="top"/>
          </w:tcPr>
          <w:p w14:paraId="3F779674">
            <w:pPr>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rPr>
              <w:t>单位性质</w:t>
            </w:r>
          </w:p>
        </w:tc>
      </w:tr>
      <w:tr w14:paraId="3C8A876B">
        <w:tblPrEx>
          <w:shd w:val="clear" w:color="auto" w:fill="FFFFFF"/>
          <w:tblCellMar>
            <w:top w:w="0" w:type="dxa"/>
            <w:left w:w="0" w:type="dxa"/>
            <w:bottom w:w="0" w:type="dxa"/>
            <w:right w:w="0" w:type="dxa"/>
          </w:tblCellMar>
        </w:tblPrEx>
        <w:trPr>
          <w:trHeight w:val="720"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17F90">
            <w:pPr>
              <w:spacing w:line="560" w:lineRule="exact"/>
              <w:ind w:firstLine="320" w:firstLineChars="100"/>
              <w:jc w:val="left"/>
              <w:rPr>
                <w:rFonts w:hint="eastAsia" w:ascii="方正仿宋_GBK" w:hAnsi="Times New Roman" w:eastAsia="方正仿宋_GBK" w:cs="方正仿宋_GBK"/>
                <w:sz w:val="32"/>
                <w:szCs w:val="32"/>
                <w:lang w:val="en-US" w:eastAsia="zh-CN"/>
              </w:rPr>
            </w:pPr>
            <w:r>
              <w:rPr>
                <w:rFonts w:hint="eastAsia" w:ascii="方正仿宋_GBK" w:hAnsi="Times New Roman" w:eastAsia="方正仿宋_GBK" w:cs="方正仿宋_GBK"/>
                <w:sz w:val="32"/>
                <w:szCs w:val="32"/>
              </w:rPr>
              <w:t>1</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5DCA87">
            <w:pPr>
              <w:spacing w:line="560" w:lineRule="exact"/>
              <w:jc w:val="left"/>
              <w:rPr>
                <w:rFonts w:hint="eastAsia" w:ascii="方正仿宋_GBK" w:hAnsi="Times New Roman" w:eastAsia="方正仿宋_GBK" w:cs="方正仿宋_GBK"/>
                <w:sz w:val="32"/>
                <w:szCs w:val="32"/>
                <w:lang w:val="en-US" w:eastAsia="zh-CN"/>
              </w:rPr>
            </w:pPr>
            <w:r>
              <w:rPr>
                <w:rFonts w:hint="eastAsia" w:ascii="方正仿宋_GBK" w:hAnsi="Times New Roman" w:eastAsia="方正仿宋_GBK" w:cs="方正仿宋_GBK"/>
                <w:sz w:val="32"/>
                <w:szCs w:val="32"/>
                <w:lang w:eastAsia="zh-CN"/>
              </w:rPr>
              <w:t>萧县青龙集镇人民政府</w:t>
            </w:r>
            <w:r>
              <w:rPr>
                <w:rFonts w:hint="eastAsia" w:ascii="方正仿宋_GBK" w:hAnsi="Times New Roman" w:eastAsia="方正仿宋_GBK" w:cs="方正仿宋_GBK"/>
                <w:sz w:val="32"/>
                <w:szCs w:val="32"/>
              </w:rPr>
              <w:t>本级</w:t>
            </w:r>
          </w:p>
        </w:tc>
        <w:tc>
          <w:tcPr>
            <w:tcW w:w="4500" w:type="dxa"/>
            <w:tcBorders>
              <w:top w:val="nil"/>
              <w:left w:val="nil"/>
              <w:bottom w:val="single" w:color="auto" w:sz="8" w:space="0"/>
              <w:right w:val="single" w:color="auto" w:sz="8" w:space="0"/>
            </w:tcBorders>
            <w:shd w:val="clear" w:color="auto" w:fill="FFFFFF"/>
            <w:noWrap w:val="0"/>
            <w:vAlign w:val="top"/>
          </w:tcPr>
          <w:p w14:paraId="239AA756">
            <w:pPr>
              <w:spacing w:line="560" w:lineRule="exact"/>
              <w:ind w:firstLine="640" w:firstLineChars="200"/>
              <w:jc w:val="left"/>
              <w:rPr>
                <w:rFonts w:hint="eastAsia" w:ascii="方正仿宋_GBK" w:hAnsi="Times New Roman" w:eastAsia="方正仿宋_GBK" w:cs="方正仿宋_GBK"/>
                <w:sz w:val="32"/>
                <w:szCs w:val="32"/>
                <w:lang w:val="en-US" w:eastAsia="zh-CN"/>
              </w:rPr>
            </w:pPr>
            <w:r>
              <w:rPr>
                <w:rFonts w:hint="eastAsia" w:ascii="方正仿宋_GBK" w:hAnsi="Times New Roman" w:eastAsia="方正仿宋_GBK" w:cs="方正仿宋_GBK"/>
                <w:sz w:val="32"/>
                <w:szCs w:val="32"/>
                <w:lang w:eastAsia="zh-CN"/>
              </w:rPr>
              <w:t>行政</w:t>
            </w:r>
            <w:r>
              <w:rPr>
                <w:rFonts w:hint="eastAsia" w:ascii="方正仿宋_GBK" w:hAnsi="Times New Roman" w:eastAsia="方正仿宋_GBK" w:cs="方正仿宋_GBK"/>
                <w:sz w:val="32"/>
                <w:szCs w:val="32"/>
              </w:rPr>
              <w:t>单位</w:t>
            </w:r>
          </w:p>
        </w:tc>
      </w:tr>
    </w:tbl>
    <w:p w14:paraId="277FA8A5">
      <w:pPr>
        <w:spacing w:line="560" w:lineRule="exact"/>
        <w:ind w:firstLine="640" w:firstLineChars="200"/>
        <w:jc w:val="left"/>
        <w:rPr>
          <w:rFonts w:ascii="方正仿宋_GBK" w:hAnsi="Times New Roman" w:eastAsia="方正仿宋_GBK" w:cs="方正仿宋_GBK"/>
          <w:sz w:val="32"/>
          <w:szCs w:val="32"/>
        </w:rPr>
      </w:pPr>
      <w:r>
        <w:rPr>
          <w:rFonts w:hint="eastAsia" w:ascii="方正仿宋_GBK" w:hAnsi="Times New Roman" w:eastAsia="方正仿宋_GBK" w:cs="方正仿宋_GBK"/>
          <w:sz w:val="32"/>
          <w:szCs w:val="32"/>
        </w:rPr>
        <w:t>部门预算构成:</w:t>
      </w:r>
      <w:r>
        <w:rPr>
          <w:rFonts w:hint="eastAsia" w:ascii="方正仿宋_GBK" w:hAnsi="Times New Roman" w:eastAsia="方正仿宋_GBK" w:cs="方正仿宋_GBK"/>
          <w:sz w:val="32"/>
          <w:szCs w:val="32"/>
          <w:lang w:val="en-US" w:eastAsia="zh-CN"/>
        </w:rPr>
        <w:t>萧县青龙集</w:t>
      </w:r>
      <w:r>
        <w:rPr>
          <w:rFonts w:hint="eastAsia" w:ascii="方正仿宋_GBK" w:hAnsi="Times New Roman" w:eastAsia="方正仿宋_GBK" w:cs="方正仿宋_GBK"/>
          <w:sz w:val="32"/>
          <w:szCs w:val="32"/>
          <w:lang w:eastAsia="zh-CN"/>
        </w:rPr>
        <w:t>镇人民政府</w:t>
      </w:r>
      <w:r>
        <w:rPr>
          <w:rFonts w:hint="eastAsia" w:ascii="方正仿宋_GBK" w:hAnsi="Times New Roman" w:eastAsia="方正仿宋_GBK" w:cs="方正仿宋_GBK"/>
          <w:sz w:val="32"/>
          <w:szCs w:val="32"/>
        </w:rPr>
        <w:t>202</w:t>
      </w:r>
      <w:r>
        <w:rPr>
          <w:rFonts w:hint="eastAsia" w:ascii="方正仿宋_GBK" w:hAnsi="Times New Roman" w:eastAsia="方正仿宋_GBK" w:cs="方正仿宋_GBK"/>
          <w:sz w:val="32"/>
          <w:szCs w:val="32"/>
          <w:lang w:val="en-US" w:eastAsia="zh-CN"/>
        </w:rPr>
        <w:t>6</w:t>
      </w:r>
      <w:r>
        <w:rPr>
          <w:rFonts w:hint="eastAsia" w:ascii="方正仿宋_GBK" w:hAnsi="Times New Roman" w:eastAsia="方正仿宋_GBK" w:cs="方正仿宋_GBK"/>
          <w:sz w:val="32"/>
          <w:szCs w:val="32"/>
        </w:rPr>
        <w:t>年度部门预算仅包括本级预算，无其他下属单位预算。</w:t>
      </w:r>
    </w:p>
    <w:p w14:paraId="67B9C036">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三、2026 年度主要工作任务 </w:t>
      </w:r>
    </w:p>
    <w:p w14:paraId="03C42B42">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 聚力</w:t>
      </w:r>
      <w:r>
        <w:rPr>
          <w:rFonts w:hint="default" w:ascii="Times New Roman" w:hAnsi="Times New Roman" w:eastAsia="方正仿宋_GBK" w:cs="Times New Roman"/>
          <w:sz w:val="32"/>
          <w:szCs w:val="32"/>
          <w:lang w:val="en-US" w:eastAsia="zh-CN"/>
        </w:rPr>
        <w:t>产业项目发展</w:t>
      </w:r>
      <w:r>
        <w:rPr>
          <w:rFonts w:hint="default" w:ascii="Times New Roman" w:hAnsi="Times New Roman" w:eastAsia="方正仿宋_GBK" w:cs="Times New Roman"/>
          <w:sz w:val="32"/>
          <w:szCs w:val="32"/>
          <w:lang w:eastAsia="zh-CN"/>
        </w:rPr>
        <w:t>，夯实</w:t>
      </w:r>
      <w:r>
        <w:rPr>
          <w:rFonts w:hint="default" w:ascii="Times New Roman" w:hAnsi="Times New Roman" w:eastAsia="方正仿宋_GBK" w:cs="Times New Roman"/>
          <w:sz w:val="32"/>
          <w:szCs w:val="32"/>
          <w:lang w:val="en-US" w:eastAsia="zh-CN"/>
        </w:rPr>
        <w:t>经济</w:t>
      </w:r>
      <w:r>
        <w:rPr>
          <w:rFonts w:hint="default" w:ascii="Times New Roman" w:hAnsi="Times New Roman" w:eastAsia="方正仿宋_GBK" w:cs="Times New Roman"/>
          <w:sz w:val="32"/>
          <w:szCs w:val="32"/>
          <w:lang w:eastAsia="zh-CN"/>
        </w:rPr>
        <w:t>根基</w:t>
      </w:r>
    </w:p>
    <w:p w14:paraId="587390A2">
      <w:pPr>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lang w:eastAsia="zh-CN"/>
        </w:rPr>
        <w:t>招大引强持续发力。加大“双招双引”力度，充分发挥本地资源优势，吸引更多在外乡友返乡创业投资，持续为镇域经济发展扩源头、引活水。</w:t>
      </w:r>
      <w:r>
        <w:rPr>
          <w:rFonts w:hint="default" w:ascii="Times New Roman" w:hAnsi="Times New Roman" w:eastAsia="方正仿宋_GBK" w:cs="Times New Roman"/>
          <w:sz w:val="32"/>
          <w:szCs w:val="32"/>
          <w:lang w:val="en-US" w:eastAsia="zh-CN"/>
        </w:rPr>
        <w:t>同时，</w:t>
      </w:r>
      <w:r>
        <w:rPr>
          <w:rFonts w:hint="default" w:ascii="Times New Roman" w:hAnsi="Times New Roman" w:eastAsia="方正仿宋_GBK" w:cs="Times New Roman"/>
          <w:sz w:val="32"/>
          <w:szCs w:val="32"/>
          <w:lang w:eastAsia="zh-CN"/>
        </w:rPr>
        <w:t>确保前期已达成的意向投资项目落地，保障</w:t>
      </w:r>
      <w:r>
        <w:rPr>
          <w:rFonts w:hint="default" w:ascii="Times New Roman" w:hAnsi="Times New Roman" w:eastAsia="方正仿宋_GBK" w:cs="Times New Roman"/>
          <w:sz w:val="32"/>
          <w:szCs w:val="32"/>
          <w:lang w:val="en-US" w:eastAsia="zh-CN"/>
        </w:rPr>
        <w:t>好</w:t>
      </w:r>
      <w:r>
        <w:rPr>
          <w:rFonts w:hint="default" w:ascii="Times New Roman" w:hAnsi="Times New Roman" w:eastAsia="方正仿宋_GBK" w:cs="Times New Roman"/>
          <w:sz w:val="32"/>
          <w:szCs w:val="32"/>
          <w:lang w:eastAsia="zh-CN"/>
        </w:rPr>
        <w:t>G311国道建设、2万平方米大棚育苗基地项目和企业的落地。</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lang w:eastAsia="zh-CN"/>
        </w:rPr>
        <w:t>持续优化营商环境。全面梳理掌握辖区工商企业和个体信息，为服务好市场主体打牢坚实数据基础，围绕企业需求，持续开展“四送一服”“暖企行动”，对重点企业落实班子成员定点服务，对小微个体工商企业等落实部门和辖区，定期走访听取意见，了解企业在发展中遇到的难点问题，持续为企业纾困解难。</w:t>
      </w:r>
      <w:r>
        <w:rPr>
          <w:rFonts w:hint="default" w:ascii="Times New Roman" w:hAnsi="Times New Roman" w:eastAsia="方正仿宋_GBK" w:cs="Times New Roman"/>
          <w:sz w:val="32"/>
          <w:szCs w:val="32"/>
          <w:lang w:val="en-US" w:eastAsia="zh-CN"/>
        </w:rPr>
        <w:t>三是大力发展产业项目。把萧县众芝合食品有限公司生猪屠宰厂作为明年的重点项目稳步推进，大力推动生猪产业链向标准化、规模化、智能化方向发展，形成“养殖-屠宰-加工-销售”一体化产业模式，促进区域农业增效。同时，保障了区域猪肉稳定供应，解决周边12个乡镇屠宰问题，打造为萧县西部乡镇及淮北部分地区的猪肉供应中心，提供约200个就业岗位，促进农业增效、农民增收和农村发展。</w:t>
      </w:r>
    </w:p>
    <w:p w14:paraId="57707A62">
      <w:pPr>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聚力乡村建设升级，推进乡村振兴。</w:t>
      </w:r>
    </w:p>
    <w:p w14:paraId="0DFD16F8">
      <w:pPr>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一是全面筑牢粮食根基。规范土地经营权流转，坚决遏制耕地“非农化”“非粮化”，牢牢守住耕地保护红线，全力维护粮食安全。二是推进乡村建设</w:t>
      </w:r>
      <w:r>
        <w:rPr>
          <w:rFonts w:hint="default" w:ascii="Times New Roman" w:hAnsi="Times New Roman" w:eastAsia="方正仿宋_GBK" w:cs="Times New Roman"/>
          <w:sz w:val="32"/>
          <w:szCs w:val="32"/>
        </w:rPr>
        <w:t>提档升级</w:t>
      </w:r>
      <w:r>
        <w:rPr>
          <w:rFonts w:hint="default" w:ascii="Times New Roman" w:hAnsi="Times New Roman" w:eastAsia="方正仿宋_GBK" w:cs="Times New Roman"/>
          <w:sz w:val="32"/>
          <w:szCs w:val="32"/>
          <w:lang w:val="en-US" w:eastAsia="zh-CN"/>
        </w:rPr>
        <w:t>。结合镇域内基础设施建设情况，积极谋划基础设施改造提升项目，努力争取上级项目资金，计划新建</w:t>
      </w:r>
      <w:r>
        <w:rPr>
          <w:rFonts w:hint="default" w:ascii="Times New Roman" w:hAnsi="Times New Roman" w:eastAsia="方正仿宋_GBK" w:cs="Times New Roman"/>
          <w:sz w:val="32"/>
          <w:szCs w:val="32"/>
        </w:rPr>
        <w:t>村道</w:t>
      </w:r>
      <w:r>
        <w:rPr>
          <w:rFonts w:hint="default" w:ascii="Times New Roman" w:hAnsi="Times New Roman" w:eastAsia="方正仿宋_GBK" w:cs="Times New Roman"/>
          <w:sz w:val="32"/>
          <w:szCs w:val="32"/>
          <w:lang w:val="en-US" w:eastAsia="zh-CN"/>
        </w:rPr>
        <w:t>24.57</w:t>
      </w:r>
      <w:r>
        <w:rPr>
          <w:rFonts w:hint="default" w:ascii="Times New Roman" w:hAnsi="Times New Roman" w:eastAsia="方正仿宋_GBK" w:cs="Times New Roman"/>
          <w:sz w:val="32"/>
          <w:szCs w:val="32"/>
        </w:rPr>
        <w:t>公里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扎实推进户厕改造及小型农田水利设施工程建设任务。三是壮大村级集体经济。</w:t>
      </w:r>
      <w:r>
        <w:rPr>
          <w:rFonts w:hint="default" w:ascii="Times New Roman" w:hAnsi="Times New Roman" w:eastAsia="方正仿宋_GBK" w:cs="Times New Roman"/>
          <w:sz w:val="32"/>
          <w:szCs w:val="32"/>
        </w:rPr>
        <w:t>村集体经济收入争取3个村突破100万元，消除村集体经济收入50万元以下的村。在2025年建成2个“兴业富民工坊”的基础上，再建设2个“兴业富民工坊”，将“兴业富民工坊”打造成民心工程、示范工程，进一步提升“兴业富民工坊”发展质效。</w:t>
      </w:r>
      <w:r>
        <w:rPr>
          <w:rFonts w:hint="default" w:ascii="Times New Roman" w:hAnsi="Times New Roman" w:eastAsia="方正仿宋_GBK" w:cs="Times New Roman"/>
          <w:sz w:val="32"/>
          <w:szCs w:val="32"/>
          <w:lang w:val="en-US" w:eastAsia="zh-CN"/>
        </w:rPr>
        <w:t>四是巩固拓展脱贫攻坚成果。持续跟踪收入变化和“两不愁三保障”巩固情况，着力发展产业就业，补齐“双基”短板，推动脱贫攻坚与乡村振兴有效衔接。</w:t>
      </w:r>
    </w:p>
    <w:p w14:paraId="4BBDE6DC">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）聚力乡村</w:t>
      </w:r>
      <w:r>
        <w:rPr>
          <w:rFonts w:hint="default" w:ascii="Times New Roman" w:hAnsi="Times New Roman" w:eastAsia="方正仿宋_GBK" w:cs="Times New Roman"/>
          <w:sz w:val="32"/>
          <w:szCs w:val="32"/>
          <w:lang w:val="en-US" w:eastAsia="zh-CN"/>
        </w:rPr>
        <w:t>环境整治</w:t>
      </w:r>
      <w:r>
        <w:rPr>
          <w:rFonts w:hint="default" w:ascii="Times New Roman" w:hAnsi="Times New Roman" w:eastAsia="方正仿宋_GBK" w:cs="Times New Roman"/>
          <w:sz w:val="32"/>
          <w:szCs w:val="32"/>
          <w:lang w:eastAsia="zh-CN"/>
        </w:rPr>
        <w:t>，打造宜居</w:t>
      </w:r>
      <w:r>
        <w:rPr>
          <w:rFonts w:hint="default" w:ascii="Times New Roman" w:hAnsi="Times New Roman" w:eastAsia="方正仿宋_GBK" w:cs="Times New Roman"/>
          <w:sz w:val="32"/>
          <w:szCs w:val="32"/>
          <w:lang w:val="en-US" w:eastAsia="zh-CN"/>
        </w:rPr>
        <w:t>乡镇</w:t>
      </w:r>
      <w:r>
        <w:rPr>
          <w:rFonts w:hint="default" w:ascii="Times New Roman" w:hAnsi="Times New Roman" w:eastAsia="方正仿宋_GBK" w:cs="Times New Roman"/>
          <w:sz w:val="32"/>
          <w:szCs w:val="32"/>
          <w:lang w:eastAsia="zh-CN"/>
        </w:rPr>
        <w:t>。</w:t>
      </w:r>
    </w:p>
    <w:p w14:paraId="0950218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持续深化人居环境整治，重点推进垃圾分类处理、污水治理、村容村貌美化，健全“群众参与、村</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lang w:eastAsia="zh-CN"/>
        </w:rPr>
        <w:t>自治、镇域督导”的长效管护机制。</w:t>
      </w:r>
      <w:r>
        <w:rPr>
          <w:rFonts w:hint="default" w:ascii="Times New Roman" w:hAnsi="Times New Roman" w:eastAsia="方正仿宋_GBK" w:cs="Times New Roman"/>
          <w:sz w:val="32"/>
          <w:szCs w:val="32"/>
          <w:lang w:val="en-US" w:eastAsia="zh-CN"/>
        </w:rPr>
        <w:t>一是打造农村人居环境整体示范村。以村创建、镇评比为原则，示范打造，以点带面，全村推进，整体提升，利用房前屋后，打造一个美丽的小菜园、小果园、小花园，创建的12户美丽庭院，要求做到“八整洁”， 逐步推进户厕、公厕粪污资源化利用，从而形成示范带动效应。二是推进农业面源污染防治。</w:t>
      </w:r>
      <w:r>
        <w:rPr>
          <w:rFonts w:hint="default" w:ascii="Times New Roman" w:hAnsi="Times New Roman" w:eastAsia="方正仿宋_GBK" w:cs="Times New Roman"/>
          <w:sz w:val="32"/>
          <w:szCs w:val="32"/>
        </w:rPr>
        <w:t>每月对辖区水体、农业面源污染开展2次巡查，重点盯防黑臭水体反弹，建立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问题-整改-销号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动态台账，确保隐患闭环处置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谋划实施两项黑臭水体治理项目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路口村项目通过铺设1公里管网、新建扬水站及配套设备，实现水体循环净化；</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青龙集村项目则聚焦截污治污、清淤疏浚、岸坡整治及生态修复，同步建设护栏等配套设施，治理水体5000平方米。</w:t>
      </w:r>
    </w:p>
    <w:p w14:paraId="1ED760EE">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聚力民生改善，增进群众福祉</w:t>
      </w:r>
    </w:p>
    <w:p w14:paraId="5F831ECE">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lang w:eastAsia="zh-CN"/>
        </w:rPr>
        <w:t>强化社会救助工作。压实兜底保障责任，及时确认调整困难群体等社会救助（福利）保障标准，动态管理残疾人补贴保障对象，做好特困家庭筛查，确保各类社会救助政策精准落地；巩固社会救助成果，加强部门之间数据比对，推动政策衔接并轨，做好社会救助事项；提高社会救助管理监督水平，根据要求统筹开展社会救助政策宣传、培训和调查工作。</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是推进公益性殡葬设施提质增效。优化殡葬服务资源布局，谋划公益性公墓项目。倡导殡葬改革和移风易俗。深化“乡村著名行动”，结合乡村振兴，做好地名标志工作，打造具有本镇特色的地名标识体系，助力乡村产业发展和文化传承。</w:t>
      </w:r>
      <w:r>
        <w:rPr>
          <w:rFonts w:hint="default" w:ascii="Times New Roman" w:hAnsi="Times New Roman" w:eastAsia="方正仿宋_GBK" w:cs="Times New Roman"/>
          <w:sz w:val="32"/>
          <w:szCs w:val="32"/>
          <w:lang w:val="en-US" w:eastAsia="zh-CN"/>
        </w:rPr>
        <w:t>三是</w:t>
      </w:r>
      <w:r>
        <w:rPr>
          <w:rFonts w:hint="default" w:ascii="Times New Roman" w:hAnsi="Times New Roman" w:eastAsia="方正仿宋_GBK" w:cs="Times New Roman"/>
          <w:sz w:val="32"/>
          <w:szCs w:val="32"/>
          <w:lang w:eastAsia="zh-CN"/>
        </w:rPr>
        <w:t>全力推进“文化惠民”。多措并举丰富群众精神文化生活。完善提升新时代文明实践所（站）建设，打造文明实践“硬核”阵地，努力实现打通宣传群众、教育群众、关心群众、服务群众的“最后一公里”目标。全面落实基本公共卫生服务均等化，提升镇卫生院和村卫生室服务能力。</w:t>
      </w:r>
    </w:p>
    <w:p w14:paraId="0A42C438">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聚力治理</w:t>
      </w:r>
      <w:r>
        <w:rPr>
          <w:rFonts w:hint="default" w:ascii="Times New Roman" w:hAnsi="Times New Roman" w:eastAsia="方正仿宋_GBK" w:cs="Times New Roman"/>
          <w:sz w:val="32"/>
          <w:szCs w:val="32"/>
          <w:lang w:val="en-US" w:eastAsia="zh-CN"/>
        </w:rPr>
        <w:t>创新</w:t>
      </w:r>
      <w:r>
        <w:rPr>
          <w:rFonts w:hint="default" w:ascii="Times New Roman" w:hAnsi="Times New Roman" w:eastAsia="方正仿宋_GBK" w:cs="Times New Roman"/>
          <w:sz w:val="32"/>
          <w:szCs w:val="32"/>
        </w:rPr>
        <w:t>，守牢平安底线。</w:t>
      </w:r>
    </w:p>
    <w:p w14:paraId="2F3EFFBB">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完善矛盾纠纷多元化解机制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推行“镇领导接访+村</w:t>
      </w:r>
      <w:r>
        <w:rPr>
          <w:rFonts w:hint="default" w:ascii="Times New Roman" w:hAnsi="Times New Roman" w:eastAsia="方正仿宋_GBK" w:cs="Times New Roman"/>
          <w:sz w:val="32"/>
          <w:szCs w:val="32"/>
          <w:lang w:val="en-US" w:eastAsia="zh-CN"/>
        </w:rPr>
        <w:t>组</w:t>
      </w:r>
      <w:r>
        <w:rPr>
          <w:rFonts w:hint="default" w:ascii="Times New Roman" w:hAnsi="Times New Roman" w:eastAsia="方正仿宋_GBK" w:cs="Times New Roman"/>
          <w:sz w:val="32"/>
          <w:szCs w:val="32"/>
        </w:rPr>
        <w:t>调解+网格排查”模式，实现“小事不出村、大事不出镇”</w:t>
      </w:r>
      <w:r>
        <w:rPr>
          <w:rFonts w:hint="default" w:ascii="Times New Roman" w:hAnsi="Times New Roman" w:eastAsia="方正仿宋_GBK" w:cs="Times New Roman"/>
          <w:sz w:val="32"/>
          <w:szCs w:val="32"/>
          <w:lang w:eastAsia="zh-CN"/>
        </w:rPr>
        <w:t>。全镇推广</w:t>
      </w:r>
      <w:r>
        <w:rPr>
          <w:rFonts w:hint="default" w:ascii="Times New Roman" w:hAnsi="Times New Roman" w:eastAsia="方正仿宋_GBK" w:cs="Times New Roman"/>
          <w:sz w:val="32"/>
          <w:szCs w:val="32"/>
          <w:lang w:val="en-US" w:eastAsia="zh-CN"/>
        </w:rPr>
        <w:t>由路口村创新推出的</w:t>
      </w:r>
      <w:r>
        <w:rPr>
          <w:rFonts w:hint="default" w:ascii="Times New Roman" w:hAnsi="Times New Roman" w:eastAsia="方正仿宋_GBK" w:cs="Times New Roman"/>
          <w:sz w:val="32"/>
          <w:szCs w:val="32"/>
          <w:lang w:eastAsia="zh-CN"/>
        </w:rPr>
        <w:t>党建引领基层治理新路径“让管家”</w:t>
      </w:r>
      <w:r>
        <w:rPr>
          <w:rFonts w:hint="default" w:ascii="Times New Roman" w:hAnsi="Times New Roman" w:eastAsia="方正仿宋_GBK" w:cs="Times New Roman"/>
          <w:sz w:val="32"/>
          <w:szCs w:val="32"/>
          <w:lang w:val="en-US" w:eastAsia="zh-CN"/>
        </w:rPr>
        <w:t>工作法，</w:t>
      </w:r>
      <w:r>
        <w:rPr>
          <w:rFonts w:hint="default" w:ascii="Times New Roman" w:hAnsi="Times New Roman" w:eastAsia="方正仿宋_GBK" w:cs="Times New Roman"/>
          <w:sz w:val="32"/>
          <w:szCs w:val="32"/>
          <w:lang w:eastAsia="zh-CN"/>
        </w:rPr>
        <w:t>用“让管家”作为桥梁，收集村民需要对接的政策，确保服务精准到每一家，不断提升党建引领基层治理，提升群众满意度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构建镇、村、企业三级安全生产责任体系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常态化开展重点领域隐患排查整治，落实清单化管理、闭环式整改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三是</w:t>
      </w:r>
      <w:r>
        <w:rPr>
          <w:rFonts w:hint="default" w:ascii="Times New Roman" w:hAnsi="Times New Roman" w:eastAsia="方正仿宋_GBK" w:cs="Times New Roman"/>
          <w:sz w:val="32"/>
          <w:szCs w:val="32"/>
        </w:rPr>
        <w:t>加强精神文明建设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倡导文明风尚，开展文明村镇、文明家庭创建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广泛开展道德模范、身边好人等评选活动，让文明乡风、良好家风、淳朴民风蔚然成风。</w:t>
      </w:r>
    </w:p>
    <w:p w14:paraId="62D59553">
      <w:pPr>
        <w:spacing w:line="560" w:lineRule="exact"/>
        <w:ind w:firstLine="640" w:firstLineChars="200"/>
        <w:jc w:val="left"/>
        <w:rPr>
          <w:rFonts w:hint="default" w:ascii="Times New Roman" w:hAnsi="Times New Roman" w:eastAsia="方正仿宋_GBK" w:cs="Times New Roman"/>
          <w:sz w:val="32"/>
          <w:szCs w:val="32"/>
        </w:rPr>
      </w:pPr>
    </w:p>
    <w:p w14:paraId="22103005">
      <w:pPr>
        <w:spacing w:line="560" w:lineRule="exact"/>
        <w:jc w:val="center"/>
        <w:rPr>
          <w:rFonts w:hint="default" w:ascii="Times New Roman" w:hAnsi="Times New Roman" w:eastAsia="方正小标宋_GBK" w:cs="Times New Roman"/>
          <w:sz w:val="36"/>
          <w:szCs w:val="36"/>
        </w:rPr>
        <w:sectPr>
          <w:headerReference r:id="rId3" w:type="default"/>
          <w:footerReference r:id="rId5" w:type="default"/>
          <w:headerReference r:id="rId4" w:type="even"/>
          <w:footerReference r:id="rId6" w:type="even"/>
          <w:pgSz w:w="11906" w:h="16838"/>
          <w:pgMar w:top="1440" w:right="1440" w:bottom="1134" w:left="1440" w:header="851" w:footer="737" w:gutter="0"/>
          <w:cols w:space="720" w:num="1"/>
          <w:docGrid w:type="linesAndChars" w:linePitch="312" w:charSpace="0"/>
        </w:sectPr>
      </w:pPr>
    </w:p>
    <w:tbl>
      <w:tblPr>
        <w:tblStyle w:val="5"/>
        <w:tblW w:w="93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8"/>
        <w:gridCol w:w="1125"/>
        <w:gridCol w:w="3660"/>
        <w:gridCol w:w="976"/>
        <w:gridCol w:w="164"/>
      </w:tblGrid>
      <w:tr w14:paraId="6B4D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cantSplit/>
          <w:trHeight w:val="567" w:hRule="atLeast"/>
        </w:trPr>
        <w:tc>
          <w:tcPr>
            <w:tcW w:w="9149" w:type="dxa"/>
            <w:gridSpan w:val="4"/>
            <w:tcBorders>
              <w:top w:val="nil"/>
              <w:left w:val="nil"/>
              <w:bottom w:val="nil"/>
              <w:right w:val="nil"/>
            </w:tcBorders>
            <w:shd w:val="clear" w:color="auto" w:fill="auto"/>
            <w:noWrap/>
            <w:vAlign w:val="center"/>
          </w:tcPr>
          <w:p w14:paraId="3C33CE0F">
            <w:pPr>
              <w:widowControl/>
              <w:jc w:val="center"/>
              <w:rPr>
                <w:rFonts w:hint="default"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rPr>
              <w:t>第二部分 2026年部门预算表</w:t>
            </w:r>
          </w:p>
        </w:tc>
      </w:tr>
      <w:tr w14:paraId="50DC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cantSplit/>
          <w:trHeight w:val="567" w:hRule="atLeast"/>
        </w:trPr>
        <w:tc>
          <w:tcPr>
            <w:tcW w:w="9149" w:type="dxa"/>
            <w:gridSpan w:val="4"/>
            <w:tcBorders>
              <w:top w:val="nil"/>
              <w:left w:val="nil"/>
              <w:bottom w:val="nil"/>
              <w:right w:val="nil"/>
            </w:tcBorders>
            <w:shd w:val="clear" w:color="auto" w:fill="auto"/>
            <w:noWrap/>
            <w:vAlign w:val="center"/>
          </w:tcPr>
          <w:tbl>
            <w:tblPr>
              <w:tblStyle w:val="5"/>
              <w:tblW w:w="1033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7"/>
              <w:gridCol w:w="1499"/>
              <w:gridCol w:w="3167"/>
              <w:gridCol w:w="1197"/>
            </w:tblGrid>
            <w:tr w14:paraId="7BEC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495" w:type="dxa"/>
                  <w:tcBorders>
                    <w:top w:val="nil"/>
                    <w:left w:val="nil"/>
                    <w:bottom w:val="nil"/>
                    <w:right w:val="nil"/>
                  </w:tcBorders>
                  <w:shd w:val="clear" w:color="auto" w:fill="auto"/>
                  <w:noWrap/>
                  <w:vAlign w:val="center"/>
                </w:tcPr>
                <w:p w14:paraId="7EC46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w:t>
                  </w:r>
                </w:p>
              </w:tc>
              <w:tc>
                <w:tcPr>
                  <w:tcW w:w="1740" w:type="dxa"/>
                  <w:tcBorders>
                    <w:top w:val="nil"/>
                    <w:left w:val="nil"/>
                    <w:bottom w:val="nil"/>
                    <w:right w:val="nil"/>
                  </w:tcBorders>
                  <w:shd w:val="clear" w:color="auto" w:fill="auto"/>
                  <w:noWrap/>
                  <w:vAlign w:val="bottom"/>
                </w:tcPr>
                <w:p w14:paraId="3BCE95D1">
                  <w:pPr>
                    <w:rPr>
                      <w:rFonts w:hint="eastAsia" w:ascii="Arial" w:hAnsi="Arial" w:cs="Arial"/>
                      <w:i w:val="0"/>
                      <w:iCs w:val="0"/>
                      <w:color w:val="000000"/>
                      <w:sz w:val="20"/>
                      <w:szCs w:val="20"/>
                      <w:u w:val="none"/>
                    </w:rPr>
                  </w:pPr>
                </w:p>
              </w:tc>
              <w:tc>
                <w:tcPr>
                  <w:tcW w:w="3720" w:type="dxa"/>
                  <w:tcBorders>
                    <w:top w:val="nil"/>
                    <w:left w:val="nil"/>
                    <w:bottom w:val="nil"/>
                    <w:right w:val="nil"/>
                  </w:tcBorders>
                  <w:shd w:val="clear" w:color="auto" w:fill="auto"/>
                  <w:noWrap/>
                  <w:vAlign w:val="bottom"/>
                </w:tcPr>
                <w:p w14:paraId="60990DB6">
                  <w:pPr>
                    <w:rPr>
                      <w:rFonts w:hint="default" w:ascii="Arial" w:hAnsi="Arial" w:cs="Arial"/>
                      <w:i w:val="0"/>
                      <w:iCs w:val="0"/>
                      <w:color w:val="000000"/>
                      <w:sz w:val="20"/>
                      <w:szCs w:val="20"/>
                      <w:u w:val="none"/>
                    </w:rPr>
                  </w:pPr>
                </w:p>
              </w:tc>
              <w:tc>
                <w:tcPr>
                  <w:tcW w:w="1380" w:type="dxa"/>
                  <w:tcBorders>
                    <w:top w:val="nil"/>
                    <w:left w:val="nil"/>
                    <w:bottom w:val="nil"/>
                    <w:right w:val="nil"/>
                  </w:tcBorders>
                  <w:shd w:val="clear" w:color="auto" w:fill="auto"/>
                  <w:noWrap/>
                  <w:vAlign w:val="bottom"/>
                </w:tcPr>
                <w:p w14:paraId="04388E5D">
                  <w:pPr>
                    <w:rPr>
                      <w:rFonts w:hint="default" w:ascii="Arial" w:hAnsi="Arial" w:cs="Arial"/>
                      <w:i w:val="0"/>
                      <w:iCs w:val="0"/>
                      <w:color w:val="000000"/>
                      <w:sz w:val="20"/>
                      <w:szCs w:val="20"/>
                      <w:u w:val="none"/>
                    </w:rPr>
                  </w:pPr>
                </w:p>
              </w:tc>
            </w:tr>
            <w:tr w14:paraId="6B83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35" w:type="dxa"/>
                  <w:gridSpan w:val="4"/>
                  <w:tcBorders>
                    <w:top w:val="nil"/>
                    <w:left w:val="nil"/>
                    <w:bottom w:val="nil"/>
                    <w:right w:val="nil"/>
                  </w:tcBorders>
                  <w:shd w:val="clear" w:color="auto" w:fill="auto"/>
                  <w:noWrap/>
                  <w:vAlign w:val="center"/>
                </w:tcPr>
                <w:p w14:paraId="13981FC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2026年部门收支预算总表</w:t>
                  </w:r>
                </w:p>
              </w:tc>
            </w:tr>
          </w:tbl>
          <w:p w14:paraId="522D4FBC">
            <w:pPr>
              <w:widowControl/>
              <w:jc w:val="center"/>
              <w:rPr>
                <w:rFonts w:hint="eastAsia" w:ascii="Times New Roman" w:hAnsi="Times New Roman" w:eastAsia="方正小标宋_GBK" w:cs="Times New Roman"/>
                <w:sz w:val="36"/>
                <w:szCs w:val="36"/>
                <w:lang w:val="en-US" w:eastAsia="zh-CN"/>
              </w:rPr>
            </w:pPr>
          </w:p>
        </w:tc>
      </w:tr>
      <w:tr w14:paraId="0F25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3" w:type="dxa"/>
            <w:gridSpan w:val="2"/>
            <w:tcBorders>
              <w:top w:val="nil"/>
              <w:left w:val="nil"/>
              <w:bottom w:val="nil"/>
              <w:right w:val="nil"/>
            </w:tcBorders>
            <w:shd w:val="clear" w:color="auto" w:fill="auto"/>
            <w:noWrap/>
            <w:vAlign w:val="center"/>
          </w:tcPr>
          <w:p w14:paraId="0DECA855">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部门名称:萧县青龙集镇人民政府</w:t>
            </w:r>
          </w:p>
        </w:tc>
        <w:tc>
          <w:tcPr>
            <w:tcW w:w="3660" w:type="dxa"/>
            <w:tcBorders>
              <w:top w:val="nil"/>
              <w:left w:val="nil"/>
              <w:bottom w:val="nil"/>
              <w:right w:val="nil"/>
            </w:tcBorders>
            <w:shd w:val="clear" w:color="auto" w:fill="auto"/>
            <w:noWrap/>
            <w:vAlign w:val="center"/>
          </w:tcPr>
          <w:p w14:paraId="665A9A99">
            <w:pPr>
              <w:rPr>
                <w:rFonts w:hint="eastAsia" w:ascii="宋体" w:hAnsi="宋体" w:eastAsia="宋体" w:cs="宋体"/>
                <w:i w:val="0"/>
                <w:iCs w:val="0"/>
                <w:color w:val="000000"/>
                <w:sz w:val="20"/>
                <w:szCs w:val="20"/>
                <w:u w:val="none"/>
              </w:rPr>
            </w:pPr>
          </w:p>
        </w:tc>
        <w:tc>
          <w:tcPr>
            <w:tcW w:w="1140" w:type="dxa"/>
            <w:gridSpan w:val="2"/>
            <w:tcBorders>
              <w:top w:val="nil"/>
              <w:left w:val="nil"/>
              <w:bottom w:val="nil"/>
              <w:right w:val="nil"/>
            </w:tcBorders>
            <w:shd w:val="clear" w:color="auto" w:fill="auto"/>
            <w:noWrap/>
            <w:vAlign w:val="center"/>
          </w:tcPr>
          <w:p w14:paraId="73986C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DD8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D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7BA4">
            <w:pPr>
              <w:jc w:val="cente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771A">
            <w:pPr>
              <w:jc w:val="center"/>
              <w:rPr>
                <w:rFonts w:hint="eastAsia" w:ascii="宋体" w:hAnsi="宋体" w:eastAsia="宋体" w:cs="宋体"/>
                <w:i w:val="0"/>
                <w:iCs w:val="0"/>
                <w:color w:val="000000"/>
                <w:sz w:val="20"/>
                <w:szCs w:val="20"/>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D35B">
            <w:pPr>
              <w:jc w:val="center"/>
              <w:rPr>
                <w:rFonts w:hint="eastAsia" w:ascii="宋体" w:hAnsi="宋体" w:eastAsia="宋体" w:cs="宋体"/>
                <w:i w:val="0"/>
                <w:iCs w:val="0"/>
                <w:color w:val="000000"/>
                <w:sz w:val="20"/>
                <w:szCs w:val="20"/>
                <w:u w:val="none"/>
              </w:rPr>
            </w:pPr>
          </w:p>
        </w:tc>
      </w:tr>
      <w:tr w14:paraId="6A7A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7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5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支出功能分类科目</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D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14:paraId="34EA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4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AA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0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D8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r>
      <w:tr w14:paraId="2F8F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C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C78C">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4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CEFC">
            <w:pPr>
              <w:jc w:val="right"/>
              <w:rPr>
                <w:rFonts w:hint="eastAsia" w:ascii="宋体" w:hAnsi="宋体" w:eastAsia="宋体" w:cs="宋体"/>
                <w:i w:val="0"/>
                <w:iCs w:val="0"/>
                <w:color w:val="000000"/>
                <w:sz w:val="18"/>
                <w:szCs w:val="18"/>
                <w:u w:val="none"/>
              </w:rPr>
            </w:pPr>
          </w:p>
        </w:tc>
      </w:tr>
      <w:tr w14:paraId="252B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C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9DA8">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6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5260">
            <w:pPr>
              <w:jc w:val="right"/>
              <w:rPr>
                <w:rFonts w:hint="eastAsia" w:ascii="宋体" w:hAnsi="宋体" w:eastAsia="宋体" w:cs="宋体"/>
                <w:i w:val="0"/>
                <w:iCs w:val="0"/>
                <w:color w:val="000000"/>
                <w:sz w:val="18"/>
                <w:szCs w:val="18"/>
                <w:u w:val="none"/>
              </w:rPr>
            </w:pPr>
          </w:p>
        </w:tc>
      </w:tr>
      <w:tr w14:paraId="2D29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7E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其他财政专户管理资金</w:t>
            </w:r>
          </w:p>
        </w:tc>
        <w:tc>
          <w:tcPr>
            <w:tcW w:w="1125" w:type="dxa"/>
            <w:tcBorders>
              <w:top w:val="nil"/>
              <w:left w:val="nil"/>
              <w:bottom w:val="nil"/>
              <w:right w:val="nil"/>
            </w:tcBorders>
            <w:shd w:val="clear" w:color="auto" w:fill="auto"/>
            <w:noWrap/>
            <w:vAlign w:val="bottom"/>
          </w:tcPr>
          <w:p w14:paraId="16529E74">
            <w:pPr>
              <w:rPr>
                <w:rFonts w:hint="eastAsia"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3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4AA1">
            <w:pPr>
              <w:jc w:val="right"/>
              <w:rPr>
                <w:rFonts w:hint="eastAsia" w:ascii="宋体" w:hAnsi="宋体" w:eastAsia="宋体" w:cs="宋体"/>
                <w:i w:val="0"/>
                <w:iCs w:val="0"/>
                <w:color w:val="000000"/>
                <w:sz w:val="18"/>
                <w:szCs w:val="18"/>
                <w:u w:val="none"/>
              </w:rPr>
            </w:pPr>
          </w:p>
        </w:tc>
      </w:tr>
      <w:tr w14:paraId="7D11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3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四、其他收入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5A83">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8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6C99">
            <w:pPr>
              <w:jc w:val="right"/>
              <w:rPr>
                <w:rFonts w:hint="eastAsia" w:ascii="宋体" w:hAnsi="宋体" w:eastAsia="宋体" w:cs="宋体"/>
                <w:i w:val="0"/>
                <w:iCs w:val="0"/>
                <w:color w:val="000000"/>
                <w:sz w:val="18"/>
                <w:szCs w:val="18"/>
                <w:u w:val="none"/>
              </w:rPr>
            </w:pPr>
          </w:p>
        </w:tc>
      </w:tr>
      <w:tr w14:paraId="19CA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9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E938">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8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3CE7">
            <w:pPr>
              <w:jc w:val="right"/>
              <w:rPr>
                <w:rFonts w:hint="eastAsia" w:ascii="宋体" w:hAnsi="宋体" w:eastAsia="宋体" w:cs="宋体"/>
                <w:i w:val="0"/>
                <w:iCs w:val="0"/>
                <w:color w:val="000000"/>
                <w:sz w:val="18"/>
                <w:szCs w:val="18"/>
                <w:u w:val="none"/>
              </w:rPr>
            </w:pPr>
          </w:p>
        </w:tc>
      </w:tr>
      <w:tr w14:paraId="4734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0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经营收入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947">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9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0FAE">
            <w:pPr>
              <w:jc w:val="right"/>
              <w:rPr>
                <w:rFonts w:hint="eastAsia" w:ascii="宋体" w:hAnsi="宋体" w:eastAsia="宋体" w:cs="宋体"/>
                <w:i w:val="0"/>
                <w:iCs w:val="0"/>
                <w:color w:val="000000"/>
                <w:sz w:val="18"/>
                <w:szCs w:val="18"/>
                <w:u w:val="none"/>
              </w:rPr>
            </w:pPr>
          </w:p>
        </w:tc>
      </w:tr>
      <w:tr w14:paraId="1068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0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上级补助收入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0361">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D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E6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r>
      <w:tr w14:paraId="38F1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1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附属单位上缴收入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60C3">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A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（九）社会保险基金支出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0930">
            <w:pPr>
              <w:jc w:val="right"/>
              <w:rPr>
                <w:rFonts w:hint="eastAsia" w:ascii="宋体" w:hAnsi="宋体" w:eastAsia="宋体" w:cs="宋体"/>
                <w:i w:val="0"/>
                <w:iCs w:val="0"/>
                <w:color w:val="000000"/>
                <w:sz w:val="18"/>
                <w:szCs w:val="18"/>
                <w:u w:val="none"/>
              </w:rPr>
            </w:pPr>
          </w:p>
        </w:tc>
      </w:tr>
      <w:tr w14:paraId="3BD0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2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41CF">
            <w:pPr>
              <w:jc w:val="right"/>
              <w:rPr>
                <w:rFonts w:hint="eastAsia" w:ascii="宋体" w:hAnsi="宋体" w:eastAsia="宋体" w:cs="宋体"/>
                <w:i w:val="0"/>
                <w:iCs w:val="0"/>
                <w:color w:val="000000"/>
                <w:sz w:val="18"/>
                <w:szCs w:val="18"/>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5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（十）卫生健康支出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28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r>
      <w:tr w14:paraId="023E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5D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五、上级转移支付（提前下达公共预算）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AFBD">
            <w:pPr>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C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（十一）节能环保支出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3D30">
            <w:pPr>
              <w:jc w:val="right"/>
              <w:rPr>
                <w:rFonts w:hint="eastAsia" w:ascii="宋体" w:hAnsi="宋体" w:eastAsia="宋体" w:cs="宋体"/>
                <w:i w:val="0"/>
                <w:iCs w:val="0"/>
                <w:color w:val="000000"/>
                <w:sz w:val="18"/>
                <w:szCs w:val="18"/>
                <w:u w:val="none"/>
              </w:rPr>
            </w:pPr>
          </w:p>
        </w:tc>
      </w:tr>
      <w:tr w14:paraId="3596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B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六、上级转移支付（提前下达政府性基金）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99A6">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0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（十二）城乡社区支出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A7E9">
            <w:pPr>
              <w:jc w:val="right"/>
              <w:rPr>
                <w:rFonts w:hint="eastAsia" w:ascii="宋体" w:hAnsi="宋体" w:eastAsia="宋体" w:cs="宋体"/>
                <w:i w:val="0"/>
                <w:iCs w:val="0"/>
                <w:color w:val="000000"/>
                <w:sz w:val="18"/>
                <w:szCs w:val="18"/>
                <w:u w:val="none"/>
              </w:rPr>
            </w:pPr>
          </w:p>
        </w:tc>
      </w:tr>
      <w:tr w14:paraId="0B91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8E0F">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DF04">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1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（十三）农林水支出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A10D">
            <w:pPr>
              <w:jc w:val="right"/>
              <w:rPr>
                <w:rFonts w:hint="eastAsia" w:ascii="宋体" w:hAnsi="宋体" w:eastAsia="宋体" w:cs="宋体"/>
                <w:i w:val="0"/>
                <w:iCs w:val="0"/>
                <w:color w:val="000000"/>
                <w:sz w:val="18"/>
                <w:szCs w:val="18"/>
                <w:u w:val="none"/>
              </w:rPr>
            </w:pPr>
          </w:p>
        </w:tc>
      </w:tr>
      <w:tr w14:paraId="14A7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47E4">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07805">
            <w:pPr>
              <w:rPr>
                <w:rFonts w:hint="default"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6C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（十四）交通运输支出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C86C">
            <w:pPr>
              <w:jc w:val="right"/>
              <w:rPr>
                <w:rFonts w:hint="eastAsia" w:ascii="宋体" w:hAnsi="宋体" w:eastAsia="宋体" w:cs="宋体"/>
                <w:i w:val="0"/>
                <w:iCs w:val="0"/>
                <w:color w:val="000000"/>
                <w:sz w:val="18"/>
                <w:szCs w:val="18"/>
                <w:u w:val="none"/>
              </w:rPr>
            </w:pPr>
          </w:p>
        </w:tc>
      </w:tr>
      <w:tr w14:paraId="7A12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EFE0">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C1D80">
            <w:pPr>
              <w:rPr>
                <w:rFonts w:hint="default"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5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（十五）资源勘探信息等支出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791E">
            <w:pPr>
              <w:jc w:val="right"/>
              <w:rPr>
                <w:rFonts w:hint="eastAsia" w:ascii="宋体" w:hAnsi="宋体" w:eastAsia="宋体" w:cs="宋体"/>
                <w:i w:val="0"/>
                <w:iCs w:val="0"/>
                <w:color w:val="000000"/>
                <w:sz w:val="18"/>
                <w:szCs w:val="18"/>
                <w:u w:val="none"/>
              </w:rPr>
            </w:pPr>
          </w:p>
        </w:tc>
      </w:tr>
      <w:tr w14:paraId="1060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E59B">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E1CE3">
            <w:pPr>
              <w:rPr>
                <w:rFonts w:hint="default"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E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（十六）商业服务业等支出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CAEA">
            <w:pPr>
              <w:jc w:val="right"/>
              <w:rPr>
                <w:rFonts w:hint="eastAsia" w:ascii="宋体" w:hAnsi="宋体" w:eastAsia="宋体" w:cs="宋体"/>
                <w:i w:val="0"/>
                <w:iCs w:val="0"/>
                <w:color w:val="000000"/>
                <w:sz w:val="18"/>
                <w:szCs w:val="18"/>
                <w:u w:val="none"/>
              </w:rPr>
            </w:pPr>
          </w:p>
        </w:tc>
      </w:tr>
      <w:tr w14:paraId="77DA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7DA8">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5A628">
            <w:pPr>
              <w:rPr>
                <w:rFonts w:hint="default"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C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（十七）金融支出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3629">
            <w:pPr>
              <w:jc w:val="right"/>
              <w:rPr>
                <w:rFonts w:hint="eastAsia" w:ascii="宋体" w:hAnsi="宋体" w:eastAsia="宋体" w:cs="宋体"/>
                <w:i w:val="0"/>
                <w:iCs w:val="0"/>
                <w:color w:val="000000"/>
                <w:sz w:val="18"/>
                <w:szCs w:val="18"/>
                <w:u w:val="none"/>
              </w:rPr>
            </w:pPr>
          </w:p>
        </w:tc>
      </w:tr>
      <w:tr w14:paraId="08A2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2AB6">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43421">
            <w:pPr>
              <w:rPr>
                <w:rFonts w:hint="default"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4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（十八）援助其他地区支出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A7E">
            <w:pPr>
              <w:jc w:val="right"/>
              <w:rPr>
                <w:rFonts w:hint="eastAsia" w:ascii="宋体" w:hAnsi="宋体" w:eastAsia="宋体" w:cs="宋体"/>
                <w:i w:val="0"/>
                <w:iCs w:val="0"/>
                <w:color w:val="000000"/>
                <w:sz w:val="18"/>
                <w:szCs w:val="18"/>
                <w:u w:val="none"/>
              </w:rPr>
            </w:pPr>
          </w:p>
        </w:tc>
      </w:tr>
      <w:tr w14:paraId="2E7E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AAE1">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362A1">
            <w:pPr>
              <w:rPr>
                <w:rFonts w:hint="eastAsia" w:ascii="宋体" w:hAnsi="宋体" w:eastAsia="宋体" w:cs="宋体"/>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A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（十九）自然资源海洋气象等支出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B7BF">
            <w:pPr>
              <w:jc w:val="right"/>
              <w:rPr>
                <w:rFonts w:hint="eastAsia" w:ascii="宋体" w:hAnsi="宋体" w:eastAsia="宋体" w:cs="宋体"/>
                <w:i w:val="0"/>
                <w:iCs w:val="0"/>
                <w:color w:val="000000"/>
                <w:sz w:val="18"/>
                <w:szCs w:val="18"/>
                <w:u w:val="none"/>
              </w:rPr>
            </w:pPr>
          </w:p>
        </w:tc>
      </w:tr>
      <w:tr w14:paraId="60D0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30676">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BF31D">
            <w:pPr>
              <w:rPr>
                <w:rFonts w:hint="eastAsia" w:ascii="宋体" w:hAnsi="宋体" w:eastAsia="宋体" w:cs="宋体"/>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18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（二十）住房保障支出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B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r>
      <w:tr w14:paraId="003E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85F2F">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FC6CD">
            <w:pPr>
              <w:rPr>
                <w:rFonts w:hint="eastAsia" w:ascii="宋体" w:hAnsi="宋体" w:eastAsia="宋体" w:cs="宋体"/>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4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（二十一）粮油物资储备支出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11DE">
            <w:pPr>
              <w:jc w:val="right"/>
              <w:rPr>
                <w:rFonts w:hint="eastAsia" w:ascii="宋体" w:hAnsi="宋体" w:eastAsia="宋体" w:cs="宋体"/>
                <w:i w:val="0"/>
                <w:iCs w:val="0"/>
                <w:color w:val="000000"/>
                <w:sz w:val="18"/>
                <w:szCs w:val="18"/>
                <w:u w:val="none"/>
              </w:rPr>
            </w:pPr>
          </w:p>
        </w:tc>
      </w:tr>
      <w:tr w14:paraId="7C5E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B5C78">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ACAA0">
            <w:pPr>
              <w:rPr>
                <w:rFonts w:hint="eastAsia" w:ascii="宋体" w:hAnsi="宋体" w:eastAsia="宋体" w:cs="宋体"/>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B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（二十二）国有资本经营收入安排支出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7BE9">
            <w:pPr>
              <w:jc w:val="right"/>
              <w:rPr>
                <w:rFonts w:hint="eastAsia" w:ascii="宋体" w:hAnsi="宋体" w:eastAsia="宋体" w:cs="宋体"/>
                <w:i w:val="0"/>
                <w:iCs w:val="0"/>
                <w:color w:val="000000"/>
                <w:sz w:val="18"/>
                <w:szCs w:val="18"/>
                <w:u w:val="none"/>
              </w:rPr>
            </w:pPr>
          </w:p>
        </w:tc>
      </w:tr>
      <w:tr w14:paraId="115E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C631B">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024F0">
            <w:pPr>
              <w:rPr>
                <w:rFonts w:hint="eastAsia" w:ascii="宋体" w:hAnsi="宋体" w:eastAsia="宋体" w:cs="宋体"/>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F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（二十三）灾害防治及应急管理</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20AA">
            <w:pPr>
              <w:jc w:val="right"/>
              <w:rPr>
                <w:rFonts w:hint="eastAsia" w:ascii="宋体" w:hAnsi="宋体" w:eastAsia="宋体" w:cs="宋体"/>
                <w:i w:val="0"/>
                <w:iCs w:val="0"/>
                <w:color w:val="000000"/>
                <w:sz w:val="18"/>
                <w:szCs w:val="18"/>
                <w:u w:val="none"/>
              </w:rPr>
            </w:pPr>
          </w:p>
        </w:tc>
      </w:tr>
      <w:tr w14:paraId="0841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D15D9">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901B7">
            <w:pPr>
              <w:rPr>
                <w:rFonts w:hint="eastAsia" w:ascii="宋体" w:hAnsi="宋体" w:eastAsia="宋体" w:cs="宋体"/>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F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（二十四）预备费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4E16">
            <w:pPr>
              <w:jc w:val="right"/>
              <w:rPr>
                <w:rFonts w:hint="eastAsia" w:ascii="宋体" w:hAnsi="宋体" w:eastAsia="宋体" w:cs="宋体"/>
                <w:i w:val="0"/>
                <w:iCs w:val="0"/>
                <w:color w:val="000000"/>
                <w:sz w:val="18"/>
                <w:szCs w:val="18"/>
                <w:u w:val="none"/>
              </w:rPr>
            </w:pPr>
          </w:p>
        </w:tc>
      </w:tr>
      <w:tr w14:paraId="3D4E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53F6">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5792">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A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（二十五）其他支出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2B02">
            <w:pPr>
              <w:jc w:val="right"/>
              <w:rPr>
                <w:rFonts w:hint="eastAsia" w:ascii="宋体" w:hAnsi="宋体" w:eastAsia="宋体" w:cs="宋体"/>
                <w:i w:val="0"/>
                <w:iCs w:val="0"/>
                <w:color w:val="000000"/>
                <w:sz w:val="18"/>
                <w:szCs w:val="18"/>
                <w:u w:val="none"/>
              </w:rPr>
            </w:pPr>
          </w:p>
        </w:tc>
      </w:tr>
      <w:tr w14:paraId="42AC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9467">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8957">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7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（二十六）转移性支出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348">
            <w:pPr>
              <w:jc w:val="right"/>
              <w:rPr>
                <w:rFonts w:hint="eastAsia" w:ascii="宋体" w:hAnsi="宋体" w:eastAsia="宋体" w:cs="宋体"/>
                <w:i w:val="0"/>
                <w:iCs w:val="0"/>
                <w:color w:val="000000"/>
                <w:sz w:val="18"/>
                <w:szCs w:val="18"/>
                <w:u w:val="none"/>
              </w:rPr>
            </w:pPr>
          </w:p>
        </w:tc>
      </w:tr>
      <w:tr w14:paraId="64D1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8875">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00AC">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（二十七）债务还本支出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B877">
            <w:pPr>
              <w:jc w:val="right"/>
              <w:rPr>
                <w:rFonts w:hint="eastAsia" w:ascii="宋体" w:hAnsi="宋体" w:eastAsia="宋体" w:cs="宋体"/>
                <w:i w:val="0"/>
                <w:iCs w:val="0"/>
                <w:color w:val="000000"/>
                <w:sz w:val="18"/>
                <w:szCs w:val="18"/>
                <w:u w:val="none"/>
              </w:rPr>
            </w:pPr>
          </w:p>
        </w:tc>
      </w:tr>
      <w:tr w14:paraId="6230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E1B9">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0A7C">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8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（二十八）债务付息支出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F1C0">
            <w:pPr>
              <w:jc w:val="right"/>
              <w:rPr>
                <w:rFonts w:hint="eastAsia" w:ascii="宋体" w:hAnsi="宋体" w:eastAsia="宋体" w:cs="宋体"/>
                <w:i w:val="0"/>
                <w:iCs w:val="0"/>
                <w:color w:val="000000"/>
                <w:sz w:val="18"/>
                <w:szCs w:val="18"/>
                <w:u w:val="none"/>
              </w:rPr>
            </w:pPr>
          </w:p>
        </w:tc>
      </w:tr>
      <w:tr w14:paraId="5CA3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A7CB">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9DF5">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2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（二十九）债务发行费用支出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D16C">
            <w:pPr>
              <w:jc w:val="right"/>
              <w:rPr>
                <w:rFonts w:hint="eastAsia" w:ascii="宋体" w:hAnsi="宋体" w:eastAsia="宋体" w:cs="宋体"/>
                <w:i w:val="0"/>
                <w:iCs w:val="0"/>
                <w:color w:val="000000"/>
                <w:sz w:val="18"/>
                <w:szCs w:val="18"/>
                <w:u w:val="none"/>
              </w:rPr>
            </w:pPr>
          </w:p>
        </w:tc>
      </w:tr>
      <w:tr w14:paraId="0921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F7DF">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76E6">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1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（三十）抗疫特别国债安排的支出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F624">
            <w:pPr>
              <w:jc w:val="right"/>
              <w:rPr>
                <w:rFonts w:hint="eastAsia" w:ascii="宋体" w:hAnsi="宋体" w:eastAsia="宋体" w:cs="宋体"/>
                <w:i w:val="0"/>
                <w:iCs w:val="0"/>
                <w:color w:val="000000"/>
                <w:sz w:val="18"/>
                <w:szCs w:val="18"/>
                <w:u w:val="none"/>
              </w:rPr>
            </w:pPr>
          </w:p>
        </w:tc>
      </w:tr>
      <w:tr w14:paraId="6811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2A73">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05E4">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0AF8">
            <w:pPr>
              <w:rPr>
                <w:rFonts w:hint="eastAsia" w:ascii="宋体" w:hAnsi="宋体" w:eastAsia="宋体" w:cs="宋体"/>
                <w:i w:val="0"/>
                <w:iCs w:val="0"/>
                <w:color w:val="000000"/>
                <w:sz w:val="20"/>
                <w:szCs w:val="20"/>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B7448">
            <w:pPr>
              <w:rPr>
                <w:rFonts w:hint="default" w:ascii="Calibri" w:hAnsi="Calibri" w:cs="Calibri"/>
                <w:i w:val="0"/>
                <w:iCs w:val="0"/>
                <w:color w:val="000000"/>
                <w:sz w:val="22"/>
                <w:szCs w:val="22"/>
                <w:u w:val="none"/>
              </w:rPr>
            </w:pPr>
          </w:p>
        </w:tc>
      </w:tr>
      <w:tr w14:paraId="29CE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BB3E">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F82D">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3A93">
            <w:pPr>
              <w:rPr>
                <w:rFonts w:hint="eastAsia" w:ascii="宋体" w:hAnsi="宋体" w:eastAsia="宋体" w:cs="宋体"/>
                <w:i w:val="0"/>
                <w:iCs w:val="0"/>
                <w:color w:val="000000"/>
                <w:sz w:val="20"/>
                <w:szCs w:val="20"/>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6BC13">
            <w:pPr>
              <w:rPr>
                <w:rFonts w:hint="default" w:ascii="Calibri" w:hAnsi="Calibri" w:cs="Calibri"/>
                <w:i w:val="0"/>
                <w:iCs w:val="0"/>
                <w:color w:val="000000"/>
                <w:sz w:val="22"/>
                <w:szCs w:val="22"/>
                <w:u w:val="none"/>
              </w:rPr>
            </w:pPr>
          </w:p>
        </w:tc>
      </w:tr>
      <w:tr w14:paraId="28B5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七、上年结转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13CB">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7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结转下年</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7218">
            <w:pPr>
              <w:rPr>
                <w:rFonts w:hint="eastAsia" w:ascii="宋体" w:hAnsi="宋体" w:eastAsia="宋体" w:cs="宋体"/>
                <w:i w:val="0"/>
                <w:iCs w:val="0"/>
                <w:color w:val="000000"/>
                <w:sz w:val="18"/>
                <w:szCs w:val="18"/>
                <w:u w:val="none"/>
              </w:rPr>
            </w:pPr>
          </w:p>
        </w:tc>
      </w:tr>
      <w:tr w14:paraId="2111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D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AD9C">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8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65D7">
            <w:pPr>
              <w:rPr>
                <w:rFonts w:hint="eastAsia" w:ascii="宋体" w:hAnsi="宋体" w:eastAsia="宋体" w:cs="宋体"/>
                <w:i w:val="0"/>
                <w:iCs w:val="0"/>
                <w:color w:val="000000"/>
                <w:sz w:val="18"/>
                <w:szCs w:val="18"/>
                <w:u w:val="none"/>
              </w:rPr>
            </w:pPr>
          </w:p>
        </w:tc>
      </w:tr>
      <w:tr w14:paraId="03C4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D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761E">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1554">
            <w:pPr>
              <w:rPr>
                <w:rFonts w:hint="eastAsia" w:ascii="宋体" w:hAnsi="宋体" w:eastAsia="宋体" w:cs="宋体"/>
                <w:i w:val="0"/>
                <w:iCs w:val="0"/>
                <w:color w:val="000000"/>
                <w:sz w:val="18"/>
                <w:szCs w:val="18"/>
                <w:u w:val="none"/>
              </w:rPr>
            </w:pPr>
          </w:p>
        </w:tc>
      </w:tr>
      <w:tr w14:paraId="18F6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0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6DE1">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A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财政专户管理资金</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04F1">
            <w:pPr>
              <w:rPr>
                <w:rFonts w:hint="eastAsia" w:ascii="宋体" w:hAnsi="宋体" w:eastAsia="宋体" w:cs="宋体"/>
                <w:i w:val="0"/>
                <w:iCs w:val="0"/>
                <w:color w:val="000000"/>
                <w:sz w:val="18"/>
                <w:szCs w:val="18"/>
                <w:u w:val="none"/>
              </w:rPr>
            </w:pPr>
          </w:p>
        </w:tc>
      </w:tr>
      <w:tr w14:paraId="7C43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8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0017">
            <w:pPr>
              <w:jc w:val="right"/>
              <w:rPr>
                <w:rFonts w:hint="eastAsia" w:ascii="宋体" w:hAnsi="宋体" w:eastAsia="宋体" w:cs="宋体"/>
                <w:i w:val="0"/>
                <w:iCs w:val="0"/>
                <w:color w:val="000000"/>
                <w:sz w:val="20"/>
                <w:szCs w:val="20"/>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5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单位资金</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2CFF">
            <w:pPr>
              <w:rPr>
                <w:rFonts w:hint="eastAsia" w:ascii="宋体" w:hAnsi="宋体" w:eastAsia="宋体" w:cs="宋体"/>
                <w:i w:val="0"/>
                <w:iCs w:val="0"/>
                <w:color w:val="000000"/>
                <w:sz w:val="18"/>
                <w:szCs w:val="18"/>
                <w:u w:val="none"/>
              </w:rPr>
            </w:pPr>
          </w:p>
        </w:tc>
      </w:tr>
      <w:tr w14:paraId="37C2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52C5A">
            <w:pPr>
              <w:rPr>
                <w:rFonts w:hint="default" w:ascii="Calibri" w:hAnsi="Calibri" w:cs="Calibri"/>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D16EE">
            <w:pPr>
              <w:rPr>
                <w:rFonts w:hint="default"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DD827">
            <w:pPr>
              <w:rPr>
                <w:rFonts w:hint="default" w:ascii="Calibri" w:hAnsi="Calibri" w:cs="Calibri"/>
                <w:i w:val="0"/>
                <w:iCs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2FECA">
            <w:pPr>
              <w:rPr>
                <w:rFonts w:hint="default" w:ascii="Calibri" w:hAnsi="Calibri" w:cs="Calibri"/>
                <w:i w:val="0"/>
                <w:iCs w:val="0"/>
                <w:color w:val="000000"/>
                <w:sz w:val="22"/>
                <w:szCs w:val="22"/>
                <w:u w:val="none"/>
              </w:rPr>
            </w:pPr>
          </w:p>
        </w:tc>
      </w:tr>
      <w:tr w14:paraId="6AE7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8DB09">
            <w:pPr>
              <w:rPr>
                <w:rFonts w:hint="default" w:ascii="Calibri" w:hAnsi="Calibri" w:cs="Calibri"/>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071D3">
            <w:pPr>
              <w:rPr>
                <w:rFonts w:hint="default" w:ascii="Calibri" w:hAnsi="Calibri" w:cs="Calibri"/>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5D54">
            <w:pPr>
              <w:jc w:val="left"/>
              <w:rPr>
                <w:rFonts w:hint="eastAsia" w:ascii="宋体" w:hAnsi="宋体" w:eastAsia="宋体" w:cs="宋体"/>
                <w:i w:val="0"/>
                <w:iCs w:val="0"/>
                <w:color w:val="000000"/>
                <w:sz w:val="20"/>
                <w:szCs w:val="20"/>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52DB">
            <w:pPr>
              <w:jc w:val="right"/>
              <w:rPr>
                <w:rFonts w:hint="eastAsia" w:ascii="宋体" w:hAnsi="宋体" w:eastAsia="宋体" w:cs="宋体"/>
                <w:i w:val="0"/>
                <w:iCs w:val="0"/>
                <w:color w:val="000000"/>
                <w:sz w:val="18"/>
                <w:szCs w:val="18"/>
                <w:u w:val="none"/>
              </w:rPr>
            </w:pPr>
          </w:p>
        </w:tc>
      </w:tr>
      <w:tr w14:paraId="6F4E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A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9B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949.57</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C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70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r>
      <w:tr w14:paraId="6E28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13" w:type="dxa"/>
            <w:gridSpan w:val="5"/>
            <w:tcBorders>
              <w:top w:val="nil"/>
              <w:left w:val="nil"/>
              <w:bottom w:val="nil"/>
              <w:right w:val="nil"/>
            </w:tcBorders>
            <w:shd w:val="clear" w:color="auto" w:fill="auto"/>
            <w:noWrap/>
            <w:vAlign w:val="center"/>
          </w:tcPr>
          <w:p w14:paraId="7FA71C52">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注：本表反映部门各项收入、支出预算安排情况。</w:t>
            </w:r>
          </w:p>
        </w:tc>
      </w:tr>
    </w:tbl>
    <w:p w14:paraId="2E1338CC">
      <w:pPr>
        <w:spacing w:line="560" w:lineRule="exac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14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3"/>
        <w:gridCol w:w="2625"/>
        <w:gridCol w:w="1109"/>
        <w:gridCol w:w="916"/>
        <w:gridCol w:w="757"/>
        <w:gridCol w:w="383"/>
        <w:gridCol w:w="390"/>
        <w:gridCol w:w="555"/>
        <w:gridCol w:w="635"/>
        <w:gridCol w:w="431"/>
        <w:gridCol w:w="431"/>
        <w:gridCol w:w="431"/>
        <w:gridCol w:w="431"/>
        <w:gridCol w:w="431"/>
        <w:gridCol w:w="431"/>
        <w:gridCol w:w="431"/>
        <w:gridCol w:w="431"/>
        <w:gridCol w:w="431"/>
        <w:gridCol w:w="431"/>
        <w:gridCol w:w="431"/>
        <w:gridCol w:w="574"/>
        <w:gridCol w:w="492"/>
      </w:tblGrid>
      <w:tr w14:paraId="5F9E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nil"/>
              <w:left w:val="nil"/>
              <w:bottom w:val="nil"/>
              <w:right w:val="nil"/>
            </w:tcBorders>
            <w:shd w:val="clear" w:color="auto" w:fill="auto"/>
            <w:noWrap/>
            <w:vAlign w:val="bottom"/>
          </w:tcPr>
          <w:p w14:paraId="5BE7EA37">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表2</w:t>
            </w:r>
          </w:p>
        </w:tc>
        <w:tc>
          <w:tcPr>
            <w:tcW w:w="2625" w:type="dxa"/>
            <w:tcBorders>
              <w:top w:val="nil"/>
              <w:left w:val="nil"/>
              <w:bottom w:val="nil"/>
              <w:right w:val="nil"/>
            </w:tcBorders>
            <w:shd w:val="clear" w:color="auto" w:fill="auto"/>
            <w:noWrap/>
            <w:vAlign w:val="bottom"/>
          </w:tcPr>
          <w:p w14:paraId="328CDC0C">
            <w:pPr>
              <w:snapToGrid w:val="0"/>
              <w:rPr>
                <w:rFonts w:hint="eastAsia" w:ascii="Arial" w:hAnsi="Arial" w:cs="Arial"/>
                <w:i w:val="0"/>
                <w:iCs w:val="0"/>
                <w:color w:val="000000"/>
                <w:sz w:val="20"/>
                <w:szCs w:val="20"/>
                <w:u w:val="none"/>
              </w:rPr>
            </w:pPr>
          </w:p>
        </w:tc>
        <w:tc>
          <w:tcPr>
            <w:tcW w:w="1109" w:type="dxa"/>
            <w:tcBorders>
              <w:top w:val="nil"/>
              <w:left w:val="nil"/>
              <w:bottom w:val="nil"/>
              <w:right w:val="nil"/>
            </w:tcBorders>
            <w:shd w:val="clear" w:color="auto" w:fill="auto"/>
            <w:noWrap/>
            <w:vAlign w:val="bottom"/>
          </w:tcPr>
          <w:p w14:paraId="73246351">
            <w:pPr>
              <w:snapToGrid w:val="0"/>
              <w:rPr>
                <w:rFonts w:hint="default" w:ascii="Arial" w:hAnsi="Arial" w:cs="Arial"/>
                <w:i w:val="0"/>
                <w:iCs w:val="0"/>
                <w:color w:val="000000"/>
                <w:sz w:val="20"/>
                <w:szCs w:val="20"/>
                <w:u w:val="none"/>
              </w:rPr>
            </w:pPr>
          </w:p>
        </w:tc>
        <w:tc>
          <w:tcPr>
            <w:tcW w:w="916" w:type="dxa"/>
            <w:tcBorders>
              <w:top w:val="nil"/>
              <w:left w:val="nil"/>
              <w:bottom w:val="nil"/>
              <w:right w:val="nil"/>
            </w:tcBorders>
            <w:shd w:val="clear" w:color="auto" w:fill="auto"/>
            <w:noWrap/>
            <w:vAlign w:val="bottom"/>
          </w:tcPr>
          <w:p w14:paraId="01BC61EA">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noWrap/>
            <w:vAlign w:val="bottom"/>
          </w:tcPr>
          <w:p w14:paraId="720A37BB">
            <w:pPr>
              <w:snapToGrid w:val="0"/>
              <w:rPr>
                <w:rFonts w:hint="default" w:ascii="Arial" w:hAnsi="Arial" w:cs="Arial"/>
                <w:i w:val="0"/>
                <w:iCs w:val="0"/>
                <w:color w:val="000000"/>
                <w:sz w:val="20"/>
                <w:szCs w:val="20"/>
                <w:u w:val="none"/>
              </w:rPr>
            </w:pPr>
          </w:p>
        </w:tc>
        <w:tc>
          <w:tcPr>
            <w:tcW w:w="383" w:type="dxa"/>
            <w:tcBorders>
              <w:top w:val="nil"/>
              <w:left w:val="nil"/>
              <w:bottom w:val="nil"/>
              <w:right w:val="nil"/>
            </w:tcBorders>
            <w:shd w:val="clear" w:color="auto" w:fill="auto"/>
            <w:noWrap/>
            <w:vAlign w:val="bottom"/>
          </w:tcPr>
          <w:p w14:paraId="549D1D5B">
            <w:pPr>
              <w:snapToGrid w:val="0"/>
              <w:rPr>
                <w:rFonts w:hint="default" w:ascii="Arial" w:hAnsi="Arial" w:cs="Arial"/>
                <w:i w:val="0"/>
                <w:iCs w:val="0"/>
                <w:color w:val="000000"/>
                <w:sz w:val="20"/>
                <w:szCs w:val="20"/>
                <w:u w:val="none"/>
              </w:rPr>
            </w:pPr>
          </w:p>
        </w:tc>
        <w:tc>
          <w:tcPr>
            <w:tcW w:w="390" w:type="dxa"/>
            <w:tcBorders>
              <w:top w:val="nil"/>
              <w:left w:val="nil"/>
              <w:bottom w:val="nil"/>
              <w:right w:val="nil"/>
            </w:tcBorders>
            <w:shd w:val="clear" w:color="auto" w:fill="auto"/>
            <w:noWrap/>
            <w:vAlign w:val="bottom"/>
          </w:tcPr>
          <w:p w14:paraId="4AC242FC">
            <w:pPr>
              <w:snapToGrid w:val="0"/>
              <w:rPr>
                <w:rFonts w:hint="default" w:ascii="Arial" w:hAnsi="Arial" w:cs="Arial"/>
                <w:i w:val="0"/>
                <w:iCs w:val="0"/>
                <w:color w:val="000000"/>
                <w:sz w:val="20"/>
                <w:szCs w:val="20"/>
                <w:u w:val="none"/>
              </w:rPr>
            </w:pPr>
          </w:p>
        </w:tc>
        <w:tc>
          <w:tcPr>
            <w:tcW w:w="555" w:type="dxa"/>
            <w:tcBorders>
              <w:top w:val="nil"/>
              <w:left w:val="nil"/>
              <w:bottom w:val="nil"/>
              <w:right w:val="nil"/>
            </w:tcBorders>
            <w:shd w:val="clear" w:color="auto" w:fill="auto"/>
            <w:noWrap/>
            <w:vAlign w:val="bottom"/>
          </w:tcPr>
          <w:p w14:paraId="67D5FDEE">
            <w:pPr>
              <w:snapToGrid w:val="0"/>
              <w:rPr>
                <w:rFonts w:hint="default" w:ascii="Arial" w:hAnsi="Arial" w:cs="Arial"/>
                <w:i w:val="0"/>
                <w:iCs w:val="0"/>
                <w:color w:val="000000"/>
                <w:sz w:val="20"/>
                <w:szCs w:val="20"/>
                <w:u w:val="none"/>
              </w:rPr>
            </w:pPr>
          </w:p>
        </w:tc>
        <w:tc>
          <w:tcPr>
            <w:tcW w:w="635" w:type="dxa"/>
            <w:tcBorders>
              <w:top w:val="nil"/>
              <w:left w:val="nil"/>
              <w:bottom w:val="nil"/>
              <w:right w:val="nil"/>
            </w:tcBorders>
            <w:shd w:val="clear" w:color="auto" w:fill="auto"/>
            <w:noWrap/>
            <w:vAlign w:val="bottom"/>
          </w:tcPr>
          <w:p w14:paraId="0619F03A">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3343FC71">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66ED39B8">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689D82DC">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30E6B9B6">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1701FCD0">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6B79D5DF">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05AC2803">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783F8FDD">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7934AA40">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6CD4FA2E">
            <w:pPr>
              <w:snapToGrid w:val="0"/>
              <w:rPr>
                <w:rFonts w:hint="default" w:ascii="Arial" w:hAnsi="Arial" w:cs="Arial"/>
                <w:i w:val="0"/>
                <w:iCs w:val="0"/>
                <w:color w:val="000000"/>
                <w:sz w:val="20"/>
                <w:szCs w:val="20"/>
                <w:u w:val="none"/>
              </w:rPr>
            </w:pPr>
          </w:p>
        </w:tc>
        <w:tc>
          <w:tcPr>
            <w:tcW w:w="431" w:type="dxa"/>
            <w:tcBorders>
              <w:top w:val="nil"/>
              <w:left w:val="nil"/>
              <w:bottom w:val="nil"/>
              <w:right w:val="nil"/>
            </w:tcBorders>
            <w:shd w:val="clear" w:color="auto" w:fill="auto"/>
            <w:noWrap/>
            <w:vAlign w:val="bottom"/>
          </w:tcPr>
          <w:p w14:paraId="263BB062">
            <w:pPr>
              <w:snapToGrid w:val="0"/>
              <w:rPr>
                <w:rFonts w:hint="default" w:ascii="Arial" w:hAnsi="Arial" w:cs="Arial"/>
                <w:i w:val="0"/>
                <w:iCs w:val="0"/>
                <w:color w:val="000000"/>
                <w:sz w:val="20"/>
                <w:szCs w:val="20"/>
                <w:u w:val="none"/>
              </w:rPr>
            </w:pPr>
          </w:p>
        </w:tc>
        <w:tc>
          <w:tcPr>
            <w:tcW w:w="574" w:type="dxa"/>
            <w:tcBorders>
              <w:top w:val="nil"/>
              <w:left w:val="nil"/>
              <w:bottom w:val="nil"/>
              <w:right w:val="nil"/>
            </w:tcBorders>
            <w:shd w:val="clear" w:color="auto" w:fill="auto"/>
            <w:noWrap/>
            <w:vAlign w:val="bottom"/>
          </w:tcPr>
          <w:p w14:paraId="576749F0">
            <w:pPr>
              <w:snapToGrid w:val="0"/>
              <w:rPr>
                <w:rFonts w:hint="default" w:ascii="Arial" w:hAnsi="Arial" w:cs="Arial"/>
                <w:i w:val="0"/>
                <w:iCs w:val="0"/>
                <w:color w:val="000000"/>
                <w:sz w:val="20"/>
                <w:szCs w:val="20"/>
                <w:u w:val="none"/>
              </w:rPr>
            </w:pPr>
          </w:p>
        </w:tc>
        <w:tc>
          <w:tcPr>
            <w:tcW w:w="492" w:type="dxa"/>
            <w:tcBorders>
              <w:top w:val="nil"/>
              <w:left w:val="nil"/>
              <w:bottom w:val="nil"/>
              <w:right w:val="nil"/>
            </w:tcBorders>
            <w:shd w:val="clear" w:color="auto" w:fill="auto"/>
            <w:noWrap/>
            <w:vAlign w:val="bottom"/>
          </w:tcPr>
          <w:p w14:paraId="34CF0E9F">
            <w:pPr>
              <w:snapToGrid w:val="0"/>
              <w:rPr>
                <w:rFonts w:hint="default" w:ascii="Arial" w:hAnsi="Arial" w:cs="Arial"/>
                <w:i w:val="0"/>
                <w:iCs w:val="0"/>
                <w:color w:val="000000"/>
                <w:sz w:val="20"/>
                <w:szCs w:val="20"/>
                <w:u w:val="none"/>
              </w:rPr>
            </w:pPr>
          </w:p>
        </w:tc>
      </w:tr>
      <w:tr w14:paraId="56B9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80" w:type="dxa"/>
            <w:gridSpan w:val="22"/>
            <w:tcBorders>
              <w:top w:val="nil"/>
              <w:left w:val="nil"/>
              <w:bottom w:val="nil"/>
              <w:right w:val="nil"/>
            </w:tcBorders>
            <w:shd w:val="clear" w:color="auto" w:fill="auto"/>
            <w:noWrap/>
            <w:vAlign w:val="center"/>
          </w:tcPr>
          <w:p w14:paraId="5DB0310B">
            <w:pPr>
              <w:keepNext w:val="0"/>
              <w:keepLines w:val="0"/>
              <w:widowControl/>
              <w:suppressLineNumbers w:val="0"/>
              <w:snapToGrid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2026年部门收入预算总表</w:t>
            </w:r>
          </w:p>
        </w:tc>
      </w:tr>
      <w:tr w14:paraId="2259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28" w:type="dxa"/>
            <w:gridSpan w:val="2"/>
            <w:tcBorders>
              <w:top w:val="nil"/>
              <w:left w:val="nil"/>
              <w:bottom w:val="single" w:color="000000" w:sz="4" w:space="0"/>
              <w:right w:val="nil"/>
            </w:tcBorders>
            <w:shd w:val="clear" w:color="auto" w:fill="auto"/>
            <w:noWrap/>
            <w:vAlign w:val="center"/>
          </w:tcPr>
          <w:p w14:paraId="56A2B8B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部门名称:萧县青龙集镇人民政府</w:t>
            </w:r>
          </w:p>
        </w:tc>
        <w:tc>
          <w:tcPr>
            <w:tcW w:w="1109" w:type="dxa"/>
            <w:tcBorders>
              <w:top w:val="nil"/>
              <w:left w:val="nil"/>
              <w:bottom w:val="nil"/>
              <w:right w:val="nil"/>
            </w:tcBorders>
            <w:shd w:val="clear" w:color="auto" w:fill="auto"/>
            <w:noWrap/>
            <w:vAlign w:val="bottom"/>
          </w:tcPr>
          <w:p w14:paraId="0FECFC7B">
            <w:pPr>
              <w:snapToGrid w:val="0"/>
              <w:jc w:val="center"/>
              <w:rPr>
                <w:rFonts w:hint="eastAsia" w:ascii="宋体" w:hAnsi="宋体" w:eastAsia="宋体" w:cs="宋体"/>
                <w:i w:val="0"/>
                <w:iCs w:val="0"/>
                <w:color w:val="000000"/>
                <w:sz w:val="24"/>
                <w:szCs w:val="24"/>
                <w:u w:val="none"/>
              </w:rPr>
            </w:pPr>
          </w:p>
        </w:tc>
        <w:tc>
          <w:tcPr>
            <w:tcW w:w="916" w:type="dxa"/>
            <w:tcBorders>
              <w:top w:val="nil"/>
              <w:left w:val="nil"/>
              <w:bottom w:val="nil"/>
              <w:right w:val="nil"/>
            </w:tcBorders>
            <w:shd w:val="clear" w:color="auto" w:fill="auto"/>
            <w:noWrap/>
            <w:vAlign w:val="bottom"/>
          </w:tcPr>
          <w:p w14:paraId="662D494F">
            <w:pPr>
              <w:snapToGrid w:val="0"/>
              <w:jc w:val="center"/>
              <w:rPr>
                <w:rFonts w:hint="eastAsia" w:ascii="宋体" w:hAnsi="宋体" w:eastAsia="宋体" w:cs="宋体"/>
                <w:i w:val="0"/>
                <w:iCs w:val="0"/>
                <w:color w:val="000000"/>
                <w:sz w:val="24"/>
                <w:szCs w:val="24"/>
                <w:u w:val="none"/>
              </w:rPr>
            </w:pPr>
          </w:p>
        </w:tc>
        <w:tc>
          <w:tcPr>
            <w:tcW w:w="757" w:type="dxa"/>
            <w:tcBorders>
              <w:top w:val="nil"/>
              <w:left w:val="nil"/>
              <w:bottom w:val="nil"/>
              <w:right w:val="nil"/>
            </w:tcBorders>
            <w:shd w:val="clear" w:color="auto" w:fill="auto"/>
            <w:noWrap/>
            <w:vAlign w:val="bottom"/>
          </w:tcPr>
          <w:p w14:paraId="609C7945">
            <w:pPr>
              <w:snapToGrid w:val="0"/>
              <w:jc w:val="center"/>
              <w:rPr>
                <w:rFonts w:hint="eastAsia" w:ascii="宋体" w:hAnsi="宋体" w:eastAsia="宋体" w:cs="宋体"/>
                <w:i w:val="0"/>
                <w:iCs w:val="0"/>
                <w:color w:val="000000"/>
                <w:sz w:val="24"/>
                <w:szCs w:val="24"/>
                <w:u w:val="none"/>
              </w:rPr>
            </w:pPr>
          </w:p>
        </w:tc>
        <w:tc>
          <w:tcPr>
            <w:tcW w:w="383" w:type="dxa"/>
            <w:tcBorders>
              <w:top w:val="nil"/>
              <w:left w:val="nil"/>
              <w:bottom w:val="nil"/>
              <w:right w:val="nil"/>
            </w:tcBorders>
            <w:shd w:val="clear" w:color="auto" w:fill="auto"/>
            <w:noWrap/>
            <w:vAlign w:val="bottom"/>
          </w:tcPr>
          <w:p w14:paraId="3B09660D">
            <w:pPr>
              <w:snapToGrid w:val="0"/>
              <w:jc w:val="center"/>
              <w:rPr>
                <w:rFonts w:hint="eastAsia" w:ascii="宋体" w:hAnsi="宋体" w:eastAsia="宋体" w:cs="宋体"/>
                <w:i w:val="0"/>
                <w:iCs w:val="0"/>
                <w:color w:val="000000"/>
                <w:sz w:val="24"/>
                <w:szCs w:val="24"/>
                <w:u w:val="none"/>
              </w:rPr>
            </w:pPr>
          </w:p>
        </w:tc>
        <w:tc>
          <w:tcPr>
            <w:tcW w:w="390" w:type="dxa"/>
            <w:tcBorders>
              <w:top w:val="nil"/>
              <w:left w:val="nil"/>
              <w:bottom w:val="nil"/>
              <w:right w:val="nil"/>
            </w:tcBorders>
            <w:shd w:val="clear" w:color="auto" w:fill="auto"/>
            <w:noWrap/>
            <w:vAlign w:val="bottom"/>
          </w:tcPr>
          <w:p w14:paraId="0D24382D">
            <w:pPr>
              <w:snapToGrid w:val="0"/>
              <w:jc w:val="cente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shd w:val="clear" w:color="auto" w:fill="auto"/>
            <w:noWrap/>
            <w:vAlign w:val="bottom"/>
          </w:tcPr>
          <w:p w14:paraId="7567C50E">
            <w:pPr>
              <w:snapToGrid w:val="0"/>
              <w:jc w:val="center"/>
              <w:rPr>
                <w:rFonts w:hint="eastAsia" w:ascii="宋体" w:hAnsi="宋体" w:eastAsia="宋体" w:cs="宋体"/>
                <w:i w:val="0"/>
                <w:iCs w:val="0"/>
                <w:color w:val="000000"/>
                <w:sz w:val="24"/>
                <w:szCs w:val="24"/>
                <w:u w:val="none"/>
              </w:rPr>
            </w:pPr>
          </w:p>
        </w:tc>
        <w:tc>
          <w:tcPr>
            <w:tcW w:w="635" w:type="dxa"/>
            <w:tcBorders>
              <w:top w:val="nil"/>
              <w:left w:val="nil"/>
              <w:bottom w:val="nil"/>
              <w:right w:val="nil"/>
            </w:tcBorders>
            <w:shd w:val="clear" w:color="auto" w:fill="auto"/>
            <w:noWrap/>
            <w:vAlign w:val="bottom"/>
          </w:tcPr>
          <w:p w14:paraId="04423BCB">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7A174566">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54BD3BEC">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3E878F61">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276433B0">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05889B5E">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7AA89102">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63F63F1D">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28E14E6D">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63780105">
            <w:pPr>
              <w:snapToGrid w:val="0"/>
              <w:jc w:val="center"/>
              <w:rPr>
                <w:rFonts w:hint="eastAsia" w:ascii="宋体" w:hAnsi="宋体" w:eastAsia="宋体" w:cs="宋体"/>
                <w:i w:val="0"/>
                <w:iCs w:val="0"/>
                <w:color w:val="000000"/>
                <w:sz w:val="24"/>
                <w:szCs w:val="24"/>
                <w:u w:val="none"/>
              </w:rPr>
            </w:pPr>
          </w:p>
        </w:tc>
        <w:tc>
          <w:tcPr>
            <w:tcW w:w="431" w:type="dxa"/>
            <w:tcBorders>
              <w:top w:val="nil"/>
              <w:left w:val="nil"/>
              <w:bottom w:val="nil"/>
              <w:right w:val="nil"/>
            </w:tcBorders>
            <w:shd w:val="clear" w:color="auto" w:fill="auto"/>
            <w:noWrap/>
            <w:vAlign w:val="bottom"/>
          </w:tcPr>
          <w:p w14:paraId="5BDDDF6C">
            <w:pPr>
              <w:snapToGrid w:val="0"/>
              <w:jc w:val="center"/>
              <w:rPr>
                <w:rFonts w:hint="eastAsia" w:ascii="宋体" w:hAnsi="宋体" w:eastAsia="宋体" w:cs="宋体"/>
                <w:i w:val="0"/>
                <w:iCs w:val="0"/>
                <w:color w:val="000000"/>
                <w:sz w:val="24"/>
                <w:szCs w:val="24"/>
                <w:u w:val="none"/>
              </w:rPr>
            </w:pPr>
          </w:p>
        </w:tc>
        <w:tc>
          <w:tcPr>
            <w:tcW w:w="1497" w:type="dxa"/>
            <w:gridSpan w:val="3"/>
            <w:tcBorders>
              <w:top w:val="nil"/>
              <w:left w:val="nil"/>
              <w:bottom w:val="nil"/>
              <w:right w:val="nil"/>
            </w:tcBorders>
            <w:shd w:val="clear" w:color="auto" w:fill="auto"/>
            <w:noWrap/>
            <w:vAlign w:val="bottom"/>
          </w:tcPr>
          <w:p w14:paraId="58BB6FA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02D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04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功能分类科目</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18F3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2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A0191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22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CEF8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r>
      <w:tr w14:paraId="7749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BD59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F570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D329">
            <w:pPr>
              <w:snapToGrid w:val="0"/>
              <w:jc w:val="center"/>
              <w:rPr>
                <w:rFonts w:hint="eastAsia" w:ascii="宋体" w:hAnsi="宋体" w:eastAsia="宋体" w:cs="宋体"/>
                <w:b/>
                <w:bCs/>
                <w:i w:val="0"/>
                <w:iCs w:val="0"/>
                <w:color w:val="000000"/>
                <w:sz w:val="22"/>
                <w:szCs w:val="22"/>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8783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66DD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一般公共预算拨款收入</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4B1B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7A33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6BF3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上级转移支付（提前下达一般公共预算）</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A046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上级转移支付（提前下达政府性基金预算）</w:t>
            </w:r>
          </w:p>
        </w:tc>
        <w:tc>
          <w:tcPr>
            <w:tcW w:w="25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04825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c>
          <w:tcPr>
            <w:tcW w:w="322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4D5F">
            <w:pPr>
              <w:snapToGrid w:val="0"/>
              <w:jc w:val="center"/>
              <w:rPr>
                <w:rFonts w:hint="eastAsia" w:ascii="宋体" w:hAnsi="宋体" w:eastAsia="宋体" w:cs="宋体"/>
                <w:b/>
                <w:bCs/>
                <w:i w:val="0"/>
                <w:iCs w:val="0"/>
                <w:color w:val="000000"/>
                <w:sz w:val="22"/>
                <w:szCs w:val="22"/>
                <w:u w:val="none"/>
              </w:rPr>
            </w:pPr>
          </w:p>
        </w:tc>
      </w:tr>
      <w:tr w14:paraId="6694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7202">
            <w:pPr>
              <w:snapToGrid w:val="0"/>
              <w:jc w:val="center"/>
              <w:rPr>
                <w:rFonts w:hint="eastAsia" w:ascii="宋体" w:hAnsi="宋体" w:eastAsia="宋体" w:cs="宋体"/>
                <w:b/>
                <w:bCs/>
                <w:i w:val="0"/>
                <w:iCs w:val="0"/>
                <w:color w:val="000000"/>
                <w:sz w:val="22"/>
                <w:szCs w:val="22"/>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F0AF">
            <w:pPr>
              <w:snapToGrid w:val="0"/>
              <w:jc w:val="center"/>
              <w:rPr>
                <w:rFonts w:hint="eastAsia" w:ascii="宋体" w:hAnsi="宋体" w:eastAsia="宋体" w:cs="宋体"/>
                <w:b/>
                <w:bCs/>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3C20">
            <w:pPr>
              <w:snapToGrid w:val="0"/>
              <w:jc w:val="center"/>
              <w:rPr>
                <w:rFonts w:hint="eastAsia" w:ascii="宋体" w:hAnsi="宋体" w:eastAsia="宋体" w:cs="宋体"/>
                <w:b/>
                <w:bCs/>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8040">
            <w:pPr>
              <w:snapToGrid w:val="0"/>
              <w:jc w:val="center"/>
              <w:rPr>
                <w:rFonts w:hint="eastAsia" w:ascii="宋体" w:hAnsi="宋体" w:eastAsia="宋体" w:cs="宋体"/>
                <w:b/>
                <w:bCs/>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E657">
            <w:pPr>
              <w:snapToGrid w:val="0"/>
              <w:jc w:val="center"/>
              <w:rPr>
                <w:rFonts w:hint="eastAsia" w:ascii="宋体" w:hAnsi="宋体" w:eastAsia="宋体" w:cs="宋体"/>
                <w:b/>
                <w:bCs/>
                <w:i w:val="0"/>
                <w:iCs w:val="0"/>
                <w:color w:val="000000"/>
                <w:sz w:val="22"/>
                <w:szCs w:val="22"/>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16AF">
            <w:pPr>
              <w:snapToGrid w:val="0"/>
              <w:jc w:val="center"/>
              <w:rPr>
                <w:rFonts w:hint="eastAsia" w:ascii="宋体" w:hAnsi="宋体" w:eastAsia="宋体" w:cs="宋体"/>
                <w:b/>
                <w:bCs/>
                <w:i w:val="0"/>
                <w:iCs w:val="0"/>
                <w:color w:val="000000"/>
                <w:sz w:val="22"/>
                <w:szCs w:val="22"/>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43D3">
            <w:pPr>
              <w:snapToGrid w:val="0"/>
              <w:jc w:val="center"/>
              <w:rPr>
                <w:rFonts w:hint="eastAsia" w:ascii="宋体" w:hAnsi="宋体" w:eastAsia="宋体" w:cs="宋体"/>
                <w:b/>
                <w:bCs/>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CBC8">
            <w:pPr>
              <w:snapToGrid w:val="0"/>
              <w:jc w:val="center"/>
              <w:rPr>
                <w:rFonts w:hint="eastAsia" w:ascii="宋体" w:hAnsi="宋体" w:eastAsia="宋体" w:cs="宋体"/>
                <w:b/>
                <w:bCs/>
                <w:i w:val="0"/>
                <w:iCs w:val="0"/>
                <w:color w:val="000000"/>
                <w:sz w:val="22"/>
                <w:szCs w:val="22"/>
                <w:u w:val="none"/>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9AE38">
            <w:pPr>
              <w:snapToGrid w:val="0"/>
              <w:jc w:val="center"/>
              <w:rPr>
                <w:rFonts w:hint="eastAsia" w:ascii="宋体" w:hAnsi="宋体" w:eastAsia="宋体" w:cs="宋体"/>
                <w:b/>
                <w:bCs/>
                <w:i w:val="0"/>
                <w:iCs w:val="0"/>
                <w:color w:val="000000"/>
                <w:sz w:val="22"/>
                <w:szCs w:val="22"/>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068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A68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8A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344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6DF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15B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E24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E3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DA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F8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337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上级转移支付一般公共预算</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7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上级转移支付政府性基金</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D23A">
            <w:pPr>
              <w:keepNext w:val="0"/>
              <w:keepLines w:val="0"/>
              <w:widowControl/>
              <w:suppressLineNumbers w:val="0"/>
              <w:snapToGrid w:val="0"/>
              <w:jc w:val="center"/>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单位资金</w:t>
            </w:r>
          </w:p>
        </w:tc>
      </w:tr>
      <w:tr w14:paraId="108C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1E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536E">
            <w:pPr>
              <w:snapToGrid w:val="0"/>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FC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6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9B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6F5F">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3116">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F0E">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66E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726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B65C">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8B0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92FB">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C33B">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B6F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66D4">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910">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C8B">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A46">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AFF4">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3240">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3900">
            <w:pPr>
              <w:snapToGrid w:val="0"/>
              <w:jc w:val="center"/>
              <w:rPr>
                <w:rFonts w:hint="default" w:ascii="Calibri" w:hAnsi="Calibri" w:cs="Calibri"/>
                <w:i w:val="0"/>
                <w:iCs w:val="0"/>
                <w:color w:val="000000"/>
                <w:sz w:val="18"/>
                <w:szCs w:val="18"/>
                <w:u w:val="none"/>
              </w:rPr>
            </w:pPr>
          </w:p>
        </w:tc>
      </w:tr>
      <w:tr w14:paraId="544E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765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72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DB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2ACF">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DE9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DF5">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E21">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3EBC">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559">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4B0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3E1">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7E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672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D0D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571">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7B59">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D9B">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5DC">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67B5">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E9A3">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A83F">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E9F6">
            <w:pPr>
              <w:snapToGrid w:val="0"/>
              <w:jc w:val="center"/>
              <w:rPr>
                <w:rFonts w:hint="default" w:ascii="Calibri" w:hAnsi="Calibri" w:cs="Calibri"/>
                <w:i w:val="0"/>
                <w:iCs w:val="0"/>
                <w:color w:val="000000"/>
                <w:sz w:val="18"/>
                <w:szCs w:val="18"/>
                <w:u w:val="none"/>
              </w:rPr>
            </w:pPr>
          </w:p>
        </w:tc>
      </w:tr>
      <w:tr w14:paraId="5E1E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AFC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1DC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CC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806">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A8B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8F3A">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8CA5">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30E">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742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D5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64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93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355B">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149">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630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8B67">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5FF8">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3023">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35F1">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8218">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6F4C">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58F">
            <w:pPr>
              <w:snapToGrid w:val="0"/>
              <w:jc w:val="center"/>
              <w:rPr>
                <w:rFonts w:hint="default" w:ascii="Calibri" w:hAnsi="Calibri" w:cs="Calibri"/>
                <w:i w:val="0"/>
                <w:iCs w:val="0"/>
                <w:color w:val="000000"/>
                <w:sz w:val="18"/>
                <w:szCs w:val="18"/>
                <w:u w:val="none"/>
              </w:rPr>
            </w:pPr>
          </w:p>
        </w:tc>
      </w:tr>
      <w:tr w14:paraId="0AE4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9D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5BC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DC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C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29E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7CF0">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8929">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28CD">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90D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AF8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77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E9D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F8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F97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16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F2A4">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8FE0">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D50A">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11DC">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E13">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95A">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7E0D">
            <w:pPr>
              <w:snapToGrid w:val="0"/>
              <w:jc w:val="center"/>
              <w:rPr>
                <w:rFonts w:hint="default" w:ascii="Calibri" w:hAnsi="Calibri" w:cs="Calibri"/>
                <w:i w:val="0"/>
                <w:iCs w:val="0"/>
                <w:color w:val="000000"/>
                <w:sz w:val="18"/>
                <w:szCs w:val="18"/>
                <w:u w:val="none"/>
              </w:rPr>
            </w:pPr>
          </w:p>
        </w:tc>
      </w:tr>
      <w:tr w14:paraId="1D15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BC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160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9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CAED">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E95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25EC">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589">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ADAC">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2F4E">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165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890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EE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BF8C">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D01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BD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244F">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A126">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962C">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2D88">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45A">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B72A">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C1ED">
            <w:pPr>
              <w:snapToGrid w:val="0"/>
              <w:jc w:val="center"/>
              <w:rPr>
                <w:rFonts w:hint="default" w:ascii="Calibri" w:hAnsi="Calibri" w:cs="Calibri"/>
                <w:i w:val="0"/>
                <w:iCs w:val="0"/>
                <w:color w:val="000000"/>
                <w:sz w:val="18"/>
                <w:szCs w:val="18"/>
                <w:u w:val="none"/>
              </w:rPr>
            </w:pPr>
          </w:p>
        </w:tc>
      </w:tr>
      <w:tr w14:paraId="4F9A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B1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924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D8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29B1">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340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171A">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4A67">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618C">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A13E">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09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CD59">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FB1C">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0CD6">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78D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F9A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7E07">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0AA1">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0DE">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6B02">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C587">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52EA">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5B69">
            <w:pPr>
              <w:snapToGrid w:val="0"/>
              <w:jc w:val="center"/>
              <w:rPr>
                <w:rFonts w:hint="default" w:ascii="Calibri" w:hAnsi="Calibri" w:cs="Calibri"/>
                <w:i w:val="0"/>
                <w:iCs w:val="0"/>
                <w:color w:val="000000"/>
                <w:sz w:val="18"/>
                <w:szCs w:val="18"/>
                <w:u w:val="none"/>
              </w:rPr>
            </w:pPr>
          </w:p>
        </w:tc>
      </w:tr>
      <w:tr w14:paraId="6A2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75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7BF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F7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9C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9236">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197">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781">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8CFE">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394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FA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30AE">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300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5806">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259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66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C06A">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1F2E">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9FD3">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B68F">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4F0B">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B79F">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7EF2">
            <w:pPr>
              <w:snapToGrid w:val="0"/>
              <w:jc w:val="center"/>
              <w:rPr>
                <w:rFonts w:hint="default" w:ascii="Calibri" w:hAnsi="Calibri" w:cs="Calibri"/>
                <w:i w:val="0"/>
                <w:iCs w:val="0"/>
                <w:color w:val="000000"/>
                <w:sz w:val="18"/>
                <w:szCs w:val="18"/>
                <w:u w:val="none"/>
              </w:rPr>
            </w:pPr>
          </w:p>
        </w:tc>
      </w:tr>
      <w:tr w14:paraId="50D3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25C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98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B6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95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D5E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EA6">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D812">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7F19">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44A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A04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362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16A">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8A5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68D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42D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9D0F">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8A4">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72FD">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8A8">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E1A1">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18AC">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7668">
            <w:pPr>
              <w:snapToGrid w:val="0"/>
              <w:jc w:val="center"/>
              <w:rPr>
                <w:rFonts w:hint="default" w:ascii="Calibri" w:hAnsi="Calibri" w:cs="Calibri"/>
                <w:i w:val="0"/>
                <w:iCs w:val="0"/>
                <w:color w:val="000000"/>
                <w:sz w:val="18"/>
                <w:szCs w:val="18"/>
                <w:u w:val="none"/>
              </w:rPr>
            </w:pPr>
          </w:p>
        </w:tc>
      </w:tr>
      <w:tr w14:paraId="4E7C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77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A0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1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A38F">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E67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77D7">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19B">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409">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E3B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6D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D3A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C0E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F4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666">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904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D00">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D0D1">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422">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9C2">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E5E7">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BC7F">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01C1">
            <w:pPr>
              <w:snapToGrid w:val="0"/>
              <w:jc w:val="center"/>
              <w:rPr>
                <w:rFonts w:hint="default" w:ascii="Calibri" w:hAnsi="Calibri" w:cs="Calibri"/>
                <w:i w:val="0"/>
                <w:iCs w:val="0"/>
                <w:color w:val="000000"/>
                <w:sz w:val="18"/>
                <w:szCs w:val="18"/>
                <w:u w:val="none"/>
              </w:rPr>
            </w:pPr>
          </w:p>
        </w:tc>
      </w:tr>
      <w:tr w14:paraId="28F4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52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121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79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16F3">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572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FC1">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A82D">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A300">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60E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D7A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3C1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F7A">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3D3B">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16C1">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0B89">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5BC1">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EF5">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2D3A">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BD52">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237B">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ACF">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E5BE">
            <w:pPr>
              <w:snapToGrid w:val="0"/>
              <w:jc w:val="center"/>
              <w:rPr>
                <w:rFonts w:hint="default" w:ascii="Calibri" w:hAnsi="Calibri" w:cs="Calibri"/>
                <w:i w:val="0"/>
                <w:iCs w:val="0"/>
                <w:color w:val="000000"/>
                <w:sz w:val="18"/>
                <w:szCs w:val="18"/>
                <w:u w:val="none"/>
              </w:rPr>
            </w:pPr>
          </w:p>
        </w:tc>
      </w:tr>
      <w:tr w14:paraId="535C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895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BD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F3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8B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C7D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877">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5743">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5246">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674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0FF1">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F40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5D1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118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9CE">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2B56">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9960">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C2D7">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EA27">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D795">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E4CA">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EB5">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7E24">
            <w:pPr>
              <w:snapToGrid w:val="0"/>
              <w:jc w:val="center"/>
              <w:rPr>
                <w:rFonts w:hint="default" w:ascii="Calibri" w:hAnsi="Calibri" w:cs="Calibri"/>
                <w:i w:val="0"/>
                <w:iCs w:val="0"/>
                <w:color w:val="000000"/>
                <w:sz w:val="18"/>
                <w:szCs w:val="18"/>
                <w:u w:val="none"/>
              </w:rPr>
            </w:pPr>
          </w:p>
        </w:tc>
      </w:tr>
      <w:tr w14:paraId="7B6D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3B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64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1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3F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16A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A462">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5229">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F07">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91F6">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EA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3C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2AA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D04B">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8E6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FF9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5067">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FDC5">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6A48">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3889">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B8DE">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FCA1">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F449">
            <w:pPr>
              <w:snapToGrid w:val="0"/>
              <w:jc w:val="center"/>
              <w:rPr>
                <w:rFonts w:hint="default" w:ascii="Calibri" w:hAnsi="Calibri" w:cs="Calibri"/>
                <w:i w:val="0"/>
                <w:iCs w:val="0"/>
                <w:color w:val="000000"/>
                <w:sz w:val="18"/>
                <w:szCs w:val="18"/>
                <w:u w:val="none"/>
              </w:rPr>
            </w:pPr>
          </w:p>
        </w:tc>
      </w:tr>
      <w:tr w14:paraId="2B97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8B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F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20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9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A5C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889">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79F9">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AF21">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909E">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AECA">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31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492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9F0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4C61">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547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09B">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418">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0E6">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D550">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3DD0">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F8A">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D474">
            <w:pPr>
              <w:snapToGrid w:val="0"/>
              <w:jc w:val="center"/>
              <w:rPr>
                <w:rFonts w:hint="default" w:ascii="Calibri" w:hAnsi="Calibri" w:cs="Calibri"/>
                <w:i w:val="0"/>
                <w:iCs w:val="0"/>
                <w:color w:val="000000"/>
                <w:sz w:val="18"/>
                <w:szCs w:val="18"/>
                <w:u w:val="none"/>
              </w:rPr>
            </w:pPr>
          </w:p>
        </w:tc>
      </w:tr>
      <w:tr w14:paraId="4136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CA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B4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27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8F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380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0925">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31AA">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856A">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E79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BD3C">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3D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EF9C">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23F6">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E63B">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3DA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D1D">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E0E3">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4FAC">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F7">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8E1">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069">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457">
            <w:pPr>
              <w:snapToGrid w:val="0"/>
              <w:jc w:val="center"/>
              <w:rPr>
                <w:rFonts w:hint="default" w:ascii="Calibri" w:hAnsi="Calibri" w:cs="Calibri"/>
                <w:i w:val="0"/>
                <w:iCs w:val="0"/>
                <w:color w:val="000000"/>
                <w:sz w:val="18"/>
                <w:szCs w:val="18"/>
                <w:u w:val="none"/>
              </w:rPr>
            </w:pPr>
          </w:p>
        </w:tc>
      </w:tr>
      <w:tr w14:paraId="48CE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2C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872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53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E228">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2E66">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FC04">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7D68">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A91C">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38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C39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D26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AAE4">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2C9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2AD">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A4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6">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6AFF">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C965">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ACA5">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4A72">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60F1">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8746">
            <w:pPr>
              <w:snapToGrid w:val="0"/>
              <w:jc w:val="center"/>
              <w:rPr>
                <w:rFonts w:hint="default" w:ascii="Calibri" w:hAnsi="Calibri" w:cs="Calibri"/>
                <w:i w:val="0"/>
                <w:iCs w:val="0"/>
                <w:color w:val="000000"/>
                <w:sz w:val="18"/>
                <w:szCs w:val="18"/>
                <w:u w:val="none"/>
              </w:rPr>
            </w:pPr>
          </w:p>
        </w:tc>
      </w:tr>
      <w:tr w14:paraId="1A95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5D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44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28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106">
            <w:pPr>
              <w:snapToGrid w:val="0"/>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ED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E2FC">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F327">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91F0">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5F4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57C">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4740">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AD22">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2937">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C3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019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85A3">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F12D">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AC6">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251D">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5D8">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993">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2DEF">
            <w:pPr>
              <w:snapToGrid w:val="0"/>
              <w:jc w:val="center"/>
              <w:rPr>
                <w:rFonts w:hint="default" w:ascii="Calibri" w:hAnsi="Calibri" w:cs="Calibri"/>
                <w:i w:val="0"/>
                <w:iCs w:val="0"/>
                <w:color w:val="000000"/>
                <w:sz w:val="18"/>
                <w:szCs w:val="18"/>
                <w:u w:val="none"/>
              </w:rPr>
            </w:pPr>
          </w:p>
        </w:tc>
      </w:tr>
      <w:tr w14:paraId="6290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72E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EFF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E7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4E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4ED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46C">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54B6">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C551">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178">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FE63">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48B">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447A">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9FF">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E72A">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D91">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FC7A">
            <w:pPr>
              <w:snapToGrid w:val="0"/>
              <w:jc w:val="center"/>
              <w:rPr>
                <w:rFonts w:hint="eastAsia" w:ascii="宋体" w:hAnsi="宋体" w:eastAsia="宋体" w:cs="宋体"/>
                <w:i w:val="0"/>
                <w:iCs w:val="0"/>
                <w:color w:val="000000"/>
                <w:sz w:val="18"/>
                <w:szCs w:val="18"/>
                <w:u w:val="none"/>
              </w:rPr>
            </w:pPr>
          </w:p>
          <w:p w14:paraId="07CB1F61">
            <w:pPr>
              <w:bidi w:val="0"/>
              <w:snapToGrid w:val="0"/>
              <w:jc w:val="left"/>
              <w:rPr>
                <w:rFonts w:hint="eastAsia" w:ascii="Calibri" w:hAnsi="Calibri" w:eastAsia="宋体" w:cs="Times New Roman"/>
                <w:kern w:val="2"/>
                <w:sz w:val="21"/>
                <w:szCs w:val="24"/>
                <w:lang w:val="en-US" w:eastAsia="zh-CN" w:bidi="ar-SA"/>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A68D">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3D2">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640A">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D00">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913">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6C4">
            <w:pPr>
              <w:snapToGrid w:val="0"/>
              <w:jc w:val="center"/>
              <w:rPr>
                <w:rFonts w:hint="default" w:ascii="Calibri" w:hAnsi="Calibri" w:cs="Calibri"/>
                <w:i w:val="0"/>
                <w:iCs w:val="0"/>
                <w:color w:val="000000"/>
                <w:sz w:val="18"/>
                <w:szCs w:val="18"/>
                <w:u w:val="none"/>
              </w:rPr>
            </w:pPr>
          </w:p>
        </w:tc>
      </w:tr>
      <w:tr w14:paraId="3FCE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BC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6B6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提租补贴</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D6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A4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F47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461F">
            <w:pPr>
              <w:snapToGrid w:val="0"/>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8250">
            <w:pPr>
              <w:snapToGrid w:val="0"/>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3AE7">
            <w:pPr>
              <w:snapToGrid w:val="0"/>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177E">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0779">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821A">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C8E1">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16C">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5E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DFA5">
            <w:pPr>
              <w:snapToGrid w:val="0"/>
              <w:jc w:val="right"/>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CC72">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DAE">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9771">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37E0">
            <w:pPr>
              <w:snapToGrid w:val="0"/>
              <w:jc w:val="center"/>
              <w:rPr>
                <w:rFonts w:hint="eastAsia" w:ascii="宋体" w:hAnsi="宋体" w:eastAsia="宋体" w:cs="宋体"/>
                <w:i w:val="0"/>
                <w:iCs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3F8E">
            <w:pPr>
              <w:snapToGrid w:val="0"/>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CD18">
            <w:pPr>
              <w:snapToGrid w:val="0"/>
              <w:jc w:val="center"/>
              <w:rPr>
                <w:rFonts w:hint="default" w:ascii="Calibri" w:hAnsi="Calibri" w:cs="Calibri"/>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42D">
            <w:pPr>
              <w:snapToGrid w:val="0"/>
              <w:jc w:val="center"/>
              <w:rPr>
                <w:rFonts w:hint="default" w:ascii="Calibri" w:hAnsi="Calibri" w:cs="Calibri"/>
                <w:i w:val="0"/>
                <w:iCs w:val="0"/>
                <w:color w:val="000000"/>
                <w:sz w:val="18"/>
                <w:szCs w:val="18"/>
                <w:u w:val="none"/>
              </w:rPr>
            </w:pPr>
          </w:p>
        </w:tc>
      </w:tr>
    </w:tbl>
    <w:p w14:paraId="69FEB4C0">
      <w:pPr>
        <w:spacing w:line="560" w:lineRule="exact"/>
        <w:jc w:val="center"/>
        <w:rPr>
          <w:rFonts w:hint="default" w:ascii="Times New Roman" w:hAnsi="Times New Roman" w:eastAsia="方正仿宋_GBK" w:cs="Times New Roman"/>
          <w:color w:val="FF0000"/>
          <w:sz w:val="32"/>
          <w:szCs w:val="32"/>
        </w:rPr>
        <w:sectPr>
          <w:pgSz w:w="16838" w:h="11906" w:orient="landscape"/>
          <w:pgMar w:top="1440" w:right="1440" w:bottom="1440" w:left="1134" w:header="851" w:footer="737" w:gutter="0"/>
          <w:cols w:space="720" w:num="1"/>
          <w:docGrid w:type="linesAndChars" w:linePitch="312" w:charSpace="0"/>
        </w:sectPr>
      </w:pPr>
    </w:p>
    <w:tbl>
      <w:tblPr>
        <w:tblStyle w:val="5"/>
        <w:tblW w:w="8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3"/>
        <w:gridCol w:w="3120"/>
        <w:gridCol w:w="1485"/>
        <w:gridCol w:w="1620"/>
        <w:gridCol w:w="1350"/>
      </w:tblGrid>
      <w:tr w14:paraId="2B84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93" w:type="dxa"/>
            <w:tcBorders>
              <w:top w:val="nil"/>
              <w:left w:val="nil"/>
              <w:bottom w:val="nil"/>
              <w:right w:val="nil"/>
            </w:tcBorders>
            <w:shd w:val="clear" w:color="auto" w:fill="auto"/>
            <w:noWrap/>
            <w:vAlign w:val="bottom"/>
          </w:tcPr>
          <w:p w14:paraId="1DD41DF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w:t>
            </w:r>
          </w:p>
        </w:tc>
        <w:tc>
          <w:tcPr>
            <w:tcW w:w="3120" w:type="dxa"/>
            <w:tcBorders>
              <w:top w:val="nil"/>
              <w:left w:val="nil"/>
              <w:bottom w:val="nil"/>
              <w:right w:val="nil"/>
            </w:tcBorders>
            <w:shd w:val="clear" w:color="auto" w:fill="auto"/>
            <w:noWrap/>
            <w:vAlign w:val="bottom"/>
          </w:tcPr>
          <w:p w14:paraId="1507C68E">
            <w:pPr>
              <w:rPr>
                <w:rFonts w:hint="eastAsia" w:ascii="Arial" w:hAnsi="Arial" w:cs="Arial"/>
                <w:i w:val="0"/>
                <w:iCs w:val="0"/>
                <w:color w:val="000000"/>
                <w:sz w:val="20"/>
                <w:szCs w:val="20"/>
                <w:u w:val="none"/>
              </w:rPr>
            </w:pPr>
          </w:p>
        </w:tc>
        <w:tc>
          <w:tcPr>
            <w:tcW w:w="1485" w:type="dxa"/>
            <w:tcBorders>
              <w:top w:val="nil"/>
              <w:left w:val="nil"/>
              <w:bottom w:val="nil"/>
              <w:right w:val="nil"/>
            </w:tcBorders>
            <w:shd w:val="clear" w:color="auto" w:fill="auto"/>
            <w:noWrap/>
            <w:vAlign w:val="bottom"/>
          </w:tcPr>
          <w:p w14:paraId="78F5E9B6">
            <w:pPr>
              <w:rPr>
                <w:rFonts w:hint="default" w:ascii="Arial" w:hAnsi="Arial" w:cs="Arial"/>
                <w:i w:val="0"/>
                <w:iCs w:val="0"/>
                <w:color w:val="000000"/>
                <w:sz w:val="20"/>
                <w:szCs w:val="20"/>
                <w:u w:val="none"/>
              </w:rPr>
            </w:pPr>
          </w:p>
        </w:tc>
        <w:tc>
          <w:tcPr>
            <w:tcW w:w="1620" w:type="dxa"/>
            <w:tcBorders>
              <w:top w:val="nil"/>
              <w:left w:val="nil"/>
              <w:bottom w:val="nil"/>
              <w:right w:val="nil"/>
            </w:tcBorders>
            <w:shd w:val="clear" w:color="auto" w:fill="auto"/>
            <w:noWrap/>
            <w:vAlign w:val="bottom"/>
          </w:tcPr>
          <w:p w14:paraId="226EC844">
            <w:pPr>
              <w:rPr>
                <w:rFonts w:hint="default" w:ascii="Arial" w:hAnsi="Arial" w:cs="Arial"/>
                <w:i w:val="0"/>
                <w:iCs w:val="0"/>
                <w:color w:val="000000"/>
                <w:sz w:val="20"/>
                <w:szCs w:val="20"/>
                <w:u w:val="none"/>
              </w:rPr>
            </w:pPr>
          </w:p>
        </w:tc>
        <w:tc>
          <w:tcPr>
            <w:tcW w:w="1350" w:type="dxa"/>
            <w:tcBorders>
              <w:top w:val="nil"/>
              <w:left w:val="nil"/>
              <w:bottom w:val="nil"/>
              <w:right w:val="nil"/>
            </w:tcBorders>
            <w:shd w:val="clear" w:color="auto" w:fill="auto"/>
            <w:noWrap/>
            <w:vAlign w:val="bottom"/>
          </w:tcPr>
          <w:p w14:paraId="02D172EB">
            <w:pPr>
              <w:rPr>
                <w:rFonts w:hint="default" w:ascii="Arial" w:hAnsi="Arial" w:cs="Arial"/>
                <w:i w:val="0"/>
                <w:iCs w:val="0"/>
                <w:color w:val="000000"/>
                <w:sz w:val="20"/>
                <w:szCs w:val="20"/>
                <w:u w:val="none"/>
              </w:rPr>
            </w:pPr>
          </w:p>
        </w:tc>
      </w:tr>
      <w:tr w14:paraId="3203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68" w:type="dxa"/>
            <w:gridSpan w:val="5"/>
            <w:tcBorders>
              <w:top w:val="nil"/>
              <w:left w:val="nil"/>
              <w:bottom w:val="nil"/>
              <w:right w:val="nil"/>
            </w:tcBorders>
            <w:shd w:val="clear" w:color="auto" w:fill="auto"/>
            <w:noWrap/>
            <w:vAlign w:val="center"/>
          </w:tcPr>
          <w:p w14:paraId="240EB895">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2026年部门支出预算总表</w:t>
            </w:r>
          </w:p>
        </w:tc>
      </w:tr>
      <w:tr w14:paraId="1318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513" w:type="dxa"/>
            <w:gridSpan w:val="2"/>
            <w:tcBorders>
              <w:top w:val="nil"/>
              <w:left w:val="nil"/>
              <w:bottom w:val="nil"/>
              <w:right w:val="nil"/>
            </w:tcBorders>
            <w:shd w:val="clear" w:color="auto" w:fill="auto"/>
            <w:noWrap/>
            <w:vAlign w:val="center"/>
          </w:tcPr>
          <w:p w14:paraId="5BEF88FB">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部门名称:萧县青龙集镇人民政府</w:t>
            </w:r>
          </w:p>
        </w:tc>
        <w:tc>
          <w:tcPr>
            <w:tcW w:w="1485" w:type="dxa"/>
            <w:tcBorders>
              <w:top w:val="nil"/>
              <w:left w:val="nil"/>
              <w:bottom w:val="nil"/>
              <w:right w:val="nil"/>
            </w:tcBorders>
            <w:shd w:val="clear" w:color="auto" w:fill="auto"/>
            <w:noWrap/>
            <w:vAlign w:val="center"/>
          </w:tcPr>
          <w:p w14:paraId="55C47ACD">
            <w:pPr>
              <w:jc w:val="left"/>
              <w:rPr>
                <w:rFonts w:hint="eastAsia" w:ascii="宋体" w:hAnsi="宋体" w:eastAsia="宋体" w:cs="宋体"/>
                <w:i w:val="0"/>
                <w:iCs w:val="0"/>
                <w:color w:val="000000"/>
                <w:sz w:val="20"/>
                <w:szCs w:val="20"/>
                <w:u w:val="none"/>
              </w:rPr>
            </w:pPr>
          </w:p>
        </w:tc>
        <w:tc>
          <w:tcPr>
            <w:tcW w:w="1620" w:type="dxa"/>
            <w:tcBorders>
              <w:top w:val="nil"/>
              <w:left w:val="nil"/>
              <w:bottom w:val="nil"/>
              <w:right w:val="nil"/>
            </w:tcBorders>
            <w:shd w:val="clear" w:color="auto" w:fill="auto"/>
            <w:noWrap/>
            <w:vAlign w:val="center"/>
          </w:tcPr>
          <w:p w14:paraId="7A10C3C8">
            <w:pPr>
              <w:jc w:val="left"/>
              <w:rPr>
                <w:rFonts w:hint="eastAsia" w:ascii="宋体" w:hAnsi="宋体" w:eastAsia="宋体" w:cs="宋体"/>
                <w:i w:val="0"/>
                <w:iCs w:val="0"/>
                <w:color w:val="000000"/>
                <w:sz w:val="20"/>
                <w:szCs w:val="20"/>
                <w:u w:val="none"/>
              </w:rPr>
            </w:pPr>
          </w:p>
        </w:tc>
        <w:tc>
          <w:tcPr>
            <w:tcW w:w="1350" w:type="dxa"/>
            <w:tcBorders>
              <w:top w:val="nil"/>
              <w:left w:val="nil"/>
              <w:bottom w:val="nil"/>
              <w:right w:val="nil"/>
            </w:tcBorders>
            <w:shd w:val="clear" w:color="auto" w:fill="auto"/>
            <w:noWrap/>
            <w:vAlign w:val="center"/>
          </w:tcPr>
          <w:p w14:paraId="55F373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735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ED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功能分类科目</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A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CE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9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A31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E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A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6ED7">
            <w:pPr>
              <w:jc w:val="center"/>
              <w:rPr>
                <w:rFonts w:hint="eastAsia" w:ascii="宋体" w:hAnsi="宋体" w:eastAsia="宋体" w:cs="宋体"/>
                <w:b/>
                <w:bCs/>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B6E4">
            <w:pPr>
              <w:jc w:val="center"/>
              <w:rPr>
                <w:rFonts w:hint="eastAsia" w:ascii="宋体" w:hAnsi="宋体" w:eastAsia="宋体" w:cs="宋体"/>
                <w:b/>
                <w:bCs/>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2EF">
            <w:pPr>
              <w:jc w:val="center"/>
              <w:rPr>
                <w:rFonts w:hint="eastAsia" w:ascii="宋体" w:hAnsi="宋体" w:eastAsia="宋体" w:cs="宋体"/>
                <w:b/>
                <w:bCs/>
                <w:i w:val="0"/>
                <w:iCs w:val="0"/>
                <w:color w:val="000000"/>
                <w:sz w:val="22"/>
                <w:szCs w:val="22"/>
                <w:u w:val="none"/>
              </w:rPr>
            </w:pPr>
          </w:p>
        </w:tc>
      </w:tr>
      <w:tr w14:paraId="1A14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D022">
            <w:pPr>
              <w:jc w:val="left"/>
              <w:rPr>
                <w:rFonts w:hint="eastAsia" w:ascii="宋体" w:hAnsi="宋体" w:eastAsia="宋体" w:cs="宋体"/>
                <w:i w:val="0"/>
                <w:iCs w:val="0"/>
                <w:color w:val="000000"/>
                <w:sz w:val="22"/>
                <w:szCs w:val="22"/>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76C0">
            <w:pPr>
              <w:jc w:val="left"/>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7B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19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900.57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02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1877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5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7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7A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B2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689.82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B7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74E6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2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2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0C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DF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689.82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AD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2322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9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A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7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9B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689.82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C4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3CCE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B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76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ED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BFBB">
            <w:pPr>
              <w:jc w:val="right"/>
              <w:rPr>
                <w:rFonts w:hint="eastAsia" w:ascii="宋体" w:hAnsi="宋体" w:eastAsia="宋体" w:cs="宋体"/>
                <w:i w:val="0"/>
                <w:iCs w:val="0"/>
                <w:color w:val="000000"/>
                <w:sz w:val="18"/>
                <w:szCs w:val="18"/>
                <w:u w:val="none"/>
              </w:rPr>
            </w:pPr>
          </w:p>
        </w:tc>
      </w:tr>
      <w:tr w14:paraId="5122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1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F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CD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1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4CF0">
            <w:pPr>
              <w:jc w:val="right"/>
              <w:rPr>
                <w:rFonts w:hint="eastAsia" w:ascii="宋体" w:hAnsi="宋体" w:eastAsia="宋体" w:cs="宋体"/>
                <w:i w:val="0"/>
                <w:iCs w:val="0"/>
                <w:color w:val="000000"/>
                <w:sz w:val="18"/>
                <w:szCs w:val="18"/>
                <w:u w:val="none"/>
              </w:rPr>
            </w:pPr>
          </w:p>
        </w:tc>
      </w:tr>
      <w:tr w14:paraId="1924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1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F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C7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4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3978">
            <w:pPr>
              <w:jc w:val="right"/>
              <w:rPr>
                <w:rFonts w:hint="eastAsia" w:ascii="宋体" w:hAnsi="宋体" w:eastAsia="宋体" w:cs="宋体"/>
                <w:i w:val="0"/>
                <w:iCs w:val="0"/>
                <w:color w:val="000000"/>
                <w:sz w:val="18"/>
                <w:szCs w:val="18"/>
                <w:u w:val="none"/>
              </w:rPr>
            </w:pPr>
          </w:p>
        </w:tc>
      </w:tr>
      <w:tr w14:paraId="39A2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6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1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90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11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09E1">
            <w:pPr>
              <w:jc w:val="right"/>
              <w:rPr>
                <w:rFonts w:hint="eastAsia" w:ascii="宋体" w:hAnsi="宋体" w:eastAsia="宋体" w:cs="宋体"/>
                <w:i w:val="0"/>
                <w:iCs w:val="0"/>
                <w:color w:val="000000"/>
                <w:sz w:val="18"/>
                <w:szCs w:val="18"/>
                <w:u w:val="none"/>
              </w:rPr>
            </w:pPr>
          </w:p>
        </w:tc>
      </w:tr>
      <w:tr w14:paraId="4EF3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9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2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1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2D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CBF4">
            <w:pPr>
              <w:jc w:val="right"/>
              <w:rPr>
                <w:rFonts w:hint="eastAsia" w:ascii="宋体" w:hAnsi="宋体" w:eastAsia="宋体" w:cs="宋体"/>
                <w:i w:val="0"/>
                <w:iCs w:val="0"/>
                <w:color w:val="000000"/>
                <w:sz w:val="18"/>
                <w:szCs w:val="18"/>
                <w:u w:val="none"/>
              </w:rPr>
            </w:pPr>
          </w:p>
        </w:tc>
      </w:tr>
      <w:tr w14:paraId="2AED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4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7D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AB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B72B">
            <w:pPr>
              <w:jc w:val="right"/>
              <w:rPr>
                <w:rFonts w:hint="eastAsia" w:ascii="宋体" w:hAnsi="宋体" w:eastAsia="宋体" w:cs="宋体"/>
                <w:i w:val="0"/>
                <w:iCs w:val="0"/>
                <w:color w:val="000000"/>
                <w:sz w:val="18"/>
                <w:szCs w:val="18"/>
                <w:u w:val="none"/>
              </w:rPr>
            </w:pPr>
          </w:p>
        </w:tc>
      </w:tr>
      <w:tr w14:paraId="7B8B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F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7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69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32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A31A">
            <w:pPr>
              <w:jc w:val="right"/>
              <w:rPr>
                <w:rFonts w:hint="eastAsia" w:ascii="宋体" w:hAnsi="宋体" w:eastAsia="宋体" w:cs="宋体"/>
                <w:i w:val="0"/>
                <w:iCs w:val="0"/>
                <w:color w:val="000000"/>
                <w:sz w:val="18"/>
                <w:szCs w:val="18"/>
                <w:u w:val="none"/>
              </w:rPr>
            </w:pPr>
          </w:p>
        </w:tc>
      </w:tr>
      <w:tr w14:paraId="1CD2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F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4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D0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2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510">
            <w:pPr>
              <w:jc w:val="right"/>
              <w:rPr>
                <w:rFonts w:hint="eastAsia" w:ascii="宋体" w:hAnsi="宋体" w:eastAsia="宋体" w:cs="宋体"/>
                <w:i w:val="0"/>
                <w:iCs w:val="0"/>
                <w:color w:val="000000"/>
                <w:sz w:val="18"/>
                <w:szCs w:val="18"/>
                <w:u w:val="none"/>
              </w:rPr>
            </w:pPr>
          </w:p>
        </w:tc>
      </w:tr>
      <w:tr w14:paraId="0724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6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F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D7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41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93CD">
            <w:pPr>
              <w:jc w:val="right"/>
              <w:rPr>
                <w:rFonts w:hint="eastAsia" w:ascii="宋体" w:hAnsi="宋体" w:eastAsia="宋体" w:cs="宋体"/>
                <w:i w:val="0"/>
                <w:iCs w:val="0"/>
                <w:color w:val="000000"/>
                <w:sz w:val="18"/>
                <w:szCs w:val="18"/>
                <w:u w:val="none"/>
              </w:rPr>
            </w:pPr>
          </w:p>
        </w:tc>
      </w:tr>
      <w:tr w14:paraId="658E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EF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1C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33F8">
            <w:pPr>
              <w:jc w:val="right"/>
              <w:rPr>
                <w:rFonts w:hint="eastAsia" w:ascii="宋体" w:hAnsi="宋体" w:eastAsia="宋体" w:cs="宋体"/>
                <w:i w:val="0"/>
                <w:iCs w:val="0"/>
                <w:color w:val="000000"/>
                <w:sz w:val="18"/>
                <w:szCs w:val="18"/>
                <w:u w:val="none"/>
              </w:rPr>
            </w:pPr>
          </w:p>
        </w:tc>
      </w:tr>
      <w:tr w14:paraId="2BF5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E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4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7F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83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F8CA">
            <w:pPr>
              <w:jc w:val="right"/>
              <w:rPr>
                <w:rFonts w:hint="eastAsia" w:ascii="宋体" w:hAnsi="宋体" w:eastAsia="宋体" w:cs="宋体"/>
                <w:i w:val="0"/>
                <w:iCs w:val="0"/>
                <w:color w:val="000000"/>
                <w:sz w:val="18"/>
                <w:szCs w:val="18"/>
                <w:u w:val="none"/>
              </w:rPr>
            </w:pPr>
          </w:p>
        </w:tc>
      </w:tr>
      <w:tr w14:paraId="45CE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8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1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35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16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9D27">
            <w:pPr>
              <w:jc w:val="right"/>
              <w:rPr>
                <w:rFonts w:hint="eastAsia" w:ascii="宋体" w:hAnsi="宋体" w:eastAsia="宋体" w:cs="宋体"/>
                <w:i w:val="0"/>
                <w:iCs w:val="0"/>
                <w:color w:val="000000"/>
                <w:sz w:val="18"/>
                <w:szCs w:val="18"/>
                <w:u w:val="none"/>
              </w:rPr>
            </w:pPr>
          </w:p>
        </w:tc>
      </w:tr>
      <w:tr w14:paraId="50E1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3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D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74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BB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A141">
            <w:pPr>
              <w:jc w:val="right"/>
              <w:rPr>
                <w:rFonts w:hint="eastAsia" w:ascii="宋体" w:hAnsi="宋体" w:eastAsia="宋体" w:cs="宋体"/>
                <w:i w:val="0"/>
                <w:iCs w:val="0"/>
                <w:color w:val="000000"/>
                <w:sz w:val="18"/>
                <w:szCs w:val="18"/>
                <w:u w:val="none"/>
              </w:rPr>
            </w:pPr>
          </w:p>
        </w:tc>
      </w:tr>
      <w:tr w14:paraId="2BA7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8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A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提租补贴</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DE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74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986C">
            <w:pPr>
              <w:jc w:val="right"/>
              <w:rPr>
                <w:rFonts w:hint="eastAsia" w:ascii="宋体" w:hAnsi="宋体" w:eastAsia="宋体" w:cs="宋体"/>
                <w:i w:val="0"/>
                <w:iCs w:val="0"/>
                <w:color w:val="000000"/>
                <w:sz w:val="18"/>
                <w:szCs w:val="18"/>
                <w:u w:val="none"/>
              </w:rPr>
            </w:pPr>
          </w:p>
        </w:tc>
      </w:tr>
    </w:tbl>
    <w:p w14:paraId="20369A8D">
      <w:pPr>
        <w:spacing w:line="560" w:lineRule="exact"/>
        <w:jc w:val="lef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9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8"/>
        <w:gridCol w:w="1065"/>
        <w:gridCol w:w="2325"/>
        <w:gridCol w:w="1301"/>
        <w:gridCol w:w="1174"/>
        <w:gridCol w:w="930"/>
        <w:gridCol w:w="634"/>
      </w:tblGrid>
      <w:tr w14:paraId="1081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368" w:type="dxa"/>
            <w:tcBorders>
              <w:top w:val="nil"/>
              <w:left w:val="nil"/>
              <w:bottom w:val="nil"/>
              <w:right w:val="nil"/>
            </w:tcBorders>
            <w:shd w:val="clear" w:color="auto" w:fill="auto"/>
            <w:noWrap/>
            <w:vAlign w:val="bottom"/>
          </w:tcPr>
          <w:p w14:paraId="42D6F93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c>
          <w:tcPr>
            <w:tcW w:w="1065" w:type="dxa"/>
            <w:tcBorders>
              <w:top w:val="nil"/>
              <w:left w:val="nil"/>
              <w:bottom w:val="nil"/>
              <w:right w:val="nil"/>
            </w:tcBorders>
            <w:shd w:val="clear" w:color="auto" w:fill="auto"/>
            <w:noWrap/>
            <w:vAlign w:val="bottom"/>
          </w:tcPr>
          <w:p w14:paraId="0A4C5C85">
            <w:pPr>
              <w:rPr>
                <w:rFonts w:hint="eastAsia" w:ascii="Arial" w:hAnsi="Arial" w:cs="Arial"/>
                <w:i w:val="0"/>
                <w:iCs w:val="0"/>
                <w:color w:val="000000"/>
                <w:sz w:val="20"/>
                <w:szCs w:val="20"/>
                <w:u w:val="none"/>
              </w:rPr>
            </w:pPr>
          </w:p>
        </w:tc>
        <w:tc>
          <w:tcPr>
            <w:tcW w:w="2325" w:type="dxa"/>
            <w:tcBorders>
              <w:top w:val="nil"/>
              <w:left w:val="nil"/>
              <w:bottom w:val="nil"/>
              <w:right w:val="nil"/>
            </w:tcBorders>
            <w:shd w:val="clear" w:color="auto" w:fill="auto"/>
            <w:noWrap/>
            <w:vAlign w:val="bottom"/>
          </w:tcPr>
          <w:p w14:paraId="04C0414B">
            <w:pPr>
              <w:rPr>
                <w:rFonts w:hint="default" w:ascii="Arial" w:hAnsi="Arial" w:cs="Arial"/>
                <w:i w:val="0"/>
                <w:iCs w:val="0"/>
                <w:color w:val="000000"/>
                <w:sz w:val="20"/>
                <w:szCs w:val="20"/>
                <w:u w:val="none"/>
              </w:rPr>
            </w:pPr>
          </w:p>
        </w:tc>
        <w:tc>
          <w:tcPr>
            <w:tcW w:w="1301" w:type="dxa"/>
            <w:tcBorders>
              <w:top w:val="nil"/>
              <w:left w:val="nil"/>
              <w:bottom w:val="nil"/>
              <w:right w:val="nil"/>
            </w:tcBorders>
            <w:shd w:val="clear" w:color="auto" w:fill="auto"/>
            <w:noWrap/>
            <w:vAlign w:val="bottom"/>
          </w:tcPr>
          <w:p w14:paraId="504F3629">
            <w:pPr>
              <w:rPr>
                <w:rFonts w:hint="default" w:ascii="Arial" w:hAnsi="Arial" w:cs="Arial"/>
                <w:i w:val="0"/>
                <w:iCs w:val="0"/>
                <w:color w:val="000000"/>
                <w:sz w:val="20"/>
                <w:szCs w:val="20"/>
                <w:u w:val="none"/>
              </w:rPr>
            </w:pPr>
          </w:p>
        </w:tc>
        <w:tc>
          <w:tcPr>
            <w:tcW w:w="1174" w:type="dxa"/>
            <w:tcBorders>
              <w:top w:val="nil"/>
              <w:left w:val="nil"/>
              <w:bottom w:val="nil"/>
              <w:right w:val="nil"/>
            </w:tcBorders>
            <w:shd w:val="clear" w:color="auto" w:fill="auto"/>
            <w:noWrap/>
            <w:vAlign w:val="bottom"/>
          </w:tcPr>
          <w:p w14:paraId="23EE6D2B">
            <w:pPr>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auto"/>
            <w:noWrap/>
            <w:vAlign w:val="bottom"/>
          </w:tcPr>
          <w:p w14:paraId="3AD88E2C">
            <w:pPr>
              <w:rPr>
                <w:rFonts w:hint="default" w:ascii="Arial" w:hAnsi="Arial" w:cs="Arial"/>
                <w:i w:val="0"/>
                <w:iCs w:val="0"/>
                <w:color w:val="000000"/>
                <w:sz w:val="20"/>
                <w:szCs w:val="20"/>
                <w:u w:val="none"/>
              </w:rPr>
            </w:pPr>
          </w:p>
        </w:tc>
        <w:tc>
          <w:tcPr>
            <w:tcW w:w="634" w:type="dxa"/>
            <w:tcBorders>
              <w:top w:val="nil"/>
              <w:left w:val="nil"/>
              <w:bottom w:val="nil"/>
              <w:right w:val="nil"/>
            </w:tcBorders>
            <w:shd w:val="clear" w:color="auto" w:fill="auto"/>
            <w:noWrap/>
            <w:vAlign w:val="bottom"/>
          </w:tcPr>
          <w:p w14:paraId="14755E32">
            <w:pPr>
              <w:rPr>
                <w:rFonts w:hint="default" w:ascii="Arial" w:hAnsi="Arial" w:cs="Arial"/>
                <w:i w:val="0"/>
                <w:iCs w:val="0"/>
                <w:color w:val="000000"/>
                <w:sz w:val="20"/>
                <w:szCs w:val="20"/>
                <w:u w:val="none"/>
              </w:rPr>
            </w:pPr>
          </w:p>
        </w:tc>
      </w:tr>
      <w:tr w14:paraId="1E53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797" w:type="dxa"/>
            <w:gridSpan w:val="7"/>
            <w:tcBorders>
              <w:top w:val="nil"/>
              <w:left w:val="nil"/>
              <w:bottom w:val="nil"/>
              <w:right w:val="nil"/>
            </w:tcBorders>
            <w:shd w:val="clear" w:color="auto" w:fill="auto"/>
            <w:noWrap/>
            <w:vAlign w:val="center"/>
          </w:tcPr>
          <w:p w14:paraId="5BCF0C79">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2026年部门财政拨款收支预算总表</w:t>
            </w:r>
          </w:p>
        </w:tc>
      </w:tr>
      <w:tr w14:paraId="54D5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758" w:type="dxa"/>
            <w:gridSpan w:val="3"/>
            <w:tcBorders>
              <w:top w:val="nil"/>
              <w:left w:val="nil"/>
              <w:bottom w:val="nil"/>
              <w:right w:val="nil"/>
            </w:tcBorders>
            <w:shd w:val="clear" w:color="auto" w:fill="auto"/>
            <w:noWrap/>
            <w:vAlign w:val="center"/>
          </w:tcPr>
          <w:p w14:paraId="5536817D">
            <w:pPr>
              <w:rPr>
                <w:rFonts w:hint="eastAsia" w:ascii="宋体" w:hAnsi="宋体" w:eastAsia="宋体" w:cs="宋体"/>
                <w:i w:val="0"/>
                <w:iCs w:val="0"/>
                <w:color w:val="000000"/>
                <w:sz w:val="20"/>
                <w:szCs w:val="20"/>
                <w:u w:val="none"/>
              </w:rPr>
            </w:pPr>
            <w:r>
              <w:rPr>
                <w:rFonts w:hint="default" w:ascii="Calibri" w:hAnsi="Calibri" w:eastAsia="宋体" w:cs="Calibri"/>
                <w:i w:val="0"/>
                <w:iCs w:val="0"/>
                <w:color w:val="000000"/>
                <w:kern w:val="0"/>
                <w:sz w:val="22"/>
                <w:szCs w:val="22"/>
                <w:u w:val="none"/>
                <w:lang w:val="en-US" w:eastAsia="zh-CN" w:bidi="ar"/>
              </w:rPr>
              <w:t>部门名称:萧县青龙集镇人民政府</w:t>
            </w:r>
          </w:p>
        </w:tc>
        <w:tc>
          <w:tcPr>
            <w:tcW w:w="1301" w:type="dxa"/>
            <w:tcBorders>
              <w:top w:val="nil"/>
              <w:left w:val="nil"/>
              <w:bottom w:val="nil"/>
              <w:right w:val="nil"/>
            </w:tcBorders>
            <w:shd w:val="clear" w:color="auto" w:fill="auto"/>
            <w:noWrap/>
            <w:vAlign w:val="center"/>
          </w:tcPr>
          <w:p w14:paraId="071FAD7F">
            <w:pPr>
              <w:rPr>
                <w:rFonts w:hint="eastAsia" w:ascii="宋体" w:hAnsi="宋体" w:eastAsia="宋体" w:cs="宋体"/>
                <w:i w:val="0"/>
                <w:iCs w:val="0"/>
                <w:color w:val="000000"/>
                <w:sz w:val="20"/>
                <w:szCs w:val="20"/>
                <w:u w:val="none"/>
              </w:rPr>
            </w:pPr>
          </w:p>
        </w:tc>
        <w:tc>
          <w:tcPr>
            <w:tcW w:w="2104" w:type="dxa"/>
            <w:gridSpan w:val="2"/>
            <w:tcBorders>
              <w:top w:val="nil"/>
              <w:left w:val="nil"/>
              <w:bottom w:val="nil"/>
              <w:right w:val="nil"/>
            </w:tcBorders>
            <w:shd w:val="clear" w:color="auto" w:fill="auto"/>
            <w:noWrap/>
            <w:vAlign w:val="bottom"/>
          </w:tcPr>
          <w:p w14:paraId="5F1D47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c>
          <w:tcPr>
            <w:tcW w:w="634" w:type="dxa"/>
            <w:tcBorders>
              <w:top w:val="nil"/>
              <w:left w:val="nil"/>
              <w:bottom w:val="nil"/>
              <w:right w:val="nil"/>
            </w:tcBorders>
            <w:shd w:val="clear" w:color="auto" w:fill="auto"/>
            <w:noWrap/>
            <w:vAlign w:val="center"/>
          </w:tcPr>
          <w:p w14:paraId="33B0FC1D">
            <w:pPr>
              <w:rPr>
                <w:rFonts w:hint="eastAsia" w:ascii="宋体" w:hAnsi="宋体" w:eastAsia="宋体" w:cs="宋体"/>
                <w:i w:val="0"/>
                <w:iCs w:val="0"/>
                <w:color w:val="000000"/>
                <w:sz w:val="20"/>
                <w:szCs w:val="20"/>
                <w:u w:val="none"/>
              </w:rPr>
            </w:pPr>
          </w:p>
        </w:tc>
      </w:tr>
      <w:tr w14:paraId="4F20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4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DF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收   入             </w:t>
            </w:r>
          </w:p>
        </w:tc>
        <w:tc>
          <w:tcPr>
            <w:tcW w:w="63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C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6B9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B4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6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83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AA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5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E9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C4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国有资本经营预算拨款</w:t>
            </w:r>
          </w:p>
        </w:tc>
      </w:tr>
      <w:tr w14:paraId="72A5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一、上年结转</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61A4">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A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A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949.57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969A">
            <w:pPr>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9C11">
            <w:pPr>
              <w:rPr>
                <w:rFonts w:hint="eastAsia" w:ascii="宋体" w:hAnsi="宋体" w:eastAsia="宋体" w:cs="宋体"/>
                <w:i w:val="0"/>
                <w:iCs w:val="0"/>
                <w:color w:val="000000"/>
                <w:sz w:val="20"/>
                <w:szCs w:val="20"/>
                <w:u w:val="none"/>
              </w:rPr>
            </w:pPr>
          </w:p>
        </w:tc>
      </w:tr>
      <w:tr w14:paraId="5205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78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F1AE">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5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4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3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A235">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59CD">
            <w:pPr>
              <w:rPr>
                <w:rFonts w:hint="eastAsia" w:ascii="宋体" w:hAnsi="宋体" w:eastAsia="宋体" w:cs="宋体"/>
                <w:i w:val="0"/>
                <w:iCs w:val="0"/>
                <w:color w:val="000000"/>
                <w:sz w:val="20"/>
                <w:szCs w:val="20"/>
                <w:u w:val="none"/>
              </w:rPr>
            </w:pPr>
          </w:p>
        </w:tc>
      </w:tr>
      <w:tr w14:paraId="297A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BE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CDB5">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3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18A6">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7CE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CB72">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54FC">
            <w:pPr>
              <w:rPr>
                <w:rFonts w:hint="eastAsia" w:ascii="宋体" w:hAnsi="宋体" w:eastAsia="宋体" w:cs="宋体"/>
                <w:i w:val="0"/>
                <w:iCs w:val="0"/>
                <w:color w:val="000000"/>
                <w:sz w:val="20"/>
                <w:szCs w:val="20"/>
                <w:u w:val="none"/>
              </w:rPr>
            </w:pPr>
          </w:p>
        </w:tc>
      </w:tr>
      <w:tr w14:paraId="3A13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A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二、本年收入</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A9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0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643D">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76B3">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1249">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3933">
            <w:pPr>
              <w:rPr>
                <w:rFonts w:hint="eastAsia" w:ascii="宋体" w:hAnsi="宋体" w:eastAsia="宋体" w:cs="宋体"/>
                <w:i w:val="0"/>
                <w:iCs w:val="0"/>
                <w:color w:val="000000"/>
                <w:sz w:val="20"/>
                <w:szCs w:val="20"/>
                <w:u w:val="none"/>
              </w:rPr>
            </w:pPr>
          </w:p>
        </w:tc>
      </w:tr>
      <w:tr w14:paraId="13E5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C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41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D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1F33">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378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205">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3145">
            <w:pPr>
              <w:rPr>
                <w:rFonts w:hint="eastAsia" w:ascii="宋体" w:hAnsi="宋体" w:eastAsia="宋体" w:cs="宋体"/>
                <w:i w:val="0"/>
                <w:iCs w:val="0"/>
                <w:color w:val="000000"/>
                <w:sz w:val="20"/>
                <w:szCs w:val="20"/>
                <w:u w:val="none"/>
              </w:rPr>
            </w:pPr>
          </w:p>
        </w:tc>
      </w:tr>
      <w:tr w14:paraId="60C9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27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经常收入拨款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9E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900.57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D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B64B">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DC0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762F">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88C">
            <w:pPr>
              <w:rPr>
                <w:rFonts w:hint="eastAsia" w:ascii="宋体" w:hAnsi="宋体" w:eastAsia="宋体" w:cs="宋体"/>
                <w:i w:val="0"/>
                <w:iCs w:val="0"/>
                <w:color w:val="000000"/>
                <w:sz w:val="20"/>
                <w:szCs w:val="20"/>
                <w:u w:val="none"/>
              </w:rPr>
            </w:pPr>
          </w:p>
        </w:tc>
      </w:tr>
      <w:tr w14:paraId="0C90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E6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国库管理非税收入</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0C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B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01E8">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BAE6">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F675">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6796">
            <w:pPr>
              <w:rPr>
                <w:rFonts w:hint="eastAsia" w:ascii="宋体" w:hAnsi="宋体" w:eastAsia="宋体" w:cs="宋体"/>
                <w:i w:val="0"/>
                <w:iCs w:val="0"/>
                <w:color w:val="000000"/>
                <w:sz w:val="20"/>
                <w:szCs w:val="20"/>
                <w:u w:val="none"/>
              </w:rPr>
            </w:pPr>
          </w:p>
        </w:tc>
      </w:tr>
      <w:tr w14:paraId="4056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CC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一般公共预算清算收入</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3E12">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7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5574">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D57D">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DA05">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E198">
            <w:pPr>
              <w:rPr>
                <w:rFonts w:hint="eastAsia" w:ascii="宋体" w:hAnsi="宋体" w:eastAsia="宋体" w:cs="宋体"/>
                <w:i w:val="0"/>
                <w:iCs w:val="0"/>
                <w:color w:val="000000"/>
                <w:sz w:val="20"/>
                <w:szCs w:val="20"/>
                <w:u w:val="none"/>
              </w:rPr>
            </w:pPr>
          </w:p>
        </w:tc>
      </w:tr>
      <w:tr w14:paraId="5269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BB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一般公共预算基数供给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506B">
            <w:pP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B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0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65D8">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9C0D">
            <w:pPr>
              <w:rPr>
                <w:rFonts w:hint="eastAsia" w:ascii="宋体" w:hAnsi="宋体" w:eastAsia="宋体" w:cs="宋体"/>
                <w:i w:val="0"/>
                <w:iCs w:val="0"/>
                <w:color w:val="000000"/>
                <w:sz w:val="20"/>
                <w:szCs w:val="20"/>
                <w:u w:val="none"/>
              </w:rPr>
            </w:pPr>
          </w:p>
        </w:tc>
      </w:tr>
      <w:tr w14:paraId="3A66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2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A662">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E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（九）社会保险基金支出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A610">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648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426D">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612B">
            <w:pPr>
              <w:rPr>
                <w:rFonts w:hint="eastAsia" w:ascii="宋体" w:hAnsi="宋体" w:eastAsia="宋体" w:cs="宋体"/>
                <w:i w:val="0"/>
                <w:iCs w:val="0"/>
                <w:color w:val="000000"/>
                <w:sz w:val="20"/>
                <w:szCs w:val="20"/>
                <w:u w:val="none"/>
              </w:rPr>
            </w:pPr>
          </w:p>
        </w:tc>
      </w:tr>
      <w:tr w14:paraId="0937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9C05">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C1B1">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C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（十）卫生健康支出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B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8F33">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79F1">
            <w:pPr>
              <w:rPr>
                <w:rFonts w:hint="eastAsia" w:ascii="宋体" w:hAnsi="宋体" w:eastAsia="宋体" w:cs="宋体"/>
                <w:i w:val="0"/>
                <w:iCs w:val="0"/>
                <w:color w:val="000000"/>
                <w:sz w:val="20"/>
                <w:szCs w:val="20"/>
                <w:u w:val="none"/>
              </w:rPr>
            </w:pPr>
          </w:p>
        </w:tc>
      </w:tr>
      <w:tr w14:paraId="1098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BCCB">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5E50">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0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（十一）节能环保支出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03AA">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FFE9">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72A3">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EB3F">
            <w:pPr>
              <w:rPr>
                <w:rFonts w:hint="eastAsia" w:ascii="宋体" w:hAnsi="宋体" w:eastAsia="宋体" w:cs="宋体"/>
                <w:i w:val="0"/>
                <w:iCs w:val="0"/>
                <w:color w:val="000000"/>
                <w:sz w:val="20"/>
                <w:szCs w:val="20"/>
                <w:u w:val="none"/>
              </w:rPr>
            </w:pPr>
          </w:p>
        </w:tc>
      </w:tr>
      <w:tr w14:paraId="7865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D900">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69A5">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4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（十二）城乡社区支出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6A06">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8BEC">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B15A">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2A1A">
            <w:pPr>
              <w:rPr>
                <w:rFonts w:hint="eastAsia" w:ascii="宋体" w:hAnsi="宋体" w:eastAsia="宋体" w:cs="宋体"/>
                <w:i w:val="0"/>
                <w:iCs w:val="0"/>
                <w:color w:val="000000"/>
                <w:sz w:val="20"/>
                <w:szCs w:val="20"/>
                <w:u w:val="none"/>
              </w:rPr>
            </w:pPr>
          </w:p>
        </w:tc>
      </w:tr>
      <w:tr w14:paraId="68E4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ACAD">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FE3C">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（十三）农林水支出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D8DB">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0054">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3012">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5E81">
            <w:pPr>
              <w:rPr>
                <w:rFonts w:hint="eastAsia" w:ascii="宋体" w:hAnsi="宋体" w:eastAsia="宋体" w:cs="宋体"/>
                <w:i w:val="0"/>
                <w:iCs w:val="0"/>
                <w:color w:val="000000"/>
                <w:sz w:val="20"/>
                <w:szCs w:val="20"/>
                <w:u w:val="none"/>
              </w:rPr>
            </w:pPr>
          </w:p>
        </w:tc>
      </w:tr>
      <w:tr w14:paraId="3AA1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F6F3">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9A78">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D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（十四）交通运输支出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3E88">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2735">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C8C2">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4E29">
            <w:pPr>
              <w:rPr>
                <w:rFonts w:hint="eastAsia" w:ascii="宋体" w:hAnsi="宋体" w:eastAsia="宋体" w:cs="宋体"/>
                <w:i w:val="0"/>
                <w:iCs w:val="0"/>
                <w:color w:val="000000"/>
                <w:sz w:val="20"/>
                <w:szCs w:val="20"/>
                <w:u w:val="none"/>
              </w:rPr>
            </w:pPr>
          </w:p>
        </w:tc>
      </w:tr>
      <w:tr w14:paraId="4E07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65EB">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D9BF">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A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（十五）资源勘探信息等支出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D268">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6C98">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B526">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32EE">
            <w:pPr>
              <w:rPr>
                <w:rFonts w:hint="eastAsia" w:ascii="宋体" w:hAnsi="宋体" w:eastAsia="宋体" w:cs="宋体"/>
                <w:i w:val="0"/>
                <w:iCs w:val="0"/>
                <w:color w:val="000000"/>
                <w:sz w:val="20"/>
                <w:szCs w:val="20"/>
                <w:u w:val="none"/>
              </w:rPr>
            </w:pPr>
          </w:p>
        </w:tc>
      </w:tr>
      <w:tr w14:paraId="474B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B46">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8317">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7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（十六）商业服务业等支出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C1F9">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447B">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0D51">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CAD6">
            <w:pPr>
              <w:rPr>
                <w:rFonts w:hint="eastAsia" w:ascii="宋体" w:hAnsi="宋体" w:eastAsia="宋体" w:cs="宋体"/>
                <w:i w:val="0"/>
                <w:iCs w:val="0"/>
                <w:color w:val="000000"/>
                <w:sz w:val="20"/>
                <w:szCs w:val="20"/>
                <w:u w:val="none"/>
              </w:rPr>
            </w:pPr>
          </w:p>
        </w:tc>
      </w:tr>
      <w:tr w14:paraId="22F5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0664">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1F28">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9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（十七）金融支出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3E3C">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0817">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936">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2CA6">
            <w:pPr>
              <w:rPr>
                <w:rFonts w:hint="eastAsia" w:ascii="宋体" w:hAnsi="宋体" w:eastAsia="宋体" w:cs="宋体"/>
                <w:i w:val="0"/>
                <w:iCs w:val="0"/>
                <w:color w:val="000000"/>
                <w:sz w:val="20"/>
                <w:szCs w:val="20"/>
                <w:u w:val="none"/>
              </w:rPr>
            </w:pPr>
          </w:p>
        </w:tc>
      </w:tr>
      <w:tr w14:paraId="5A89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548C">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0BDE">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2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（十八）援助其他地区支出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A670">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1DF4">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6E8E">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4A9B">
            <w:pPr>
              <w:rPr>
                <w:rFonts w:hint="eastAsia" w:ascii="宋体" w:hAnsi="宋体" w:eastAsia="宋体" w:cs="宋体"/>
                <w:i w:val="0"/>
                <w:iCs w:val="0"/>
                <w:color w:val="000000"/>
                <w:sz w:val="20"/>
                <w:szCs w:val="20"/>
                <w:u w:val="none"/>
              </w:rPr>
            </w:pPr>
          </w:p>
        </w:tc>
      </w:tr>
      <w:tr w14:paraId="1DA1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078E">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A489">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82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（十九）自然资源海洋气象等支出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5BE5">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EBB4">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3067">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60B8">
            <w:pPr>
              <w:rPr>
                <w:rFonts w:hint="eastAsia" w:ascii="宋体" w:hAnsi="宋体" w:eastAsia="宋体" w:cs="宋体"/>
                <w:i w:val="0"/>
                <w:iCs w:val="0"/>
                <w:color w:val="000000"/>
                <w:sz w:val="20"/>
                <w:szCs w:val="20"/>
                <w:u w:val="none"/>
              </w:rPr>
            </w:pPr>
          </w:p>
        </w:tc>
      </w:tr>
      <w:tr w14:paraId="47ED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770A">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5D7F">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8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（二十）住房保障支出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7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2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4B9">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2546">
            <w:pPr>
              <w:rPr>
                <w:rFonts w:hint="eastAsia" w:ascii="宋体" w:hAnsi="宋体" w:eastAsia="宋体" w:cs="宋体"/>
                <w:i w:val="0"/>
                <w:iCs w:val="0"/>
                <w:color w:val="000000"/>
                <w:sz w:val="20"/>
                <w:szCs w:val="20"/>
                <w:u w:val="none"/>
              </w:rPr>
            </w:pPr>
          </w:p>
        </w:tc>
      </w:tr>
      <w:tr w14:paraId="1C8B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77F9">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2230">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A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（二十一）粮油物资储备支出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4173">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8F98">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89AB">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8C66">
            <w:pPr>
              <w:rPr>
                <w:rFonts w:hint="eastAsia" w:ascii="宋体" w:hAnsi="宋体" w:eastAsia="宋体" w:cs="宋体"/>
                <w:i w:val="0"/>
                <w:iCs w:val="0"/>
                <w:color w:val="000000"/>
                <w:sz w:val="20"/>
                <w:szCs w:val="20"/>
                <w:u w:val="none"/>
              </w:rPr>
            </w:pPr>
          </w:p>
        </w:tc>
      </w:tr>
      <w:tr w14:paraId="7BE1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51F2">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EC9">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5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（二十二）国有资本经营收入安排支出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ADE9">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FF1F">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A1BE">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9327">
            <w:pPr>
              <w:rPr>
                <w:rFonts w:hint="eastAsia" w:ascii="宋体" w:hAnsi="宋体" w:eastAsia="宋体" w:cs="宋体"/>
                <w:i w:val="0"/>
                <w:iCs w:val="0"/>
                <w:color w:val="000000"/>
                <w:sz w:val="20"/>
                <w:szCs w:val="20"/>
                <w:u w:val="none"/>
              </w:rPr>
            </w:pPr>
          </w:p>
        </w:tc>
      </w:tr>
      <w:tr w14:paraId="08EE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59AA">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486C">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（二十三）灾害防治及应急管理</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4FF2">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4A01">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376E">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9373">
            <w:pPr>
              <w:rPr>
                <w:rFonts w:hint="eastAsia" w:ascii="宋体" w:hAnsi="宋体" w:eastAsia="宋体" w:cs="宋体"/>
                <w:i w:val="0"/>
                <w:iCs w:val="0"/>
                <w:color w:val="000000"/>
                <w:sz w:val="20"/>
                <w:szCs w:val="20"/>
                <w:u w:val="none"/>
              </w:rPr>
            </w:pPr>
          </w:p>
        </w:tc>
      </w:tr>
      <w:tr w14:paraId="0966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C41F">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6AA0">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E8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（二十四）预备费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D990">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3F11">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7875">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1A8F">
            <w:pPr>
              <w:rPr>
                <w:rFonts w:hint="eastAsia" w:ascii="宋体" w:hAnsi="宋体" w:eastAsia="宋体" w:cs="宋体"/>
                <w:i w:val="0"/>
                <w:iCs w:val="0"/>
                <w:color w:val="000000"/>
                <w:sz w:val="20"/>
                <w:szCs w:val="20"/>
                <w:u w:val="none"/>
              </w:rPr>
            </w:pPr>
          </w:p>
        </w:tc>
      </w:tr>
      <w:tr w14:paraId="70C4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6D62">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E357">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5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（二十五）其他支出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A682">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EE2F">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F942">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F6AD">
            <w:pPr>
              <w:rPr>
                <w:rFonts w:hint="eastAsia" w:ascii="宋体" w:hAnsi="宋体" w:eastAsia="宋体" w:cs="宋体"/>
                <w:i w:val="0"/>
                <w:iCs w:val="0"/>
                <w:color w:val="000000"/>
                <w:sz w:val="20"/>
                <w:szCs w:val="20"/>
                <w:u w:val="none"/>
              </w:rPr>
            </w:pPr>
          </w:p>
        </w:tc>
      </w:tr>
      <w:tr w14:paraId="14B5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1936">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E74D">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F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（二十六）转移性支出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1818">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049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B1C9">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19D5">
            <w:pPr>
              <w:rPr>
                <w:rFonts w:hint="eastAsia" w:ascii="宋体" w:hAnsi="宋体" w:eastAsia="宋体" w:cs="宋体"/>
                <w:i w:val="0"/>
                <w:iCs w:val="0"/>
                <w:color w:val="000000"/>
                <w:sz w:val="20"/>
                <w:szCs w:val="20"/>
                <w:u w:val="none"/>
              </w:rPr>
            </w:pPr>
          </w:p>
        </w:tc>
      </w:tr>
      <w:tr w14:paraId="02D1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B94A">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88CF">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F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（二十七）债务还本支出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6B6F">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2B84">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B166">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217">
            <w:pPr>
              <w:rPr>
                <w:rFonts w:hint="eastAsia" w:ascii="宋体" w:hAnsi="宋体" w:eastAsia="宋体" w:cs="宋体"/>
                <w:i w:val="0"/>
                <w:iCs w:val="0"/>
                <w:color w:val="000000"/>
                <w:sz w:val="20"/>
                <w:szCs w:val="20"/>
                <w:u w:val="none"/>
              </w:rPr>
            </w:pPr>
          </w:p>
        </w:tc>
      </w:tr>
      <w:tr w14:paraId="4B83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D658">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9C8D">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3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（二十八）债务付息支出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37C">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B6B0">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7FFD">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7BCC">
            <w:pPr>
              <w:rPr>
                <w:rFonts w:hint="eastAsia" w:ascii="宋体" w:hAnsi="宋体" w:eastAsia="宋体" w:cs="宋体"/>
                <w:i w:val="0"/>
                <w:iCs w:val="0"/>
                <w:color w:val="000000"/>
                <w:sz w:val="20"/>
                <w:szCs w:val="20"/>
                <w:u w:val="none"/>
              </w:rPr>
            </w:pPr>
          </w:p>
        </w:tc>
      </w:tr>
      <w:tr w14:paraId="71BC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24F3">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0F30">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7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（二十九）债务发行费用支出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6A27">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1F4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550B">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56B2">
            <w:pPr>
              <w:rPr>
                <w:rFonts w:hint="eastAsia" w:ascii="宋体" w:hAnsi="宋体" w:eastAsia="宋体" w:cs="宋体"/>
                <w:i w:val="0"/>
                <w:iCs w:val="0"/>
                <w:color w:val="000000"/>
                <w:sz w:val="20"/>
                <w:szCs w:val="20"/>
                <w:u w:val="none"/>
              </w:rPr>
            </w:pPr>
          </w:p>
        </w:tc>
      </w:tr>
      <w:tr w14:paraId="6EB4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1359">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E068">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1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（三十）抗疫特别国债安排的支出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F394">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E89B">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C64E">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B734">
            <w:pPr>
              <w:rPr>
                <w:rFonts w:hint="eastAsia" w:ascii="宋体" w:hAnsi="宋体" w:eastAsia="宋体" w:cs="宋体"/>
                <w:i w:val="0"/>
                <w:iCs w:val="0"/>
                <w:color w:val="000000"/>
                <w:sz w:val="20"/>
                <w:szCs w:val="20"/>
                <w:u w:val="none"/>
              </w:rPr>
            </w:pPr>
          </w:p>
        </w:tc>
      </w:tr>
      <w:tr w14:paraId="1CA9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42C8">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475D">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91BD4">
            <w:pPr>
              <w:rPr>
                <w:rFonts w:hint="default" w:ascii="Calibri" w:hAnsi="Calibri" w:cs="Calibri"/>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B506C">
            <w:pPr>
              <w:jc w:val="center"/>
              <w:rPr>
                <w:rFonts w:hint="default" w:ascii="Calibri" w:hAnsi="Calibri" w:cs="Calibri"/>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93CC8">
            <w:pPr>
              <w:jc w:val="center"/>
              <w:rPr>
                <w:rFonts w:hint="default" w:ascii="Calibri" w:hAnsi="Calibri"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7DDF0">
            <w:pPr>
              <w:rPr>
                <w:rFonts w:hint="default" w:ascii="Calibri" w:hAnsi="Calibri" w:cs="Calibri"/>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EF4A">
            <w:pPr>
              <w:rPr>
                <w:rFonts w:hint="eastAsia" w:ascii="宋体" w:hAnsi="宋体" w:eastAsia="宋体" w:cs="宋体"/>
                <w:i w:val="0"/>
                <w:iCs w:val="0"/>
                <w:color w:val="000000"/>
                <w:sz w:val="20"/>
                <w:szCs w:val="20"/>
                <w:u w:val="none"/>
              </w:rPr>
            </w:pPr>
          </w:p>
        </w:tc>
      </w:tr>
      <w:tr w14:paraId="6834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4813">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CED6">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6928E">
            <w:pPr>
              <w:rPr>
                <w:rFonts w:hint="default" w:ascii="Calibri" w:hAnsi="Calibri" w:cs="Calibri"/>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0BCE4">
            <w:pPr>
              <w:jc w:val="center"/>
              <w:rPr>
                <w:rFonts w:hint="default" w:ascii="Calibri" w:hAnsi="Calibri" w:cs="Calibri"/>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61DD1">
            <w:pPr>
              <w:jc w:val="center"/>
              <w:rPr>
                <w:rFonts w:hint="default" w:ascii="Calibri" w:hAnsi="Calibri"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47F3F">
            <w:pPr>
              <w:rPr>
                <w:rFonts w:hint="default" w:ascii="Calibri" w:hAnsi="Calibri" w:cs="Calibri"/>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F36D">
            <w:pPr>
              <w:rPr>
                <w:rFonts w:hint="eastAsia" w:ascii="宋体" w:hAnsi="宋体" w:eastAsia="宋体" w:cs="宋体"/>
                <w:i w:val="0"/>
                <w:iCs w:val="0"/>
                <w:color w:val="000000"/>
                <w:sz w:val="20"/>
                <w:szCs w:val="20"/>
                <w:u w:val="none"/>
              </w:rPr>
            </w:pPr>
          </w:p>
        </w:tc>
      </w:tr>
      <w:tr w14:paraId="6D1F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AC15">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2F9D">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ED7E0">
            <w:pPr>
              <w:rPr>
                <w:rFonts w:hint="default" w:ascii="Calibri" w:hAnsi="Calibri" w:cs="Calibri"/>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6E4EE">
            <w:pPr>
              <w:jc w:val="center"/>
              <w:rPr>
                <w:rFonts w:hint="default" w:ascii="Calibri" w:hAnsi="Calibri" w:cs="Calibri"/>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55A2A">
            <w:pPr>
              <w:jc w:val="center"/>
              <w:rPr>
                <w:rFonts w:hint="default" w:ascii="Calibri" w:hAnsi="Calibri" w:cs="Calibri"/>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F76D3">
            <w:pPr>
              <w:rPr>
                <w:rFonts w:hint="default" w:ascii="Calibri" w:hAnsi="Calibri" w:cs="Calibri"/>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A866">
            <w:pPr>
              <w:rPr>
                <w:rFonts w:hint="eastAsia" w:ascii="宋体" w:hAnsi="宋体" w:eastAsia="宋体" w:cs="宋体"/>
                <w:i w:val="0"/>
                <w:iCs w:val="0"/>
                <w:color w:val="000000"/>
                <w:sz w:val="20"/>
                <w:szCs w:val="20"/>
                <w:u w:val="none"/>
              </w:rPr>
            </w:pPr>
          </w:p>
        </w:tc>
      </w:tr>
      <w:tr w14:paraId="05E8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FF5B">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FA22">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结转下年</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390E">
            <w:pPr>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4D8C7">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B1FD">
            <w:pP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E150">
            <w:pPr>
              <w:rPr>
                <w:rFonts w:hint="eastAsia" w:ascii="宋体" w:hAnsi="宋体" w:eastAsia="宋体" w:cs="宋体"/>
                <w:i w:val="0"/>
                <w:iCs w:val="0"/>
                <w:color w:val="000000"/>
                <w:sz w:val="20"/>
                <w:szCs w:val="20"/>
                <w:u w:val="none"/>
              </w:rPr>
            </w:pPr>
          </w:p>
        </w:tc>
      </w:tr>
      <w:tr w14:paraId="3BDD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B7B4">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CCB5">
            <w:pPr>
              <w:jc w:val="right"/>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2172">
            <w:pP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9571">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9C7A3">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F724">
            <w:pPr>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9137">
            <w:pPr>
              <w:rPr>
                <w:rFonts w:hint="eastAsia" w:ascii="宋体" w:hAnsi="宋体" w:eastAsia="宋体" w:cs="宋体"/>
                <w:i w:val="0"/>
                <w:iCs w:val="0"/>
                <w:color w:val="000000"/>
                <w:sz w:val="20"/>
                <w:szCs w:val="20"/>
                <w:u w:val="none"/>
              </w:rPr>
            </w:pPr>
          </w:p>
        </w:tc>
      </w:tr>
      <w:tr w14:paraId="14B2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5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14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949.57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C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4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B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949.57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5F87">
            <w:pPr>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CFD1">
            <w:pPr>
              <w:rPr>
                <w:rFonts w:hint="eastAsia" w:ascii="宋体" w:hAnsi="宋体" w:eastAsia="宋体" w:cs="宋体"/>
                <w:i w:val="0"/>
                <w:iCs w:val="0"/>
                <w:color w:val="000000"/>
                <w:sz w:val="20"/>
                <w:szCs w:val="20"/>
                <w:u w:val="none"/>
              </w:rPr>
            </w:pPr>
          </w:p>
        </w:tc>
      </w:tr>
      <w:tr w14:paraId="400F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758" w:type="dxa"/>
            <w:gridSpan w:val="3"/>
            <w:tcBorders>
              <w:top w:val="nil"/>
              <w:left w:val="nil"/>
              <w:bottom w:val="nil"/>
              <w:right w:val="nil"/>
            </w:tcBorders>
            <w:shd w:val="clear" w:color="auto" w:fill="auto"/>
            <w:noWrap/>
            <w:vAlign w:val="bottom"/>
          </w:tcPr>
          <w:p w14:paraId="0DF35DB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注：本表反映部门财政拨款收入、支出预算情况。</w:t>
            </w:r>
          </w:p>
        </w:tc>
        <w:tc>
          <w:tcPr>
            <w:tcW w:w="1301" w:type="dxa"/>
            <w:tcBorders>
              <w:top w:val="nil"/>
              <w:left w:val="nil"/>
              <w:bottom w:val="nil"/>
              <w:right w:val="nil"/>
            </w:tcBorders>
            <w:shd w:val="clear" w:color="auto" w:fill="auto"/>
            <w:noWrap/>
            <w:vAlign w:val="bottom"/>
          </w:tcPr>
          <w:p w14:paraId="19408ECA">
            <w:pPr>
              <w:rPr>
                <w:rFonts w:hint="eastAsia" w:ascii="宋体" w:hAnsi="宋体" w:eastAsia="宋体" w:cs="宋体"/>
                <w:i w:val="0"/>
                <w:iCs w:val="0"/>
                <w:color w:val="000000"/>
                <w:sz w:val="18"/>
                <w:szCs w:val="18"/>
                <w:u w:val="none"/>
              </w:rPr>
            </w:pPr>
          </w:p>
        </w:tc>
        <w:tc>
          <w:tcPr>
            <w:tcW w:w="1174" w:type="dxa"/>
            <w:tcBorders>
              <w:top w:val="nil"/>
              <w:left w:val="nil"/>
              <w:bottom w:val="nil"/>
              <w:right w:val="nil"/>
            </w:tcBorders>
            <w:shd w:val="clear" w:color="auto" w:fill="auto"/>
            <w:noWrap/>
            <w:vAlign w:val="bottom"/>
          </w:tcPr>
          <w:p w14:paraId="2FFE66CE">
            <w:pPr>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auto"/>
            <w:noWrap/>
            <w:vAlign w:val="bottom"/>
          </w:tcPr>
          <w:p w14:paraId="25778205">
            <w:pPr>
              <w:rPr>
                <w:rFonts w:hint="default" w:ascii="Arial" w:hAnsi="Arial" w:cs="Arial"/>
                <w:i w:val="0"/>
                <w:iCs w:val="0"/>
                <w:color w:val="000000"/>
                <w:sz w:val="20"/>
                <w:szCs w:val="20"/>
                <w:u w:val="none"/>
              </w:rPr>
            </w:pPr>
          </w:p>
        </w:tc>
        <w:tc>
          <w:tcPr>
            <w:tcW w:w="634" w:type="dxa"/>
            <w:tcBorders>
              <w:top w:val="nil"/>
              <w:left w:val="nil"/>
              <w:bottom w:val="nil"/>
              <w:right w:val="nil"/>
            </w:tcBorders>
            <w:shd w:val="clear" w:color="auto" w:fill="auto"/>
            <w:noWrap/>
            <w:vAlign w:val="bottom"/>
          </w:tcPr>
          <w:p w14:paraId="6E4A124E">
            <w:pPr>
              <w:rPr>
                <w:rFonts w:hint="default" w:ascii="Arial" w:hAnsi="Arial" w:cs="Arial"/>
                <w:i w:val="0"/>
                <w:iCs w:val="0"/>
                <w:color w:val="000000"/>
                <w:sz w:val="20"/>
                <w:szCs w:val="20"/>
                <w:u w:val="none"/>
              </w:rPr>
            </w:pPr>
          </w:p>
        </w:tc>
      </w:tr>
    </w:tbl>
    <w:p w14:paraId="2049E26A">
      <w:pPr>
        <w:spacing w:line="560" w:lineRule="exact"/>
        <w:jc w:val="lef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91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6"/>
        <w:gridCol w:w="3034"/>
        <w:gridCol w:w="1021"/>
        <w:gridCol w:w="1089"/>
        <w:gridCol w:w="1089"/>
      </w:tblGrid>
      <w:tr w14:paraId="6657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5" w:type="dxa"/>
            <w:tcBorders>
              <w:top w:val="nil"/>
              <w:left w:val="nil"/>
              <w:bottom w:val="nil"/>
              <w:right w:val="nil"/>
            </w:tcBorders>
            <w:shd w:val="clear" w:color="auto" w:fill="auto"/>
            <w:noWrap/>
            <w:vAlign w:val="bottom"/>
          </w:tcPr>
          <w:p w14:paraId="30A8778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表5</w:t>
            </w:r>
          </w:p>
        </w:tc>
        <w:tc>
          <w:tcPr>
            <w:tcW w:w="2919" w:type="dxa"/>
            <w:tcBorders>
              <w:top w:val="nil"/>
              <w:left w:val="nil"/>
              <w:bottom w:val="nil"/>
              <w:right w:val="nil"/>
            </w:tcBorders>
            <w:shd w:val="clear" w:color="auto" w:fill="auto"/>
            <w:noWrap/>
            <w:vAlign w:val="bottom"/>
          </w:tcPr>
          <w:p w14:paraId="681BC27F">
            <w:pPr>
              <w:rPr>
                <w:rFonts w:hint="eastAsia" w:ascii="Arial" w:hAnsi="Arial" w:cs="Arial"/>
                <w:i w:val="0"/>
                <w:iCs w:val="0"/>
                <w:color w:val="000000"/>
                <w:sz w:val="20"/>
                <w:szCs w:val="20"/>
                <w:u w:val="none"/>
              </w:rPr>
            </w:pPr>
          </w:p>
        </w:tc>
        <w:tc>
          <w:tcPr>
            <w:tcW w:w="1039" w:type="dxa"/>
            <w:tcBorders>
              <w:top w:val="nil"/>
              <w:left w:val="nil"/>
              <w:bottom w:val="nil"/>
              <w:right w:val="nil"/>
            </w:tcBorders>
            <w:shd w:val="clear" w:color="auto" w:fill="auto"/>
            <w:noWrap/>
            <w:vAlign w:val="bottom"/>
          </w:tcPr>
          <w:p w14:paraId="71FA459D">
            <w:pPr>
              <w:rPr>
                <w:rFonts w:hint="default" w:ascii="Arial" w:hAnsi="Arial" w:cs="Arial"/>
                <w:i w:val="0"/>
                <w:iCs w:val="0"/>
                <w:color w:val="000000"/>
                <w:sz w:val="20"/>
                <w:szCs w:val="20"/>
                <w:u w:val="none"/>
              </w:rPr>
            </w:pPr>
          </w:p>
        </w:tc>
        <w:tc>
          <w:tcPr>
            <w:tcW w:w="1108" w:type="dxa"/>
            <w:tcBorders>
              <w:top w:val="nil"/>
              <w:left w:val="nil"/>
              <w:bottom w:val="nil"/>
              <w:right w:val="nil"/>
            </w:tcBorders>
            <w:shd w:val="clear" w:color="auto" w:fill="auto"/>
            <w:noWrap/>
            <w:vAlign w:val="bottom"/>
          </w:tcPr>
          <w:p w14:paraId="3C91655C">
            <w:pPr>
              <w:rPr>
                <w:rFonts w:hint="default" w:ascii="Arial" w:hAnsi="Arial" w:cs="Arial"/>
                <w:i w:val="0"/>
                <w:iCs w:val="0"/>
                <w:color w:val="000000"/>
                <w:sz w:val="20"/>
                <w:szCs w:val="20"/>
                <w:u w:val="none"/>
              </w:rPr>
            </w:pPr>
          </w:p>
        </w:tc>
        <w:tc>
          <w:tcPr>
            <w:tcW w:w="1108" w:type="dxa"/>
            <w:tcBorders>
              <w:top w:val="nil"/>
              <w:left w:val="nil"/>
              <w:bottom w:val="nil"/>
              <w:right w:val="nil"/>
            </w:tcBorders>
            <w:shd w:val="clear" w:color="auto" w:fill="auto"/>
            <w:noWrap/>
            <w:vAlign w:val="bottom"/>
          </w:tcPr>
          <w:p w14:paraId="5504AD7C">
            <w:pPr>
              <w:rPr>
                <w:rFonts w:hint="default" w:ascii="Arial" w:hAnsi="Arial" w:cs="Arial"/>
                <w:i w:val="0"/>
                <w:iCs w:val="0"/>
                <w:color w:val="000000"/>
                <w:sz w:val="20"/>
                <w:szCs w:val="20"/>
                <w:u w:val="none"/>
              </w:rPr>
            </w:pPr>
          </w:p>
        </w:tc>
      </w:tr>
      <w:tr w14:paraId="66B1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5"/>
            <w:tcBorders>
              <w:top w:val="nil"/>
              <w:left w:val="nil"/>
              <w:bottom w:val="nil"/>
              <w:right w:val="nil"/>
            </w:tcBorders>
            <w:shd w:val="clear" w:color="auto" w:fill="auto"/>
            <w:noWrap/>
            <w:vAlign w:val="center"/>
          </w:tcPr>
          <w:p w14:paraId="29BBB3B1">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2026年部门一般公共预算支出预算表</w:t>
            </w:r>
          </w:p>
        </w:tc>
      </w:tr>
      <w:tr w14:paraId="5BDD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94" w:type="dxa"/>
            <w:gridSpan w:val="2"/>
            <w:tcBorders>
              <w:top w:val="nil"/>
              <w:left w:val="nil"/>
              <w:bottom w:val="nil"/>
              <w:right w:val="nil"/>
            </w:tcBorders>
            <w:shd w:val="clear" w:color="auto" w:fill="auto"/>
            <w:noWrap/>
            <w:vAlign w:val="center"/>
          </w:tcPr>
          <w:p w14:paraId="194F93D4">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部门名称:萧县青龙集镇人民政府</w:t>
            </w:r>
          </w:p>
        </w:tc>
        <w:tc>
          <w:tcPr>
            <w:tcW w:w="0" w:type="auto"/>
            <w:tcBorders>
              <w:top w:val="nil"/>
              <w:left w:val="nil"/>
              <w:bottom w:val="nil"/>
              <w:right w:val="nil"/>
            </w:tcBorders>
            <w:shd w:val="clear" w:color="auto" w:fill="auto"/>
            <w:noWrap/>
            <w:vAlign w:val="bottom"/>
          </w:tcPr>
          <w:p w14:paraId="63EA2EB4">
            <w:pPr>
              <w:jc w:val="center"/>
              <w:rPr>
                <w:rFonts w:hint="eastAsia" w:ascii="宋体" w:hAnsi="宋体" w:eastAsia="宋体" w:cs="宋体"/>
                <w:i w:val="0"/>
                <w:iCs w:val="0"/>
                <w:color w:val="000000"/>
                <w:sz w:val="24"/>
                <w:szCs w:val="24"/>
                <w:u w:val="none"/>
              </w:rPr>
            </w:pPr>
          </w:p>
        </w:tc>
        <w:tc>
          <w:tcPr>
            <w:tcW w:w="2216" w:type="dxa"/>
            <w:gridSpan w:val="2"/>
            <w:tcBorders>
              <w:top w:val="nil"/>
              <w:left w:val="nil"/>
              <w:bottom w:val="nil"/>
              <w:right w:val="nil"/>
            </w:tcBorders>
            <w:shd w:val="clear" w:color="auto" w:fill="auto"/>
            <w:noWrap/>
            <w:vAlign w:val="bottom"/>
          </w:tcPr>
          <w:p w14:paraId="527BE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971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8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8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0B81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A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16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C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3F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0696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480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6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4A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D0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24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05FC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0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C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20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92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D9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29D9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B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D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07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D4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0A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6421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E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25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EB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5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7B62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F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4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E5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F1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D873">
            <w:pPr>
              <w:jc w:val="right"/>
              <w:rPr>
                <w:rFonts w:hint="eastAsia" w:ascii="宋体" w:hAnsi="宋体" w:eastAsia="宋体" w:cs="宋体"/>
                <w:i w:val="0"/>
                <w:iCs w:val="0"/>
                <w:color w:val="000000"/>
                <w:sz w:val="18"/>
                <w:szCs w:val="18"/>
                <w:u w:val="none"/>
              </w:rPr>
            </w:pPr>
          </w:p>
        </w:tc>
      </w:tr>
      <w:tr w14:paraId="1C41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5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A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48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0A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34C6">
            <w:pPr>
              <w:jc w:val="right"/>
              <w:rPr>
                <w:rFonts w:hint="eastAsia" w:ascii="宋体" w:hAnsi="宋体" w:eastAsia="宋体" w:cs="宋体"/>
                <w:i w:val="0"/>
                <w:iCs w:val="0"/>
                <w:color w:val="000000"/>
                <w:sz w:val="18"/>
                <w:szCs w:val="18"/>
                <w:u w:val="none"/>
              </w:rPr>
            </w:pPr>
          </w:p>
        </w:tc>
      </w:tr>
      <w:tr w14:paraId="6A72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E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0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4D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9D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4DF2">
            <w:pPr>
              <w:jc w:val="right"/>
              <w:rPr>
                <w:rFonts w:hint="eastAsia" w:ascii="宋体" w:hAnsi="宋体" w:eastAsia="宋体" w:cs="宋体"/>
                <w:i w:val="0"/>
                <w:iCs w:val="0"/>
                <w:color w:val="000000"/>
                <w:sz w:val="18"/>
                <w:szCs w:val="18"/>
                <w:u w:val="none"/>
              </w:rPr>
            </w:pPr>
          </w:p>
        </w:tc>
      </w:tr>
      <w:tr w14:paraId="4A22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B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6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69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FD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B792">
            <w:pPr>
              <w:jc w:val="right"/>
              <w:rPr>
                <w:rFonts w:hint="eastAsia" w:ascii="宋体" w:hAnsi="宋体" w:eastAsia="宋体" w:cs="宋体"/>
                <w:i w:val="0"/>
                <w:iCs w:val="0"/>
                <w:color w:val="000000"/>
                <w:sz w:val="18"/>
                <w:szCs w:val="18"/>
                <w:u w:val="none"/>
              </w:rPr>
            </w:pPr>
          </w:p>
        </w:tc>
      </w:tr>
      <w:tr w14:paraId="6EC4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9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E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CA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53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7228">
            <w:pPr>
              <w:jc w:val="right"/>
              <w:rPr>
                <w:rFonts w:hint="eastAsia" w:ascii="宋体" w:hAnsi="宋体" w:eastAsia="宋体" w:cs="宋体"/>
                <w:i w:val="0"/>
                <w:iCs w:val="0"/>
                <w:color w:val="000000"/>
                <w:sz w:val="18"/>
                <w:szCs w:val="18"/>
                <w:u w:val="none"/>
              </w:rPr>
            </w:pPr>
          </w:p>
        </w:tc>
      </w:tr>
      <w:tr w14:paraId="4F3D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F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7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90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C2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FE7F">
            <w:pPr>
              <w:jc w:val="right"/>
              <w:rPr>
                <w:rFonts w:hint="eastAsia" w:ascii="宋体" w:hAnsi="宋体" w:eastAsia="宋体" w:cs="宋体"/>
                <w:i w:val="0"/>
                <w:iCs w:val="0"/>
                <w:color w:val="000000"/>
                <w:sz w:val="18"/>
                <w:szCs w:val="18"/>
                <w:u w:val="none"/>
              </w:rPr>
            </w:pPr>
          </w:p>
        </w:tc>
      </w:tr>
      <w:tr w14:paraId="595F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2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7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C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B0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70D4">
            <w:pPr>
              <w:jc w:val="right"/>
              <w:rPr>
                <w:rFonts w:hint="eastAsia" w:ascii="宋体" w:hAnsi="宋体" w:eastAsia="宋体" w:cs="宋体"/>
                <w:i w:val="0"/>
                <w:iCs w:val="0"/>
                <w:color w:val="000000"/>
                <w:sz w:val="18"/>
                <w:szCs w:val="18"/>
                <w:u w:val="none"/>
              </w:rPr>
            </w:pPr>
          </w:p>
        </w:tc>
      </w:tr>
      <w:tr w14:paraId="389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4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9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29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9B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653B">
            <w:pPr>
              <w:jc w:val="right"/>
              <w:rPr>
                <w:rFonts w:hint="eastAsia" w:ascii="宋体" w:hAnsi="宋体" w:eastAsia="宋体" w:cs="宋体"/>
                <w:i w:val="0"/>
                <w:iCs w:val="0"/>
                <w:color w:val="000000"/>
                <w:sz w:val="18"/>
                <w:szCs w:val="18"/>
                <w:u w:val="none"/>
              </w:rPr>
            </w:pPr>
          </w:p>
        </w:tc>
      </w:tr>
      <w:tr w14:paraId="6A78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8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75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CC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524">
            <w:pPr>
              <w:jc w:val="right"/>
              <w:rPr>
                <w:rFonts w:hint="eastAsia" w:ascii="宋体" w:hAnsi="宋体" w:eastAsia="宋体" w:cs="宋体"/>
                <w:i w:val="0"/>
                <w:iCs w:val="0"/>
                <w:color w:val="000000"/>
                <w:sz w:val="18"/>
                <w:szCs w:val="18"/>
                <w:u w:val="none"/>
              </w:rPr>
            </w:pPr>
          </w:p>
        </w:tc>
      </w:tr>
      <w:tr w14:paraId="5BE8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5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3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5C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4E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0D3">
            <w:pPr>
              <w:jc w:val="right"/>
              <w:rPr>
                <w:rFonts w:hint="eastAsia" w:ascii="宋体" w:hAnsi="宋体" w:eastAsia="宋体" w:cs="宋体"/>
                <w:i w:val="0"/>
                <w:iCs w:val="0"/>
                <w:color w:val="000000"/>
                <w:sz w:val="18"/>
                <w:szCs w:val="18"/>
                <w:u w:val="none"/>
              </w:rPr>
            </w:pPr>
          </w:p>
        </w:tc>
      </w:tr>
      <w:tr w14:paraId="2FDE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3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D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62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59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08DD">
            <w:pPr>
              <w:jc w:val="right"/>
              <w:rPr>
                <w:rFonts w:hint="eastAsia" w:ascii="宋体" w:hAnsi="宋体" w:eastAsia="宋体" w:cs="宋体"/>
                <w:i w:val="0"/>
                <w:iCs w:val="0"/>
                <w:color w:val="000000"/>
                <w:sz w:val="18"/>
                <w:szCs w:val="18"/>
                <w:u w:val="none"/>
              </w:rPr>
            </w:pPr>
          </w:p>
        </w:tc>
      </w:tr>
      <w:tr w14:paraId="7AC2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8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5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2F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28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905B">
            <w:pPr>
              <w:jc w:val="right"/>
              <w:rPr>
                <w:rFonts w:hint="eastAsia" w:ascii="宋体" w:hAnsi="宋体" w:eastAsia="宋体" w:cs="宋体"/>
                <w:i w:val="0"/>
                <w:iCs w:val="0"/>
                <w:color w:val="000000"/>
                <w:sz w:val="18"/>
                <w:szCs w:val="18"/>
                <w:u w:val="none"/>
              </w:rPr>
            </w:pPr>
          </w:p>
        </w:tc>
      </w:tr>
      <w:tr w14:paraId="346C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5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2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DC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DF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CADE">
            <w:pPr>
              <w:jc w:val="right"/>
              <w:rPr>
                <w:rFonts w:hint="eastAsia" w:ascii="宋体" w:hAnsi="宋体" w:eastAsia="宋体" w:cs="宋体"/>
                <w:i w:val="0"/>
                <w:iCs w:val="0"/>
                <w:color w:val="000000"/>
                <w:sz w:val="18"/>
                <w:szCs w:val="18"/>
                <w:u w:val="none"/>
              </w:rPr>
            </w:pPr>
          </w:p>
        </w:tc>
      </w:tr>
      <w:tr w14:paraId="2798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6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9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提租补贴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39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7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3D0F">
            <w:pPr>
              <w:jc w:val="right"/>
              <w:rPr>
                <w:rFonts w:hint="eastAsia" w:ascii="宋体" w:hAnsi="宋体" w:eastAsia="宋体" w:cs="宋体"/>
                <w:i w:val="0"/>
                <w:iCs w:val="0"/>
                <w:color w:val="000000"/>
                <w:sz w:val="18"/>
                <w:szCs w:val="18"/>
                <w:u w:val="none"/>
              </w:rPr>
            </w:pPr>
          </w:p>
        </w:tc>
      </w:tr>
    </w:tbl>
    <w:p w14:paraId="5823ECFF">
      <w:pPr>
        <w:spacing w:line="560" w:lineRule="exact"/>
        <w:jc w:val="lef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91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8"/>
        <w:gridCol w:w="2920"/>
        <w:gridCol w:w="106"/>
        <w:gridCol w:w="2385"/>
      </w:tblGrid>
      <w:tr w14:paraId="2D4A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8" w:type="dxa"/>
            <w:tcBorders>
              <w:top w:val="nil"/>
              <w:left w:val="nil"/>
              <w:bottom w:val="nil"/>
              <w:right w:val="nil"/>
            </w:tcBorders>
            <w:shd w:val="clear" w:color="auto" w:fill="auto"/>
            <w:noWrap/>
            <w:vAlign w:val="bottom"/>
          </w:tcPr>
          <w:p w14:paraId="40D1F7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表6</w:t>
            </w:r>
          </w:p>
        </w:tc>
        <w:tc>
          <w:tcPr>
            <w:tcW w:w="3026" w:type="dxa"/>
            <w:gridSpan w:val="2"/>
            <w:tcBorders>
              <w:top w:val="nil"/>
              <w:left w:val="nil"/>
              <w:bottom w:val="nil"/>
              <w:right w:val="nil"/>
            </w:tcBorders>
            <w:shd w:val="clear" w:color="auto" w:fill="auto"/>
            <w:noWrap/>
            <w:vAlign w:val="bottom"/>
          </w:tcPr>
          <w:p w14:paraId="56ABC892">
            <w:pPr>
              <w:rPr>
                <w:rFonts w:hint="eastAsia" w:ascii="Arial" w:hAnsi="Arial" w:cs="Arial"/>
                <w:i w:val="0"/>
                <w:iCs w:val="0"/>
                <w:color w:val="000000"/>
                <w:sz w:val="20"/>
                <w:szCs w:val="20"/>
                <w:u w:val="none"/>
              </w:rPr>
            </w:pPr>
          </w:p>
        </w:tc>
        <w:tc>
          <w:tcPr>
            <w:tcW w:w="2385" w:type="dxa"/>
            <w:tcBorders>
              <w:top w:val="nil"/>
              <w:left w:val="nil"/>
              <w:bottom w:val="nil"/>
              <w:right w:val="nil"/>
            </w:tcBorders>
            <w:shd w:val="clear" w:color="auto" w:fill="auto"/>
            <w:noWrap/>
            <w:vAlign w:val="bottom"/>
          </w:tcPr>
          <w:p w14:paraId="6EED8573">
            <w:pPr>
              <w:rPr>
                <w:rFonts w:hint="default" w:ascii="Arial" w:hAnsi="Arial" w:cs="Arial"/>
                <w:i w:val="0"/>
                <w:iCs w:val="0"/>
                <w:color w:val="000000"/>
                <w:sz w:val="20"/>
                <w:szCs w:val="20"/>
                <w:u w:val="none"/>
              </w:rPr>
            </w:pPr>
          </w:p>
        </w:tc>
      </w:tr>
      <w:tr w14:paraId="445F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49" w:type="dxa"/>
            <w:gridSpan w:val="4"/>
            <w:tcBorders>
              <w:top w:val="nil"/>
              <w:left w:val="nil"/>
              <w:bottom w:val="nil"/>
              <w:right w:val="nil"/>
            </w:tcBorders>
            <w:shd w:val="clear" w:color="auto" w:fill="auto"/>
            <w:noWrap/>
            <w:vAlign w:val="center"/>
          </w:tcPr>
          <w:p w14:paraId="3799082B">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2026年部门一般公共预算基本支出预算表</w:t>
            </w:r>
          </w:p>
        </w:tc>
      </w:tr>
      <w:tr w14:paraId="7400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764" w:type="dxa"/>
            <w:gridSpan w:val="3"/>
            <w:tcBorders>
              <w:top w:val="nil"/>
              <w:left w:val="nil"/>
              <w:bottom w:val="nil"/>
              <w:right w:val="nil"/>
            </w:tcBorders>
            <w:shd w:val="clear" w:color="auto" w:fill="auto"/>
            <w:noWrap/>
            <w:vAlign w:val="center"/>
          </w:tcPr>
          <w:p w14:paraId="31A858DE">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部门名称:萧县青龙集镇人民政府</w:t>
            </w:r>
          </w:p>
        </w:tc>
        <w:tc>
          <w:tcPr>
            <w:tcW w:w="2385" w:type="dxa"/>
            <w:tcBorders>
              <w:top w:val="nil"/>
              <w:left w:val="nil"/>
              <w:bottom w:val="nil"/>
              <w:right w:val="nil"/>
            </w:tcBorders>
            <w:shd w:val="clear" w:color="auto" w:fill="auto"/>
            <w:noWrap/>
            <w:vAlign w:val="center"/>
          </w:tcPr>
          <w:p w14:paraId="67581B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8CD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A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D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2209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5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7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F891">
            <w:pPr>
              <w:jc w:val="center"/>
              <w:rPr>
                <w:rFonts w:hint="eastAsia" w:ascii="宋体" w:hAnsi="宋体" w:eastAsia="宋体" w:cs="宋体"/>
                <w:b/>
                <w:bCs/>
                <w:i w:val="0"/>
                <w:iCs w:val="0"/>
                <w:color w:val="000000"/>
                <w:sz w:val="22"/>
                <w:szCs w:val="22"/>
                <w:u w:val="none"/>
              </w:rPr>
            </w:pPr>
          </w:p>
        </w:tc>
      </w:tr>
      <w:tr w14:paraId="254D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45B0">
            <w:pPr>
              <w:jc w:val="left"/>
              <w:rPr>
                <w:rFonts w:hint="eastAsia" w:ascii="宋体" w:hAnsi="宋体" w:eastAsia="宋体" w:cs="宋体"/>
                <w:i w:val="0"/>
                <w:iCs w:val="0"/>
                <w:color w:val="000000"/>
                <w:sz w:val="18"/>
                <w:szCs w:val="18"/>
                <w:u w:val="none"/>
              </w:rPr>
            </w:pP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9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8B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900.57</w:t>
            </w:r>
          </w:p>
        </w:tc>
      </w:tr>
      <w:tr w14:paraId="6CAF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7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E1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742.25</w:t>
            </w:r>
          </w:p>
        </w:tc>
      </w:tr>
      <w:tr w14:paraId="5D79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B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F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C8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242.47</w:t>
            </w:r>
          </w:p>
        </w:tc>
      </w:tr>
      <w:tr w14:paraId="0BDC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D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9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6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31.59</w:t>
            </w:r>
          </w:p>
        </w:tc>
      </w:tr>
      <w:tr w14:paraId="5A99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2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7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E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w:t>
            </w:r>
          </w:p>
        </w:tc>
      </w:tr>
      <w:tr w14:paraId="0FA8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C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A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5F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31.18</w:t>
            </w:r>
          </w:p>
        </w:tc>
      </w:tr>
      <w:tr w14:paraId="069E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C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3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47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r>
      <w:tr w14:paraId="5FDB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1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2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A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13.63</w:t>
            </w:r>
          </w:p>
        </w:tc>
      </w:tr>
      <w:tr w14:paraId="28B3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2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1A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124.60</w:t>
            </w:r>
          </w:p>
        </w:tc>
      </w:tr>
      <w:tr w14:paraId="4CA2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A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F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伙食补助费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87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r>
      <w:tr w14:paraId="6D10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4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5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9C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40.37</w:t>
            </w:r>
          </w:p>
        </w:tc>
      </w:tr>
      <w:tr w14:paraId="366B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1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0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4C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31.92</w:t>
            </w:r>
          </w:p>
        </w:tc>
      </w:tr>
      <w:tr w14:paraId="492E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4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A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4A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w:t>
            </w:r>
          </w:p>
        </w:tc>
      </w:tr>
      <w:tr w14:paraId="2A43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7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A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A2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r>
      <w:tr w14:paraId="3588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2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A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5C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r>
      <w:tr w14:paraId="2976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2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9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E2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r>
      <w:tr w14:paraId="2676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D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0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75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r>
      <w:tr w14:paraId="3E0D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5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C2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r>
      <w:tr w14:paraId="686B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8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3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FE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r>
      <w:tr w14:paraId="3305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7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2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49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140.46</w:t>
            </w:r>
          </w:p>
        </w:tc>
      </w:tr>
      <w:tr w14:paraId="7C6A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9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6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E2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r>
      <w:tr w14:paraId="295F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F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0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FA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r>
      <w:tr w14:paraId="2952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9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7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07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r>
      <w:tr w14:paraId="00A7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D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5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EA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w:t>
            </w:r>
          </w:p>
        </w:tc>
      </w:tr>
      <w:tr w14:paraId="309C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7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2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1A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r>
      <w:tr w14:paraId="6EB4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0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0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07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r>
      <w:tr w14:paraId="3718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D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4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93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7A4F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A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E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B6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CF0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E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E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D8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BF2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6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B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22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75B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8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7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34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1F2B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6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3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AB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r>
      <w:tr w14:paraId="23ED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F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B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A5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w:t>
            </w:r>
          </w:p>
        </w:tc>
      </w:tr>
      <w:tr w14:paraId="6CB7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5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C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92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r>
      <w:tr w14:paraId="429C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2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3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85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r>
      <w:tr w14:paraId="3B8E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0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1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B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w:t>
            </w:r>
          </w:p>
        </w:tc>
      </w:tr>
      <w:tr w14:paraId="5EF8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F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F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61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547F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0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B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53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w:t>
            </w:r>
          </w:p>
        </w:tc>
      </w:tr>
      <w:tr w14:paraId="081E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2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1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53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w:t>
            </w:r>
          </w:p>
        </w:tc>
      </w:tr>
      <w:tr w14:paraId="3389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8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3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55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14:paraId="39A7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B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3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A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r>
      <w:tr w14:paraId="165C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0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F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90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r>
      <w:tr w14:paraId="5A3E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D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E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4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r>
      <w:tr w14:paraId="2167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B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9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57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7C88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7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3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E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F8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0ACE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38" w:type="dxa"/>
            <w:tcBorders>
              <w:top w:val="nil"/>
              <w:left w:val="nil"/>
              <w:bottom w:val="nil"/>
              <w:right w:val="nil"/>
            </w:tcBorders>
            <w:shd w:val="clear" w:color="auto" w:fill="auto"/>
            <w:noWrap/>
            <w:vAlign w:val="bottom"/>
          </w:tcPr>
          <w:p w14:paraId="58BDBB5D">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p w14:paraId="567BD1F9">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p w14:paraId="6A7A446F">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p w14:paraId="3C414CEF">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p w14:paraId="68E8CAAC">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p w14:paraId="033DD5F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表6-2</w:t>
            </w:r>
          </w:p>
        </w:tc>
        <w:tc>
          <w:tcPr>
            <w:tcW w:w="3026" w:type="dxa"/>
            <w:gridSpan w:val="2"/>
            <w:tcBorders>
              <w:top w:val="nil"/>
              <w:left w:val="nil"/>
              <w:bottom w:val="nil"/>
              <w:right w:val="nil"/>
            </w:tcBorders>
            <w:shd w:val="clear" w:color="auto" w:fill="auto"/>
            <w:noWrap/>
            <w:vAlign w:val="bottom"/>
          </w:tcPr>
          <w:p w14:paraId="138FA61D">
            <w:pPr>
              <w:rPr>
                <w:rFonts w:hint="eastAsia" w:ascii="Arial" w:hAnsi="Arial" w:cs="Arial"/>
                <w:i w:val="0"/>
                <w:iCs w:val="0"/>
                <w:color w:val="000000"/>
                <w:sz w:val="20"/>
                <w:szCs w:val="20"/>
                <w:u w:val="none"/>
              </w:rPr>
            </w:pPr>
          </w:p>
        </w:tc>
        <w:tc>
          <w:tcPr>
            <w:tcW w:w="2385" w:type="dxa"/>
            <w:tcBorders>
              <w:top w:val="nil"/>
              <w:left w:val="nil"/>
              <w:bottom w:val="nil"/>
              <w:right w:val="nil"/>
            </w:tcBorders>
            <w:shd w:val="clear" w:color="auto" w:fill="auto"/>
            <w:noWrap/>
            <w:vAlign w:val="bottom"/>
          </w:tcPr>
          <w:p w14:paraId="3121AF05">
            <w:pPr>
              <w:rPr>
                <w:rFonts w:hint="default" w:ascii="Arial" w:hAnsi="Arial" w:cs="Arial"/>
                <w:i w:val="0"/>
                <w:iCs w:val="0"/>
                <w:color w:val="000000"/>
                <w:sz w:val="20"/>
                <w:szCs w:val="20"/>
                <w:u w:val="none"/>
              </w:rPr>
            </w:pPr>
          </w:p>
        </w:tc>
      </w:tr>
      <w:tr w14:paraId="378C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49" w:type="dxa"/>
            <w:gridSpan w:val="4"/>
            <w:tcBorders>
              <w:top w:val="nil"/>
              <w:left w:val="nil"/>
              <w:bottom w:val="nil"/>
              <w:right w:val="nil"/>
            </w:tcBorders>
            <w:shd w:val="clear" w:color="auto" w:fill="auto"/>
            <w:noWrap/>
            <w:vAlign w:val="center"/>
          </w:tcPr>
          <w:p w14:paraId="28428E51">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2026年部门一般公共预算基本支出预算表</w:t>
            </w:r>
          </w:p>
        </w:tc>
      </w:tr>
      <w:tr w14:paraId="7A9D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658" w:type="dxa"/>
            <w:gridSpan w:val="2"/>
            <w:tcBorders>
              <w:top w:val="nil"/>
              <w:left w:val="nil"/>
              <w:bottom w:val="nil"/>
              <w:right w:val="nil"/>
            </w:tcBorders>
            <w:shd w:val="clear" w:color="auto" w:fill="auto"/>
            <w:noWrap/>
            <w:vAlign w:val="center"/>
          </w:tcPr>
          <w:p w14:paraId="6B74588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名称：</w:t>
            </w:r>
            <w:r>
              <w:rPr>
                <w:rFonts w:hint="eastAsia" w:ascii="宋体" w:hAnsi="宋体" w:eastAsia="宋体" w:cs="宋体"/>
                <w:i w:val="0"/>
                <w:iCs w:val="0"/>
                <w:color w:val="000000"/>
                <w:kern w:val="0"/>
                <w:sz w:val="22"/>
                <w:szCs w:val="22"/>
                <w:u w:val="none"/>
                <w:lang w:val="en-US" w:eastAsia="zh-CN" w:bidi="ar"/>
              </w:rPr>
              <w:t>萧县青龙集镇人民政府</w:t>
            </w:r>
          </w:p>
        </w:tc>
        <w:tc>
          <w:tcPr>
            <w:tcW w:w="2491" w:type="dxa"/>
            <w:gridSpan w:val="2"/>
            <w:tcBorders>
              <w:top w:val="nil"/>
              <w:left w:val="nil"/>
              <w:bottom w:val="nil"/>
              <w:right w:val="nil"/>
            </w:tcBorders>
            <w:shd w:val="clear" w:color="auto" w:fill="auto"/>
            <w:noWrap/>
            <w:vAlign w:val="center"/>
          </w:tcPr>
          <w:p w14:paraId="50E8D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单位:万元</w:t>
            </w:r>
          </w:p>
        </w:tc>
      </w:tr>
      <w:tr w14:paraId="5E5B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18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政府经济分类科目</w:t>
            </w:r>
          </w:p>
        </w:tc>
        <w:tc>
          <w:tcPr>
            <w:tcW w:w="24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EE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0FA9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BF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88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C775">
            <w:pPr>
              <w:jc w:val="center"/>
              <w:rPr>
                <w:rFonts w:hint="eastAsia" w:ascii="宋体" w:hAnsi="宋体" w:eastAsia="宋体" w:cs="宋体"/>
                <w:b/>
                <w:bCs/>
                <w:i w:val="0"/>
                <w:iCs w:val="0"/>
                <w:color w:val="000000"/>
                <w:sz w:val="22"/>
                <w:szCs w:val="22"/>
                <w:u w:val="none"/>
              </w:rPr>
            </w:pPr>
          </w:p>
        </w:tc>
      </w:tr>
      <w:tr w14:paraId="73EA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9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87DE">
            <w:pPr>
              <w:jc w:val="left"/>
              <w:rPr>
                <w:rFonts w:hint="eastAsia" w:ascii="宋体" w:hAnsi="宋体" w:eastAsia="宋体" w:cs="宋体"/>
                <w:i w:val="0"/>
                <w:iCs w:val="0"/>
                <w:color w:val="000000"/>
                <w:sz w:val="20"/>
                <w:szCs w:val="20"/>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A6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900.57</w:t>
            </w:r>
          </w:p>
        </w:tc>
      </w:tr>
      <w:tr w14:paraId="5AB6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A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C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机关工资福利支出</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7C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669.96</w:t>
            </w:r>
          </w:p>
        </w:tc>
      </w:tr>
      <w:tr w14:paraId="6039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B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工资奖金津补贴</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F7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455.19</w:t>
            </w:r>
          </w:p>
        </w:tc>
      </w:tr>
      <w:tr w14:paraId="175F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50102</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F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社会保障缴费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4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143.17</w:t>
            </w:r>
          </w:p>
        </w:tc>
      </w:tr>
      <w:tr w14:paraId="36E1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E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50103</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5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C0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58.29</w:t>
            </w:r>
          </w:p>
        </w:tc>
      </w:tr>
      <w:tr w14:paraId="6CF7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0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50199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8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其他工资福利支出</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00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w:t>
            </w:r>
          </w:p>
        </w:tc>
      </w:tr>
      <w:tr w14:paraId="241E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1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9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机关商品和服务支出</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6D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140.46</w:t>
            </w:r>
          </w:p>
        </w:tc>
      </w:tr>
      <w:tr w14:paraId="6D69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BB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F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办公经费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DA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89.73</w:t>
            </w:r>
          </w:p>
        </w:tc>
      </w:tr>
      <w:tr w14:paraId="0B19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B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50202</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E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75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A23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4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50203</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A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24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A44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0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50205</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B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E3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4F25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E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50206</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5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43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38FD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5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50208</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7C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4C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r>
      <w:tr w14:paraId="4F1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8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A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7A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r>
      <w:tr w14:paraId="24C0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C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50299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8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26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4671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F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A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机关资本性支出</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A4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392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C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50306</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0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设备购置</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09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7DCC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8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A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对事业单位经常性补助</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4D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72.29</w:t>
            </w:r>
          </w:p>
        </w:tc>
      </w:tr>
      <w:tr w14:paraId="7FDB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3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0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4B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72.29</w:t>
            </w:r>
          </w:p>
        </w:tc>
      </w:tr>
      <w:tr w14:paraId="7EBE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5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3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F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14.87</w:t>
            </w:r>
          </w:p>
        </w:tc>
      </w:tr>
      <w:tr w14:paraId="53B9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D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50901</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8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社会福利和救助</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F4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r>
      <w:tr w14:paraId="2297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8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50905</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5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离退休费</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04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r>
    </w:tbl>
    <w:p w14:paraId="45CB82F9">
      <w:pPr>
        <w:spacing w:line="560" w:lineRule="exact"/>
        <w:jc w:val="left"/>
        <w:rPr>
          <w:rFonts w:hint="default" w:ascii="Times New Roman" w:hAnsi="Times New Roman" w:eastAsia="方正仿宋_GBK" w:cs="Times New Roman"/>
          <w:color w:val="FF0000"/>
          <w:kern w:val="0"/>
          <w:sz w:val="24"/>
        </w:rPr>
        <w:sectPr>
          <w:pgSz w:w="11906" w:h="16838"/>
          <w:pgMar w:top="1440" w:right="1440" w:bottom="1134" w:left="1440" w:header="851" w:footer="737" w:gutter="0"/>
          <w:cols w:space="720" w:num="1"/>
          <w:docGrid w:type="linesAndChars" w:linePitch="312" w:charSpace="0"/>
        </w:sectPr>
      </w:pPr>
    </w:p>
    <w:tbl>
      <w:tblPr>
        <w:tblStyle w:val="5"/>
        <w:tblW w:w="9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5"/>
        <w:gridCol w:w="1815"/>
        <w:gridCol w:w="1815"/>
        <w:gridCol w:w="1815"/>
        <w:gridCol w:w="1815"/>
      </w:tblGrid>
      <w:tr w14:paraId="1705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35" w:type="dxa"/>
            <w:tcBorders>
              <w:top w:val="nil"/>
              <w:left w:val="nil"/>
              <w:bottom w:val="nil"/>
              <w:right w:val="nil"/>
            </w:tcBorders>
            <w:shd w:val="clear" w:color="auto" w:fill="auto"/>
            <w:noWrap/>
            <w:vAlign w:val="bottom"/>
          </w:tcPr>
          <w:p w14:paraId="667B01F9">
            <w:pPr>
              <w:keepNext w:val="0"/>
              <w:keepLines w:val="0"/>
              <w:widowControl/>
              <w:suppressLineNumbers w:val="0"/>
              <w:jc w:val="left"/>
              <w:textAlignment w:val="bottom"/>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表7</w:t>
            </w:r>
          </w:p>
        </w:tc>
        <w:tc>
          <w:tcPr>
            <w:tcW w:w="1815" w:type="dxa"/>
            <w:tcBorders>
              <w:top w:val="nil"/>
              <w:left w:val="nil"/>
              <w:bottom w:val="nil"/>
              <w:right w:val="nil"/>
            </w:tcBorders>
            <w:shd w:val="clear" w:color="auto" w:fill="auto"/>
            <w:noWrap/>
            <w:vAlign w:val="bottom"/>
          </w:tcPr>
          <w:p w14:paraId="4C3B7FAC">
            <w:pPr>
              <w:rPr>
                <w:rFonts w:hint="eastAsia" w:ascii="Arial" w:hAnsi="Arial" w:cs="Arial"/>
                <w:i w:val="0"/>
                <w:iCs w:val="0"/>
                <w:color w:val="000000"/>
                <w:sz w:val="20"/>
                <w:szCs w:val="20"/>
                <w:u w:val="none"/>
              </w:rPr>
            </w:pPr>
          </w:p>
        </w:tc>
        <w:tc>
          <w:tcPr>
            <w:tcW w:w="1815" w:type="dxa"/>
            <w:tcBorders>
              <w:top w:val="nil"/>
              <w:left w:val="nil"/>
              <w:bottom w:val="nil"/>
              <w:right w:val="nil"/>
            </w:tcBorders>
            <w:shd w:val="clear" w:color="auto" w:fill="auto"/>
            <w:noWrap/>
            <w:vAlign w:val="bottom"/>
          </w:tcPr>
          <w:p w14:paraId="0C64F7D8">
            <w:pPr>
              <w:rPr>
                <w:rFonts w:hint="default" w:ascii="Arial" w:hAnsi="Arial" w:cs="Arial"/>
                <w:i w:val="0"/>
                <w:iCs w:val="0"/>
                <w:color w:val="000000"/>
                <w:sz w:val="20"/>
                <w:szCs w:val="20"/>
                <w:u w:val="none"/>
              </w:rPr>
            </w:pPr>
          </w:p>
        </w:tc>
        <w:tc>
          <w:tcPr>
            <w:tcW w:w="1815" w:type="dxa"/>
            <w:tcBorders>
              <w:top w:val="nil"/>
              <w:left w:val="nil"/>
              <w:bottom w:val="nil"/>
              <w:right w:val="nil"/>
            </w:tcBorders>
            <w:shd w:val="clear" w:color="auto" w:fill="auto"/>
            <w:noWrap/>
            <w:vAlign w:val="bottom"/>
          </w:tcPr>
          <w:p w14:paraId="75C56A56">
            <w:pPr>
              <w:rPr>
                <w:rFonts w:hint="default" w:ascii="Arial" w:hAnsi="Arial" w:cs="Arial"/>
                <w:i w:val="0"/>
                <w:iCs w:val="0"/>
                <w:color w:val="000000"/>
                <w:sz w:val="20"/>
                <w:szCs w:val="20"/>
                <w:u w:val="none"/>
              </w:rPr>
            </w:pPr>
          </w:p>
        </w:tc>
        <w:tc>
          <w:tcPr>
            <w:tcW w:w="1815" w:type="dxa"/>
            <w:tcBorders>
              <w:top w:val="nil"/>
              <w:left w:val="nil"/>
              <w:bottom w:val="nil"/>
              <w:right w:val="nil"/>
            </w:tcBorders>
            <w:shd w:val="clear" w:color="auto" w:fill="auto"/>
            <w:noWrap/>
            <w:vAlign w:val="bottom"/>
          </w:tcPr>
          <w:p w14:paraId="71D75BD4">
            <w:pPr>
              <w:rPr>
                <w:rFonts w:hint="default" w:ascii="Arial" w:hAnsi="Arial" w:cs="Arial"/>
                <w:i w:val="0"/>
                <w:iCs w:val="0"/>
                <w:color w:val="000000"/>
                <w:sz w:val="20"/>
                <w:szCs w:val="20"/>
                <w:u w:val="none"/>
              </w:rPr>
            </w:pPr>
          </w:p>
        </w:tc>
      </w:tr>
      <w:tr w14:paraId="4980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5"/>
            <w:tcBorders>
              <w:top w:val="nil"/>
              <w:left w:val="nil"/>
              <w:bottom w:val="nil"/>
              <w:right w:val="nil"/>
            </w:tcBorders>
            <w:shd w:val="clear" w:color="auto" w:fill="auto"/>
            <w:noWrap/>
            <w:vAlign w:val="center"/>
          </w:tcPr>
          <w:p w14:paraId="243AB69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2026年政府性基金预算支出表</w:t>
            </w:r>
          </w:p>
        </w:tc>
      </w:tr>
      <w:tr w14:paraId="168A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5" w:type="dxa"/>
            <w:gridSpan w:val="3"/>
            <w:tcBorders>
              <w:top w:val="nil"/>
              <w:left w:val="nil"/>
              <w:bottom w:val="nil"/>
              <w:right w:val="nil"/>
            </w:tcBorders>
            <w:shd w:val="clear" w:color="auto" w:fill="auto"/>
            <w:noWrap/>
            <w:vAlign w:val="bottom"/>
          </w:tcPr>
          <w:p w14:paraId="10C0A744">
            <w:pPr>
              <w:rPr>
                <w:rFonts w:hint="default" w:ascii="Arial" w:hAnsi="Arial" w:cs="Arial"/>
                <w:i w:val="0"/>
                <w:iCs w:val="0"/>
                <w:color w:val="000000"/>
                <w:sz w:val="20"/>
                <w:szCs w:val="20"/>
                <w:u w:val="none"/>
              </w:rPr>
            </w:pPr>
            <w:r>
              <w:rPr>
                <w:rFonts w:hint="default" w:ascii="Calibri" w:hAnsi="Calibri" w:eastAsia="宋体" w:cs="Calibri"/>
                <w:i w:val="0"/>
                <w:iCs w:val="0"/>
                <w:color w:val="000000"/>
                <w:kern w:val="0"/>
                <w:sz w:val="22"/>
                <w:szCs w:val="22"/>
                <w:u w:val="none"/>
                <w:lang w:val="en-US" w:eastAsia="zh-CN" w:bidi="ar"/>
              </w:rPr>
              <w:t>部门名称:</w:t>
            </w:r>
            <w:r>
              <w:rPr>
                <w:rFonts w:hint="eastAsia" w:ascii="宋体" w:hAnsi="宋体" w:eastAsia="宋体" w:cs="宋体"/>
                <w:i w:val="0"/>
                <w:iCs w:val="0"/>
                <w:color w:val="000000"/>
                <w:kern w:val="0"/>
                <w:sz w:val="20"/>
                <w:szCs w:val="20"/>
                <w:u w:val="none"/>
                <w:lang w:val="en-US" w:eastAsia="zh-CN" w:bidi="ar"/>
              </w:rPr>
              <w:t>萧县青龙集镇人民政府</w:t>
            </w:r>
          </w:p>
        </w:tc>
        <w:tc>
          <w:tcPr>
            <w:tcW w:w="0" w:type="auto"/>
            <w:tcBorders>
              <w:top w:val="nil"/>
              <w:left w:val="nil"/>
              <w:bottom w:val="nil"/>
              <w:right w:val="nil"/>
            </w:tcBorders>
            <w:shd w:val="clear" w:color="auto" w:fill="auto"/>
            <w:noWrap/>
            <w:vAlign w:val="bottom"/>
          </w:tcPr>
          <w:p w14:paraId="072CD78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55A27B7">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单位：万元</w:t>
            </w:r>
          </w:p>
        </w:tc>
      </w:tr>
      <w:tr w14:paraId="68E5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02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37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E36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本年政府性基金财政拨款支出</w:t>
            </w:r>
          </w:p>
        </w:tc>
      </w:tr>
      <w:tr w14:paraId="5C22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35FB">
            <w:pPr>
              <w:jc w:val="center"/>
              <w:rPr>
                <w:rFonts w:hint="eastAsia" w:ascii="宋体" w:hAnsi="宋体" w:eastAsia="宋体" w:cs="宋体"/>
                <w:b/>
                <w:bCs/>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3ABA">
            <w:pPr>
              <w:jc w:val="center"/>
              <w:rPr>
                <w:rFonts w:hint="eastAsia" w:ascii="宋体" w:hAnsi="宋体" w:eastAsia="宋体" w:cs="宋体"/>
                <w:b/>
                <w:bCs/>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0F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28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bl>
    <w:p w14:paraId="5F0DC997">
      <w:pPr>
        <w:spacing w:line="560" w:lineRule="exact"/>
        <w:jc w:val="left"/>
        <w:rPr>
          <w:rFonts w:hint="default" w:ascii="Times New Roman" w:hAnsi="Times New Roman" w:eastAsia="方正仿宋_GBK" w:cs="Times New Roman"/>
          <w:color w:val="FF0000"/>
          <w:sz w:val="24"/>
        </w:rPr>
        <w:sectPr>
          <w:pgSz w:w="11906" w:h="16838"/>
          <w:pgMar w:top="1440" w:right="1440" w:bottom="1134" w:left="1440" w:header="851" w:footer="737" w:gutter="0"/>
          <w:cols w:space="720" w:num="1"/>
          <w:docGrid w:type="linesAndChars" w:linePitch="312" w:charSpace="0"/>
        </w:sectPr>
      </w:pPr>
      <w:r>
        <w:rPr>
          <w:rFonts w:hint="eastAsia" w:ascii="宋体" w:hAnsi="宋体" w:eastAsia="宋体" w:cs="宋体"/>
          <w:i w:val="0"/>
          <w:iCs w:val="0"/>
          <w:color w:val="000000"/>
          <w:kern w:val="0"/>
          <w:sz w:val="20"/>
          <w:szCs w:val="20"/>
          <w:u w:val="none"/>
          <w:lang w:val="en-US" w:eastAsia="zh-CN" w:bidi="ar"/>
        </w:rPr>
        <w:t>注:“萧县青龙集镇人民政府没有政府性基金预算拨款收入，也没有政府性基金预算拨款安排的支出，故本表无数据”。</w:t>
      </w:r>
    </w:p>
    <w:tbl>
      <w:tblPr>
        <w:tblStyle w:val="5"/>
        <w:tblW w:w="91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3"/>
        <w:gridCol w:w="1754"/>
        <w:gridCol w:w="1754"/>
        <w:gridCol w:w="1754"/>
        <w:gridCol w:w="1754"/>
      </w:tblGrid>
      <w:tr w14:paraId="3857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33" w:type="dxa"/>
            <w:tcBorders>
              <w:top w:val="nil"/>
              <w:left w:val="nil"/>
              <w:bottom w:val="nil"/>
              <w:right w:val="nil"/>
            </w:tcBorders>
            <w:shd w:val="clear" w:color="auto" w:fill="auto"/>
            <w:noWrap/>
            <w:vAlign w:val="bottom"/>
          </w:tcPr>
          <w:p w14:paraId="0B6B6B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表8</w:t>
            </w:r>
          </w:p>
        </w:tc>
        <w:tc>
          <w:tcPr>
            <w:tcW w:w="1754" w:type="dxa"/>
            <w:tcBorders>
              <w:top w:val="nil"/>
              <w:left w:val="nil"/>
              <w:bottom w:val="nil"/>
              <w:right w:val="nil"/>
            </w:tcBorders>
            <w:shd w:val="clear" w:color="auto" w:fill="auto"/>
            <w:noWrap/>
            <w:vAlign w:val="bottom"/>
          </w:tcPr>
          <w:p w14:paraId="3531208C">
            <w:pPr>
              <w:rPr>
                <w:rFonts w:hint="eastAsia" w:ascii="Calibri" w:hAnsi="Calibri" w:cs="Calibri"/>
                <w:i w:val="0"/>
                <w:iCs w:val="0"/>
                <w:color w:val="000000"/>
                <w:sz w:val="22"/>
                <w:szCs w:val="22"/>
                <w:u w:val="none"/>
              </w:rPr>
            </w:pPr>
          </w:p>
        </w:tc>
        <w:tc>
          <w:tcPr>
            <w:tcW w:w="1754" w:type="dxa"/>
            <w:tcBorders>
              <w:top w:val="nil"/>
              <w:left w:val="nil"/>
              <w:bottom w:val="nil"/>
              <w:right w:val="nil"/>
            </w:tcBorders>
            <w:shd w:val="clear" w:color="auto" w:fill="auto"/>
            <w:noWrap/>
            <w:vAlign w:val="bottom"/>
          </w:tcPr>
          <w:p w14:paraId="7F800A6A">
            <w:pPr>
              <w:rPr>
                <w:rFonts w:hint="default" w:ascii="Calibri" w:hAnsi="Calibri" w:cs="Calibri"/>
                <w:i w:val="0"/>
                <w:iCs w:val="0"/>
                <w:color w:val="000000"/>
                <w:sz w:val="22"/>
                <w:szCs w:val="22"/>
                <w:u w:val="none"/>
              </w:rPr>
            </w:pPr>
          </w:p>
        </w:tc>
        <w:tc>
          <w:tcPr>
            <w:tcW w:w="1754" w:type="dxa"/>
            <w:tcBorders>
              <w:top w:val="nil"/>
              <w:left w:val="nil"/>
              <w:bottom w:val="nil"/>
              <w:right w:val="nil"/>
            </w:tcBorders>
            <w:shd w:val="clear" w:color="auto" w:fill="auto"/>
            <w:noWrap/>
            <w:vAlign w:val="bottom"/>
          </w:tcPr>
          <w:p w14:paraId="1D8F4BC3">
            <w:pPr>
              <w:rPr>
                <w:rFonts w:hint="default" w:ascii="Calibri" w:hAnsi="Calibri" w:cs="Calibri"/>
                <w:i w:val="0"/>
                <w:iCs w:val="0"/>
                <w:color w:val="000000"/>
                <w:sz w:val="22"/>
                <w:szCs w:val="22"/>
                <w:u w:val="none"/>
              </w:rPr>
            </w:pPr>
          </w:p>
        </w:tc>
        <w:tc>
          <w:tcPr>
            <w:tcW w:w="1754" w:type="dxa"/>
            <w:tcBorders>
              <w:top w:val="nil"/>
              <w:left w:val="nil"/>
              <w:bottom w:val="nil"/>
              <w:right w:val="nil"/>
            </w:tcBorders>
            <w:shd w:val="clear" w:color="auto" w:fill="auto"/>
            <w:noWrap/>
            <w:vAlign w:val="bottom"/>
          </w:tcPr>
          <w:p w14:paraId="55CCF149">
            <w:pPr>
              <w:rPr>
                <w:rFonts w:hint="default" w:ascii="Calibri" w:hAnsi="Calibri" w:cs="Calibri"/>
                <w:i w:val="0"/>
                <w:iCs w:val="0"/>
                <w:color w:val="000000"/>
                <w:sz w:val="22"/>
                <w:szCs w:val="22"/>
                <w:u w:val="none"/>
              </w:rPr>
            </w:pPr>
          </w:p>
        </w:tc>
      </w:tr>
      <w:tr w14:paraId="1830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5"/>
            <w:tcBorders>
              <w:top w:val="nil"/>
              <w:left w:val="nil"/>
              <w:bottom w:val="nil"/>
              <w:right w:val="nil"/>
            </w:tcBorders>
            <w:shd w:val="clear" w:color="auto" w:fill="auto"/>
            <w:noWrap/>
            <w:vAlign w:val="center"/>
          </w:tcPr>
          <w:p w14:paraId="2C06EAA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国有资本经营收支预算表</w:t>
            </w:r>
          </w:p>
        </w:tc>
      </w:tr>
      <w:tr w14:paraId="1BDE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395" w:type="dxa"/>
            <w:gridSpan w:val="4"/>
            <w:tcBorders>
              <w:top w:val="nil"/>
              <w:left w:val="nil"/>
              <w:bottom w:val="nil"/>
              <w:right w:val="nil"/>
            </w:tcBorders>
            <w:shd w:val="clear" w:color="auto" w:fill="auto"/>
            <w:noWrap/>
            <w:vAlign w:val="bottom"/>
          </w:tcPr>
          <w:p w14:paraId="42FA9C9E">
            <w:pP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部门名称：</w:t>
            </w:r>
            <w:r>
              <w:rPr>
                <w:rFonts w:hint="eastAsia" w:ascii="宋体" w:hAnsi="宋体" w:eastAsia="宋体" w:cs="宋体"/>
                <w:i w:val="0"/>
                <w:iCs w:val="0"/>
                <w:color w:val="000000"/>
                <w:kern w:val="0"/>
                <w:sz w:val="20"/>
                <w:szCs w:val="20"/>
                <w:u w:val="none"/>
                <w:lang w:val="en-US" w:eastAsia="zh-CN" w:bidi="ar"/>
              </w:rPr>
              <w:t>萧县青龙集镇人民政府</w:t>
            </w:r>
          </w:p>
        </w:tc>
        <w:tc>
          <w:tcPr>
            <w:tcW w:w="0" w:type="auto"/>
            <w:tcBorders>
              <w:top w:val="nil"/>
              <w:left w:val="nil"/>
              <w:bottom w:val="nil"/>
              <w:right w:val="nil"/>
            </w:tcBorders>
            <w:shd w:val="clear" w:color="auto" w:fill="auto"/>
            <w:noWrap/>
            <w:vAlign w:val="bottom"/>
          </w:tcPr>
          <w:p w14:paraId="3C34CE40">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单位：万元</w:t>
            </w:r>
          </w:p>
        </w:tc>
      </w:tr>
      <w:tr w14:paraId="5178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E214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科目编码</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38FC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5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2C95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国有资本经营预算财政拨款支出</w:t>
            </w:r>
          </w:p>
        </w:tc>
      </w:tr>
      <w:tr w14:paraId="4627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229F">
            <w:pPr>
              <w:jc w:val="center"/>
              <w:rPr>
                <w:rFonts w:hint="eastAsia" w:ascii="宋体" w:hAnsi="宋体" w:eastAsia="宋体" w:cs="宋体"/>
                <w:b/>
                <w:bCs/>
                <w:i w:val="0"/>
                <w:iCs w:val="0"/>
                <w:color w:val="000000"/>
                <w:sz w:val="28"/>
                <w:szCs w:val="28"/>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8FC5">
            <w:pPr>
              <w:jc w:val="center"/>
              <w:rPr>
                <w:rFonts w:hint="eastAsia" w:ascii="宋体" w:hAnsi="宋体" w:eastAsia="宋体" w:cs="宋体"/>
                <w:b/>
                <w:bCs/>
                <w:i w:val="0"/>
                <w:iCs w:val="0"/>
                <w:color w:val="000000"/>
                <w:sz w:val="28"/>
                <w:szCs w:val="28"/>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036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61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基本支出</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6B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项目支出</w:t>
            </w:r>
          </w:p>
        </w:tc>
      </w:tr>
      <w:tr w14:paraId="1ECC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5A95A">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B6772">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10F56">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52008">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67D59">
            <w:pPr>
              <w:rPr>
                <w:rFonts w:hint="default" w:ascii="Calibri" w:hAnsi="Calibri" w:cs="Calibri"/>
                <w:i w:val="0"/>
                <w:iCs w:val="0"/>
                <w:color w:val="000000"/>
                <w:sz w:val="22"/>
                <w:szCs w:val="22"/>
                <w:u w:val="none"/>
              </w:rPr>
            </w:pPr>
          </w:p>
        </w:tc>
      </w:tr>
    </w:tbl>
    <w:p w14:paraId="05CD8CEE">
      <w:pPr>
        <w:spacing w:line="560" w:lineRule="exact"/>
        <w:jc w:val="left"/>
        <w:rPr>
          <w:rFonts w:hint="default" w:ascii="Times New Roman" w:hAnsi="Times New Roman" w:eastAsia="方正仿宋_GBK" w:cs="Times New Roman"/>
          <w:color w:val="FF0000"/>
          <w:sz w:val="24"/>
        </w:rPr>
        <w:sectPr>
          <w:pgSz w:w="11906" w:h="16838"/>
          <w:pgMar w:top="1440" w:right="1440" w:bottom="1134" w:left="1440" w:header="851" w:footer="737" w:gutter="0"/>
          <w:cols w:space="720" w:num="1"/>
          <w:docGrid w:type="linesAndChars" w:linePitch="312" w:charSpace="0"/>
        </w:sectPr>
      </w:pPr>
      <w:r>
        <w:rPr>
          <w:rFonts w:hint="eastAsia" w:ascii="宋体" w:hAnsi="宋体" w:eastAsia="宋体" w:cs="宋体"/>
          <w:i w:val="0"/>
          <w:iCs w:val="0"/>
          <w:color w:val="000000"/>
          <w:kern w:val="0"/>
          <w:sz w:val="20"/>
          <w:szCs w:val="20"/>
          <w:u w:val="none"/>
          <w:lang w:val="en-US" w:eastAsia="zh-CN" w:bidi="ar"/>
        </w:rPr>
        <w:t>注:萧县青龙集镇人民政府没有国有资本经营预算拨款收入，也没有国有资本经营预算拨款安排的支出，故本表无数据”。</w:t>
      </w:r>
    </w:p>
    <w:tbl>
      <w:tblPr>
        <w:tblStyle w:val="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8"/>
        <w:gridCol w:w="894"/>
        <w:gridCol w:w="781"/>
        <w:gridCol w:w="718"/>
        <w:gridCol w:w="787"/>
        <w:gridCol w:w="538"/>
        <w:gridCol w:w="570"/>
        <w:gridCol w:w="521"/>
        <w:gridCol w:w="538"/>
        <w:gridCol w:w="564"/>
        <w:gridCol w:w="558"/>
        <w:gridCol w:w="477"/>
        <w:gridCol w:w="605"/>
        <w:gridCol w:w="1265"/>
        <w:gridCol w:w="521"/>
        <w:gridCol w:w="493"/>
      </w:tblGrid>
      <w:tr w14:paraId="6906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03" w:type="pct"/>
            <w:tcBorders>
              <w:top w:val="nil"/>
              <w:left w:val="nil"/>
              <w:bottom w:val="nil"/>
              <w:right w:val="nil"/>
            </w:tcBorders>
            <w:shd w:val="clear" w:color="auto" w:fill="auto"/>
            <w:noWrap/>
            <w:vAlign w:val="center"/>
          </w:tcPr>
          <w:p w14:paraId="06BCA851">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表9</w:t>
            </w:r>
          </w:p>
        </w:tc>
        <w:tc>
          <w:tcPr>
            <w:tcW w:w="309" w:type="pct"/>
            <w:tcBorders>
              <w:top w:val="nil"/>
              <w:left w:val="nil"/>
              <w:bottom w:val="nil"/>
              <w:right w:val="nil"/>
            </w:tcBorders>
            <w:shd w:val="clear" w:color="auto" w:fill="auto"/>
            <w:noWrap/>
            <w:vAlign w:val="center"/>
          </w:tcPr>
          <w:p w14:paraId="1CA3509E">
            <w:pPr>
              <w:snapToGrid w:val="0"/>
              <w:jc w:val="center"/>
              <w:rPr>
                <w:rFonts w:hint="eastAsia" w:ascii="宋体" w:hAnsi="宋体" w:eastAsia="宋体" w:cs="宋体"/>
                <w:i w:val="0"/>
                <w:iCs w:val="0"/>
                <w:color w:val="000000"/>
                <w:sz w:val="20"/>
                <w:szCs w:val="20"/>
                <w:u w:val="none"/>
              </w:rPr>
            </w:pPr>
          </w:p>
        </w:tc>
        <w:tc>
          <w:tcPr>
            <w:tcW w:w="270" w:type="pct"/>
            <w:tcBorders>
              <w:top w:val="nil"/>
              <w:left w:val="nil"/>
              <w:bottom w:val="nil"/>
              <w:right w:val="nil"/>
            </w:tcBorders>
            <w:shd w:val="clear" w:color="auto" w:fill="auto"/>
            <w:noWrap/>
            <w:vAlign w:val="center"/>
          </w:tcPr>
          <w:p w14:paraId="71890A03">
            <w:pPr>
              <w:snapToGrid w:val="0"/>
              <w:jc w:val="center"/>
              <w:rPr>
                <w:rFonts w:hint="eastAsia" w:ascii="宋体" w:hAnsi="宋体" w:eastAsia="宋体" w:cs="宋体"/>
                <w:i w:val="0"/>
                <w:iCs w:val="0"/>
                <w:color w:val="000000"/>
                <w:sz w:val="40"/>
                <w:szCs w:val="40"/>
                <w:u w:val="none"/>
              </w:rPr>
            </w:pPr>
          </w:p>
        </w:tc>
        <w:tc>
          <w:tcPr>
            <w:tcW w:w="248" w:type="pct"/>
            <w:tcBorders>
              <w:top w:val="nil"/>
              <w:left w:val="nil"/>
              <w:bottom w:val="nil"/>
              <w:right w:val="nil"/>
            </w:tcBorders>
            <w:shd w:val="clear" w:color="auto" w:fill="auto"/>
            <w:noWrap/>
            <w:vAlign w:val="center"/>
          </w:tcPr>
          <w:p w14:paraId="556AC12E">
            <w:pPr>
              <w:snapToGrid w:val="0"/>
              <w:jc w:val="center"/>
              <w:rPr>
                <w:rFonts w:hint="eastAsia" w:ascii="宋体" w:hAnsi="宋体" w:eastAsia="宋体" w:cs="宋体"/>
                <w:i w:val="0"/>
                <w:iCs w:val="0"/>
                <w:color w:val="000000"/>
                <w:sz w:val="40"/>
                <w:szCs w:val="40"/>
                <w:u w:val="none"/>
              </w:rPr>
            </w:pPr>
          </w:p>
        </w:tc>
        <w:tc>
          <w:tcPr>
            <w:tcW w:w="272" w:type="pct"/>
            <w:tcBorders>
              <w:top w:val="nil"/>
              <w:left w:val="nil"/>
              <w:bottom w:val="nil"/>
              <w:right w:val="nil"/>
            </w:tcBorders>
            <w:shd w:val="clear" w:color="auto" w:fill="auto"/>
            <w:noWrap/>
            <w:vAlign w:val="center"/>
          </w:tcPr>
          <w:p w14:paraId="559F83A4">
            <w:pPr>
              <w:snapToGrid w:val="0"/>
              <w:jc w:val="center"/>
              <w:rPr>
                <w:rFonts w:hint="eastAsia" w:ascii="宋体" w:hAnsi="宋体" w:eastAsia="宋体" w:cs="宋体"/>
                <w:i w:val="0"/>
                <w:iCs w:val="0"/>
                <w:color w:val="000000"/>
                <w:sz w:val="40"/>
                <w:szCs w:val="40"/>
                <w:u w:val="none"/>
              </w:rPr>
            </w:pPr>
          </w:p>
        </w:tc>
        <w:tc>
          <w:tcPr>
            <w:tcW w:w="186" w:type="pct"/>
            <w:tcBorders>
              <w:top w:val="nil"/>
              <w:left w:val="nil"/>
              <w:bottom w:val="nil"/>
              <w:right w:val="nil"/>
            </w:tcBorders>
            <w:shd w:val="clear" w:color="auto" w:fill="auto"/>
            <w:noWrap/>
            <w:vAlign w:val="center"/>
          </w:tcPr>
          <w:p w14:paraId="351A8752">
            <w:pPr>
              <w:snapToGrid w:val="0"/>
              <w:jc w:val="center"/>
              <w:rPr>
                <w:rFonts w:hint="eastAsia" w:ascii="宋体" w:hAnsi="宋体" w:eastAsia="宋体" w:cs="宋体"/>
                <w:i w:val="0"/>
                <w:iCs w:val="0"/>
                <w:color w:val="000000"/>
                <w:sz w:val="40"/>
                <w:szCs w:val="40"/>
                <w:u w:val="none"/>
              </w:rPr>
            </w:pPr>
          </w:p>
        </w:tc>
        <w:tc>
          <w:tcPr>
            <w:tcW w:w="195" w:type="pct"/>
            <w:tcBorders>
              <w:top w:val="nil"/>
              <w:left w:val="nil"/>
              <w:bottom w:val="nil"/>
              <w:right w:val="nil"/>
            </w:tcBorders>
            <w:shd w:val="clear" w:color="auto" w:fill="auto"/>
            <w:noWrap/>
            <w:vAlign w:val="center"/>
          </w:tcPr>
          <w:p w14:paraId="096DF661">
            <w:pPr>
              <w:snapToGrid w:val="0"/>
              <w:jc w:val="center"/>
              <w:rPr>
                <w:rFonts w:hint="eastAsia" w:ascii="宋体" w:hAnsi="宋体" w:eastAsia="宋体" w:cs="宋体"/>
                <w:i w:val="0"/>
                <w:iCs w:val="0"/>
                <w:color w:val="000000"/>
                <w:sz w:val="40"/>
                <w:szCs w:val="40"/>
                <w:u w:val="none"/>
              </w:rPr>
            </w:pPr>
          </w:p>
        </w:tc>
        <w:tc>
          <w:tcPr>
            <w:tcW w:w="180" w:type="pct"/>
            <w:tcBorders>
              <w:top w:val="nil"/>
              <w:left w:val="nil"/>
              <w:bottom w:val="nil"/>
              <w:right w:val="nil"/>
            </w:tcBorders>
            <w:shd w:val="clear" w:color="auto" w:fill="auto"/>
            <w:noWrap/>
            <w:vAlign w:val="center"/>
          </w:tcPr>
          <w:p w14:paraId="1F78B7AF">
            <w:pPr>
              <w:snapToGrid w:val="0"/>
              <w:jc w:val="center"/>
              <w:rPr>
                <w:rFonts w:hint="eastAsia" w:ascii="宋体" w:hAnsi="宋体" w:eastAsia="宋体" w:cs="宋体"/>
                <w:i w:val="0"/>
                <w:iCs w:val="0"/>
                <w:color w:val="000000"/>
                <w:sz w:val="40"/>
                <w:szCs w:val="40"/>
                <w:u w:val="none"/>
              </w:rPr>
            </w:pPr>
          </w:p>
        </w:tc>
        <w:tc>
          <w:tcPr>
            <w:tcW w:w="186" w:type="pct"/>
            <w:tcBorders>
              <w:top w:val="nil"/>
              <w:left w:val="nil"/>
              <w:bottom w:val="nil"/>
              <w:right w:val="nil"/>
            </w:tcBorders>
            <w:shd w:val="clear" w:color="auto" w:fill="auto"/>
            <w:noWrap/>
            <w:vAlign w:val="center"/>
          </w:tcPr>
          <w:p w14:paraId="5C6B3929">
            <w:pPr>
              <w:snapToGrid w:val="0"/>
              <w:jc w:val="center"/>
              <w:rPr>
                <w:rFonts w:hint="eastAsia" w:ascii="宋体" w:hAnsi="宋体" w:eastAsia="宋体" w:cs="宋体"/>
                <w:i w:val="0"/>
                <w:iCs w:val="0"/>
                <w:color w:val="000000"/>
                <w:sz w:val="40"/>
                <w:szCs w:val="40"/>
                <w:u w:val="none"/>
              </w:rPr>
            </w:pPr>
          </w:p>
        </w:tc>
        <w:tc>
          <w:tcPr>
            <w:tcW w:w="194" w:type="pct"/>
            <w:tcBorders>
              <w:top w:val="nil"/>
              <w:left w:val="nil"/>
              <w:bottom w:val="nil"/>
              <w:right w:val="nil"/>
            </w:tcBorders>
            <w:shd w:val="clear" w:color="auto" w:fill="auto"/>
            <w:noWrap/>
            <w:vAlign w:val="center"/>
          </w:tcPr>
          <w:p w14:paraId="59B2067E">
            <w:pPr>
              <w:snapToGrid w:val="0"/>
              <w:jc w:val="center"/>
              <w:rPr>
                <w:rFonts w:hint="eastAsia" w:ascii="宋体" w:hAnsi="宋体" w:eastAsia="宋体" w:cs="宋体"/>
                <w:i w:val="0"/>
                <w:iCs w:val="0"/>
                <w:color w:val="000000"/>
                <w:sz w:val="40"/>
                <w:szCs w:val="40"/>
                <w:u w:val="none"/>
              </w:rPr>
            </w:pPr>
          </w:p>
        </w:tc>
        <w:tc>
          <w:tcPr>
            <w:tcW w:w="193" w:type="pct"/>
            <w:tcBorders>
              <w:top w:val="nil"/>
              <w:left w:val="nil"/>
              <w:bottom w:val="nil"/>
              <w:right w:val="nil"/>
            </w:tcBorders>
            <w:shd w:val="clear" w:color="auto" w:fill="auto"/>
            <w:noWrap/>
            <w:vAlign w:val="center"/>
          </w:tcPr>
          <w:p w14:paraId="107F9FA0">
            <w:pPr>
              <w:snapToGrid w:val="0"/>
              <w:jc w:val="center"/>
              <w:rPr>
                <w:rFonts w:hint="eastAsia" w:ascii="宋体" w:hAnsi="宋体" w:eastAsia="宋体" w:cs="宋体"/>
                <w:i w:val="0"/>
                <w:iCs w:val="0"/>
                <w:color w:val="000000"/>
                <w:sz w:val="40"/>
                <w:szCs w:val="40"/>
                <w:u w:val="none"/>
              </w:rPr>
            </w:pPr>
          </w:p>
        </w:tc>
        <w:tc>
          <w:tcPr>
            <w:tcW w:w="165" w:type="pct"/>
            <w:tcBorders>
              <w:top w:val="nil"/>
              <w:left w:val="nil"/>
              <w:bottom w:val="nil"/>
              <w:right w:val="nil"/>
            </w:tcBorders>
            <w:shd w:val="clear" w:color="auto" w:fill="auto"/>
            <w:noWrap/>
            <w:vAlign w:val="center"/>
          </w:tcPr>
          <w:p w14:paraId="728865B3">
            <w:pPr>
              <w:snapToGrid w:val="0"/>
              <w:jc w:val="center"/>
              <w:rPr>
                <w:rFonts w:hint="eastAsia" w:ascii="宋体" w:hAnsi="宋体" w:eastAsia="宋体" w:cs="宋体"/>
                <w:i w:val="0"/>
                <w:iCs w:val="0"/>
                <w:color w:val="000000"/>
                <w:sz w:val="40"/>
                <w:szCs w:val="40"/>
                <w:u w:val="none"/>
              </w:rPr>
            </w:pPr>
          </w:p>
        </w:tc>
        <w:tc>
          <w:tcPr>
            <w:tcW w:w="209" w:type="pct"/>
            <w:tcBorders>
              <w:top w:val="nil"/>
              <w:left w:val="nil"/>
              <w:bottom w:val="nil"/>
              <w:right w:val="nil"/>
            </w:tcBorders>
            <w:shd w:val="clear" w:color="auto" w:fill="auto"/>
            <w:noWrap/>
            <w:vAlign w:val="center"/>
          </w:tcPr>
          <w:p w14:paraId="19B02A31">
            <w:pPr>
              <w:snapToGrid w:val="0"/>
              <w:jc w:val="center"/>
              <w:rPr>
                <w:rFonts w:hint="eastAsia" w:ascii="宋体" w:hAnsi="宋体" w:eastAsia="宋体" w:cs="宋体"/>
                <w:i w:val="0"/>
                <w:iCs w:val="0"/>
                <w:color w:val="000000"/>
                <w:sz w:val="40"/>
                <w:szCs w:val="40"/>
                <w:u w:val="none"/>
              </w:rPr>
            </w:pPr>
          </w:p>
        </w:tc>
        <w:tc>
          <w:tcPr>
            <w:tcW w:w="428" w:type="pct"/>
            <w:tcBorders>
              <w:top w:val="nil"/>
              <w:left w:val="nil"/>
              <w:bottom w:val="nil"/>
              <w:right w:val="nil"/>
            </w:tcBorders>
            <w:shd w:val="clear" w:color="auto" w:fill="auto"/>
            <w:noWrap/>
            <w:vAlign w:val="center"/>
          </w:tcPr>
          <w:p w14:paraId="2C6ABE5A">
            <w:pPr>
              <w:snapToGrid w:val="0"/>
              <w:jc w:val="center"/>
              <w:rPr>
                <w:rFonts w:hint="eastAsia" w:ascii="宋体" w:hAnsi="宋体" w:eastAsia="宋体" w:cs="宋体"/>
                <w:i w:val="0"/>
                <w:iCs w:val="0"/>
                <w:color w:val="000000"/>
                <w:sz w:val="40"/>
                <w:szCs w:val="40"/>
                <w:u w:val="none"/>
              </w:rPr>
            </w:pPr>
          </w:p>
        </w:tc>
        <w:tc>
          <w:tcPr>
            <w:tcW w:w="180" w:type="pct"/>
            <w:tcBorders>
              <w:top w:val="nil"/>
              <w:left w:val="nil"/>
              <w:bottom w:val="nil"/>
              <w:right w:val="nil"/>
            </w:tcBorders>
            <w:shd w:val="clear" w:color="auto" w:fill="auto"/>
            <w:noWrap/>
            <w:vAlign w:val="bottom"/>
          </w:tcPr>
          <w:p w14:paraId="05452B68">
            <w:pPr>
              <w:snapToGrid w:val="0"/>
              <w:rPr>
                <w:rFonts w:hint="eastAsia" w:ascii="Arial" w:hAnsi="Arial" w:cs="Arial"/>
                <w:i w:val="0"/>
                <w:iCs w:val="0"/>
                <w:color w:val="000000"/>
                <w:sz w:val="20"/>
                <w:szCs w:val="20"/>
                <w:u w:val="none"/>
              </w:rPr>
            </w:pPr>
          </w:p>
        </w:tc>
        <w:tc>
          <w:tcPr>
            <w:tcW w:w="172" w:type="pct"/>
            <w:tcBorders>
              <w:top w:val="nil"/>
              <w:left w:val="nil"/>
              <w:bottom w:val="nil"/>
              <w:right w:val="nil"/>
            </w:tcBorders>
            <w:shd w:val="clear" w:color="auto" w:fill="auto"/>
            <w:noWrap/>
            <w:vAlign w:val="bottom"/>
          </w:tcPr>
          <w:p w14:paraId="0B1362F4">
            <w:pPr>
              <w:snapToGrid w:val="0"/>
              <w:rPr>
                <w:rFonts w:hint="default" w:ascii="Arial" w:hAnsi="Arial" w:cs="Arial"/>
                <w:i w:val="0"/>
                <w:iCs w:val="0"/>
                <w:color w:val="000000"/>
                <w:sz w:val="20"/>
                <w:szCs w:val="20"/>
                <w:u w:val="none"/>
              </w:rPr>
            </w:pPr>
          </w:p>
        </w:tc>
      </w:tr>
      <w:tr w14:paraId="0F76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7" w:type="pct"/>
            <w:gridSpan w:val="14"/>
            <w:vMerge w:val="restart"/>
            <w:tcBorders>
              <w:top w:val="nil"/>
              <w:left w:val="nil"/>
              <w:bottom w:val="nil"/>
              <w:right w:val="nil"/>
            </w:tcBorders>
            <w:shd w:val="clear" w:color="auto" w:fill="auto"/>
            <w:noWrap/>
            <w:vAlign w:val="center"/>
          </w:tcPr>
          <w:p w14:paraId="67ACB86E">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2026年项目支出表</w:t>
            </w:r>
          </w:p>
        </w:tc>
        <w:tc>
          <w:tcPr>
            <w:tcW w:w="180" w:type="pct"/>
            <w:tcBorders>
              <w:top w:val="nil"/>
              <w:left w:val="nil"/>
              <w:bottom w:val="nil"/>
              <w:right w:val="nil"/>
            </w:tcBorders>
            <w:shd w:val="clear" w:color="auto" w:fill="auto"/>
            <w:noWrap/>
            <w:vAlign w:val="bottom"/>
          </w:tcPr>
          <w:p w14:paraId="72D0B469">
            <w:pPr>
              <w:snapToGrid w:val="0"/>
              <w:rPr>
                <w:rFonts w:hint="default" w:ascii="Arial" w:hAnsi="Arial" w:cs="Arial"/>
                <w:i w:val="0"/>
                <w:iCs w:val="0"/>
                <w:color w:val="000000"/>
                <w:sz w:val="20"/>
                <w:szCs w:val="20"/>
                <w:u w:val="none"/>
              </w:rPr>
            </w:pPr>
          </w:p>
        </w:tc>
        <w:tc>
          <w:tcPr>
            <w:tcW w:w="172" w:type="pct"/>
            <w:tcBorders>
              <w:top w:val="nil"/>
              <w:left w:val="nil"/>
              <w:bottom w:val="nil"/>
              <w:right w:val="nil"/>
            </w:tcBorders>
            <w:shd w:val="clear" w:color="auto" w:fill="auto"/>
            <w:noWrap/>
            <w:vAlign w:val="bottom"/>
          </w:tcPr>
          <w:p w14:paraId="21B0C54B">
            <w:pPr>
              <w:snapToGrid w:val="0"/>
              <w:rPr>
                <w:rFonts w:hint="default" w:ascii="Arial" w:hAnsi="Arial" w:cs="Arial"/>
                <w:i w:val="0"/>
                <w:iCs w:val="0"/>
                <w:color w:val="000000"/>
                <w:sz w:val="20"/>
                <w:szCs w:val="20"/>
                <w:u w:val="none"/>
              </w:rPr>
            </w:pPr>
          </w:p>
        </w:tc>
      </w:tr>
      <w:tr w14:paraId="0584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7" w:type="pct"/>
            <w:gridSpan w:val="14"/>
            <w:vMerge w:val="continue"/>
            <w:tcBorders>
              <w:top w:val="nil"/>
              <w:left w:val="nil"/>
              <w:bottom w:val="nil"/>
              <w:right w:val="nil"/>
            </w:tcBorders>
            <w:shd w:val="clear" w:color="auto" w:fill="auto"/>
            <w:noWrap/>
            <w:vAlign w:val="center"/>
          </w:tcPr>
          <w:p w14:paraId="6057D007">
            <w:pPr>
              <w:snapToGrid w:val="0"/>
              <w:jc w:val="center"/>
              <w:rPr>
                <w:rFonts w:hint="eastAsia" w:ascii="宋体" w:hAnsi="宋体" w:eastAsia="宋体" w:cs="宋体"/>
                <w:b/>
                <w:bCs/>
                <w:i w:val="0"/>
                <w:iCs w:val="0"/>
                <w:color w:val="000000"/>
                <w:sz w:val="40"/>
                <w:szCs w:val="40"/>
                <w:u w:val="none"/>
              </w:rPr>
            </w:pPr>
          </w:p>
        </w:tc>
        <w:tc>
          <w:tcPr>
            <w:tcW w:w="180" w:type="pct"/>
            <w:tcBorders>
              <w:top w:val="nil"/>
              <w:left w:val="nil"/>
              <w:bottom w:val="nil"/>
              <w:right w:val="nil"/>
            </w:tcBorders>
            <w:shd w:val="clear" w:color="auto" w:fill="auto"/>
            <w:noWrap/>
            <w:vAlign w:val="bottom"/>
          </w:tcPr>
          <w:p w14:paraId="2B7CB1E2">
            <w:pPr>
              <w:snapToGrid w:val="0"/>
              <w:rPr>
                <w:rFonts w:hint="default" w:ascii="Arial" w:hAnsi="Arial" w:cs="Arial"/>
                <w:i w:val="0"/>
                <w:iCs w:val="0"/>
                <w:color w:val="000000"/>
                <w:sz w:val="20"/>
                <w:szCs w:val="20"/>
                <w:u w:val="none"/>
              </w:rPr>
            </w:pPr>
          </w:p>
        </w:tc>
        <w:tc>
          <w:tcPr>
            <w:tcW w:w="172" w:type="pct"/>
            <w:tcBorders>
              <w:top w:val="nil"/>
              <w:left w:val="nil"/>
              <w:bottom w:val="nil"/>
              <w:right w:val="nil"/>
            </w:tcBorders>
            <w:shd w:val="clear" w:color="auto" w:fill="auto"/>
            <w:noWrap/>
            <w:vAlign w:val="bottom"/>
          </w:tcPr>
          <w:p w14:paraId="20126169">
            <w:pPr>
              <w:snapToGrid w:val="0"/>
              <w:rPr>
                <w:rFonts w:hint="default" w:ascii="Arial" w:hAnsi="Arial" w:cs="Arial"/>
                <w:i w:val="0"/>
                <w:iCs w:val="0"/>
                <w:color w:val="000000"/>
                <w:sz w:val="20"/>
                <w:szCs w:val="20"/>
                <w:u w:val="none"/>
              </w:rPr>
            </w:pPr>
          </w:p>
        </w:tc>
      </w:tr>
      <w:tr w14:paraId="0925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7" w:type="pct"/>
            <w:gridSpan w:val="14"/>
            <w:vMerge w:val="continue"/>
            <w:tcBorders>
              <w:top w:val="nil"/>
              <w:left w:val="nil"/>
              <w:bottom w:val="nil"/>
              <w:right w:val="nil"/>
            </w:tcBorders>
            <w:shd w:val="clear" w:color="auto" w:fill="auto"/>
            <w:noWrap/>
            <w:vAlign w:val="center"/>
          </w:tcPr>
          <w:p w14:paraId="6027E735">
            <w:pPr>
              <w:snapToGrid w:val="0"/>
              <w:jc w:val="center"/>
              <w:rPr>
                <w:rFonts w:hint="eastAsia" w:ascii="宋体" w:hAnsi="宋体" w:eastAsia="宋体" w:cs="宋体"/>
                <w:b/>
                <w:bCs/>
                <w:i w:val="0"/>
                <w:iCs w:val="0"/>
                <w:color w:val="000000"/>
                <w:sz w:val="40"/>
                <w:szCs w:val="40"/>
                <w:u w:val="none"/>
              </w:rPr>
            </w:pPr>
          </w:p>
        </w:tc>
        <w:tc>
          <w:tcPr>
            <w:tcW w:w="180" w:type="pct"/>
            <w:tcBorders>
              <w:top w:val="nil"/>
              <w:left w:val="nil"/>
              <w:bottom w:val="nil"/>
              <w:right w:val="nil"/>
            </w:tcBorders>
            <w:shd w:val="clear" w:color="auto" w:fill="auto"/>
            <w:noWrap/>
            <w:vAlign w:val="bottom"/>
          </w:tcPr>
          <w:p w14:paraId="58901340">
            <w:pPr>
              <w:snapToGrid w:val="0"/>
              <w:rPr>
                <w:rFonts w:hint="default" w:ascii="Arial" w:hAnsi="Arial" w:cs="Arial"/>
                <w:i w:val="0"/>
                <w:iCs w:val="0"/>
                <w:color w:val="000000"/>
                <w:sz w:val="20"/>
                <w:szCs w:val="20"/>
                <w:u w:val="none"/>
              </w:rPr>
            </w:pPr>
          </w:p>
        </w:tc>
        <w:tc>
          <w:tcPr>
            <w:tcW w:w="172" w:type="pct"/>
            <w:tcBorders>
              <w:top w:val="nil"/>
              <w:left w:val="nil"/>
              <w:bottom w:val="nil"/>
              <w:right w:val="nil"/>
            </w:tcBorders>
            <w:shd w:val="clear" w:color="auto" w:fill="auto"/>
            <w:noWrap/>
            <w:vAlign w:val="bottom"/>
          </w:tcPr>
          <w:p w14:paraId="26526F41">
            <w:pPr>
              <w:snapToGrid w:val="0"/>
              <w:rPr>
                <w:rFonts w:hint="default" w:ascii="Arial" w:hAnsi="Arial" w:cs="Arial"/>
                <w:i w:val="0"/>
                <w:iCs w:val="0"/>
                <w:color w:val="000000"/>
                <w:sz w:val="20"/>
                <w:szCs w:val="20"/>
                <w:u w:val="none"/>
              </w:rPr>
            </w:pPr>
          </w:p>
        </w:tc>
      </w:tr>
      <w:tr w14:paraId="4722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3" w:type="pct"/>
            <w:tcBorders>
              <w:top w:val="nil"/>
              <w:left w:val="nil"/>
              <w:bottom w:val="nil"/>
              <w:right w:val="nil"/>
            </w:tcBorders>
            <w:shd w:val="clear" w:color="auto" w:fill="auto"/>
            <w:noWrap/>
            <w:vAlign w:val="center"/>
          </w:tcPr>
          <w:p w14:paraId="13A9F6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部门名称:萧县青龙集镇人民政府</w:t>
            </w:r>
          </w:p>
        </w:tc>
        <w:tc>
          <w:tcPr>
            <w:tcW w:w="309" w:type="pct"/>
            <w:tcBorders>
              <w:top w:val="nil"/>
              <w:left w:val="nil"/>
              <w:bottom w:val="nil"/>
              <w:right w:val="nil"/>
            </w:tcBorders>
            <w:shd w:val="clear" w:color="auto" w:fill="auto"/>
            <w:noWrap/>
            <w:vAlign w:val="center"/>
          </w:tcPr>
          <w:p w14:paraId="2B3BEC44">
            <w:pPr>
              <w:snapToGrid w:val="0"/>
              <w:jc w:val="center"/>
              <w:rPr>
                <w:rFonts w:hint="eastAsia" w:ascii="宋体" w:hAnsi="宋体" w:eastAsia="宋体" w:cs="宋体"/>
                <w:i w:val="0"/>
                <w:iCs w:val="0"/>
                <w:color w:val="000000"/>
                <w:sz w:val="20"/>
                <w:szCs w:val="20"/>
                <w:u w:val="none"/>
              </w:rPr>
            </w:pPr>
          </w:p>
        </w:tc>
        <w:tc>
          <w:tcPr>
            <w:tcW w:w="270" w:type="pct"/>
            <w:tcBorders>
              <w:top w:val="nil"/>
              <w:left w:val="nil"/>
              <w:bottom w:val="nil"/>
              <w:right w:val="nil"/>
            </w:tcBorders>
            <w:shd w:val="clear" w:color="auto" w:fill="auto"/>
            <w:noWrap/>
            <w:vAlign w:val="center"/>
          </w:tcPr>
          <w:p w14:paraId="3D047A17">
            <w:pPr>
              <w:snapToGrid w:val="0"/>
              <w:jc w:val="center"/>
              <w:rPr>
                <w:rFonts w:hint="eastAsia" w:ascii="宋体" w:hAnsi="宋体" w:eastAsia="宋体" w:cs="宋体"/>
                <w:i w:val="0"/>
                <w:iCs w:val="0"/>
                <w:color w:val="000000"/>
                <w:sz w:val="40"/>
                <w:szCs w:val="40"/>
                <w:u w:val="none"/>
              </w:rPr>
            </w:pPr>
          </w:p>
        </w:tc>
        <w:tc>
          <w:tcPr>
            <w:tcW w:w="248" w:type="pct"/>
            <w:tcBorders>
              <w:top w:val="nil"/>
              <w:left w:val="nil"/>
              <w:bottom w:val="nil"/>
              <w:right w:val="nil"/>
            </w:tcBorders>
            <w:shd w:val="clear" w:color="auto" w:fill="auto"/>
            <w:noWrap/>
            <w:vAlign w:val="center"/>
          </w:tcPr>
          <w:p w14:paraId="5E918248">
            <w:pPr>
              <w:snapToGrid w:val="0"/>
              <w:jc w:val="center"/>
              <w:rPr>
                <w:rFonts w:hint="eastAsia" w:ascii="宋体" w:hAnsi="宋体" w:eastAsia="宋体" w:cs="宋体"/>
                <w:i w:val="0"/>
                <w:iCs w:val="0"/>
                <w:color w:val="000000"/>
                <w:sz w:val="40"/>
                <w:szCs w:val="40"/>
                <w:u w:val="none"/>
              </w:rPr>
            </w:pPr>
          </w:p>
        </w:tc>
        <w:tc>
          <w:tcPr>
            <w:tcW w:w="272" w:type="pct"/>
            <w:tcBorders>
              <w:top w:val="nil"/>
              <w:left w:val="nil"/>
              <w:bottom w:val="nil"/>
              <w:right w:val="nil"/>
            </w:tcBorders>
            <w:shd w:val="clear" w:color="auto" w:fill="auto"/>
            <w:noWrap/>
            <w:vAlign w:val="center"/>
          </w:tcPr>
          <w:p w14:paraId="414A2BCE">
            <w:pPr>
              <w:snapToGrid w:val="0"/>
              <w:jc w:val="center"/>
              <w:rPr>
                <w:rFonts w:hint="eastAsia" w:ascii="宋体" w:hAnsi="宋体" w:eastAsia="宋体" w:cs="宋体"/>
                <w:i w:val="0"/>
                <w:iCs w:val="0"/>
                <w:color w:val="000000"/>
                <w:sz w:val="40"/>
                <w:szCs w:val="40"/>
                <w:u w:val="none"/>
              </w:rPr>
            </w:pPr>
          </w:p>
        </w:tc>
        <w:tc>
          <w:tcPr>
            <w:tcW w:w="186" w:type="pct"/>
            <w:tcBorders>
              <w:top w:val="nil"/>
              <w:left w:val="nil"/>
              <w:bottom w:val="nil"/>
              <w:right w:val="nil"/>
            </w:tcBorders>
            <w:shd w:val="clear" w:color="auto" w:fill="auto"/>
            <w:noWrap/>
            <w:vAlign w:val="center"/>
          </w:tcPr>
          <w:p w14:paraId="5055C121">
            <w:pPr>
              <w:snapToGrid w:val="0"/>
              <w:jc w:val="center"/>
              <w:rPr>
                <w:rFonts w:hint="eastAsia" w:ascii="宋体" w:hAnsi="宋体" w:eastAsia="宋体" w:cs="宋体"/>
                <w:i w:val="0"/>
                <w:iCs w:val="0"/>
                <w:color w:val="000000"/>
                <w:sz w:val="40"/>
                <w:szCs w:val="40"/>
                <w:u w:val="none"/>
              </w:rPr>
            </w:pPr>
          </w:p>
        </w:tc>
        <w:tc>
          <w:tcPr>
            <w:tcW w:w="195" w:type="pct"/>
            <w:tcBorders>
              <w:top w:val="nil"/>
              <w:left w:val="nil"/>
              <w:bottom w:val="nil"/>
              <w:right w:val="nil"/>
            </w:tcBorders>
            <w:shd w:val="clear" w:color="auto" w:fill="auto"/>
            <w:noWrap/>
            <w:vAlign w:val="center"/>
          </w:tcPr>
          <w:p w14:paraId="7BC8643B">
            <w:pPr>
              <w:snapToGrid w:val="0"/>
              <w:jc w:val="center"/>
              <w:rPr>
                <w:rFonts w:hint="eastAsia" w:ascii="宋体" w:hAnsi="宋体" w:eastAsia="宋体" w:cs="宋体"/>
                <w:i w:val="0"/>
                <w:iCs w:val="0"/>
                <w:color w:val="000000"/>
                <w:sz w:val="40"/>
                <w:szCs w:val="40"/>
                <w:u w:val="none"/>
              </w:rPr>
            </w:pPr>
          </w:p>
        </w:tc>
        <w:tc>
          <w:tcPr>
            <w:tcW w:w="180" w:type="pct"/>
            <w:tcBorders>
              <w:top w:val="nil"/>
              <w:left w:val="nil"/>
              <w:bottom w:val="nil"/>
              <w:right w:val="nil"/>
            </w:tcBorders>
            <w:shd w:val="clear" w:color="auto" w:fill="auto"/>
            <w:noWrap/>
            <w:vAlign w:val="center"/>
          </w:tcPr>
          <w:p w14:paraId="25418FE6">
            <w:pPr>
              <w:snapToGrid w:val="0"/>
              <w:jc w:val="center"/>
              <w:rPr>
                <w:rFonts w:hint="eastAsia" w:ascii="宋体" w:hAnsi="宋体" w:eastAsia="宋体" w:cs="宋体"/>
                <w:i w:val="0"/>
                <w:iCs w:val="0"/>
                <w:color w:val="000000"/>
                <w:sz w:val="40"/>
                <w:szCs w:val="40"/>
                <w:u w:val="none"/>
              </w:rPr>
            </w:pPr>
          </w:p>
        </w:tc>
        <w:tc>
          <w:tcPr>
            <w:tcW w:w="186" w:type="pct"/>
            <w:tcBorders>
              <w:top w:val="nil"/>
              <w:left w:val="nil"/>
              <w:bottom w:val="nil"/>
              <w:right w:val="nil"/>
            </w:tcBorders>
            <w:shd w:val="clear" w:color="auto" w:fill="auto"/>
            <w:noWrap/>
            <w:vAlign w:val="center"/>
          </w:tcPr>
          <w:p w14:paraId="687E83B2">
            <w:pPr>
              <w:snapToGrid w:val="0"/>
              <w:jc w:val="center"/>
              <w:rPr>
                <w:rFonts w:hint="eastAsia" w:ascii="宋体" w:hAnsi="宋体" w:eastAsia="宋体" w:cs="宋体"/>
                <w:i w:val="0"/>
                <w:iCs w:val="0"/>
                <w:color w:val="000000"/>
                <w:sz w:val="40"/>
                <w:szCs w:val="40"/>
                <w:u w:val="none"/>
              </w:rPr>
            </w:pPr>
          </w:p>
        </w:tc>
        <w:tc>
          <w:tcPr>
            <w:tcW w:w="194" w:type="pct"/>
            <w:tcBorders>
              <w:top w:val="nil"/>
              <w:left w:val="nil"/>
              <w:bottom w:val="nil"/>
              <w:right w:val="nil"/>
            </w:tcBorders>
            <w:shd w:val="clear" w:color="auto" w:fill="auto"/>
            <w:noWrap/>
            <w:vAlign w:val="center"/>
          </w:tcPr>
          <w:p w14:paraId="2BCC869D">
            <w:pPr>
              <w:snapToGrid w:val="0"/>
              <w:jc w:val="center"/>
              <w:rPr>
                <w:rFonts w:hint="eastAsia" w:ascii="宋体" w:hAnsi="宋体" w:eastAsia="宋体" w:cs="宋体"/>
                <w:i w:val="0"/>
                <w:iCs w:val="0"/>
                <w:color w:val="000000"/>
                <w:sz w:val="40"/>
                <w:szCs w:val="40"/>
                <w:u w:val="none"/>
              </w:rPr>
            </w:pPr>
          </w:p>
        </w:tc>
        <w:tc>
          <w:tcPr>
            <w:tcW w:w="193" w:type="pct"/>
            <w:tcBorders>
              <w:top w:val="nil"/>
              <w:left w:val="nil"/>
              <w:bottom w:val="nil"/>
              <w:right w:val="nil"/>
            </w:tcBorders>
            <w:shd w:val="clear" w:color="auto" w:fill="auto"/>
            <w:noWrap/>
            <w:vAlign w:val="center"/>
          </w:tcPr>
          <w:p w14:paraId="68A19F4F">
            <w:pPr>
              <w:snapToGrid w:val="0"/>
              <w:jc w:val="center"/>
              <w:rPr>
                <w:rFonts w:hint="eastAsia" w:ascii="宋体" w:hAnsi="宋体" w:eastAsia="宋体" w:cs="宋体"/>
                <w:i w:val="0"/>
                <w:iCs w:val="0"/>
                <w:color w:val="000000"/>
                <w:sz w:val="40"/>
                <w:szCs w:val="40"/>
                <w:u w:val="none"/>
              </w:rPr>
            </w:pPr>
          </w:p>
        </w:tc>
        <w:tc>
          <w:tcPr>
            <w:tcW w:w="165" w:type="pct"/>
            <w:tcBorders>
              <w:top w:val="nil"/>
              <w:left w:val="nil"/>
              <w:bottom w:val="nil"/>
              <w:right w:val="nil"/>
            </w:tcBorders>
            <w:shd w:val="clear" w:color="auto" w:fill="auto"/>
            <w:noWrap/>
            <w:vAlign w:val="center"/>
          </w:tcPr>
          <w:p w14:paraId="2F53A9EF">
            <w:pPr>
              <w:snapToGrid w:val="0"/>
              <w:jc w:val="center"/>
              <w:rPr>
                <w:rFonts w:hint="eastAsia" w:ascii="宋体" w:hAnsi="宋体" w:eastAsia="宋体" w:cs="宋体"/>
                <w:i w:val="0"/>
                <w:iCs w:val="0"/>
                <w:color w:val="000000"/>
                <w:sz w:val="40"/>
                <w:szCs w:val="40"/>
                <w:u w:val="none"/>
              </w:rPr>
            </w:pPr>
          </w:p>
        </w:tc>
        <w:tc>
          <w:tcPr>
            <w:tcW w:w="209" w:type="pct"/>
            <w:tcBorders>
              <w:top w:val="nil"/>
              <w:left w:val="nil"/>
              <w:bottom w:val="nil"/>
              <w:right w:val="nil"/>
            </w:tcBorders>
            <w:shd w:val="clear" w:color="auto" w:fill="auto"/>
            <w:noWrap/>
            <w:vAlign w:val="center"/>
          </w:tcPr>
          <w:p w14:paraId="1F68124A">
            <w:pPr>
              <w:snapToGrid w:val="0"/>
              <w:jc w:val="center"/>
              <w:rPr>
                <w:rFonts w:hint="eastAsia" w:ascii="宋体" w:hAnsi="宋体" w:eastAsia="宋体" w:cs="宋体"/>
                <w:i w:val="0"/>
                <w:iCs w:val="0"/>
                <w:color w:val="000000"/>
                <w:sz w:val="40"/>
                <w:szCs w:val="40"/>
                <w:u w:val="none"/>
              </w:rPr>
            </w:pPr>
          </w:p>
        </w:tc>
        <w:tc>
          <w:tcPr>
            <w:tcW w:w="428" w:type="pct"/>
            <w:tcBorders>
              <w:top w:val="nil"/>
              <w:left w:val="nil"/>
              <w:bottom w:val="nil"/>
              <w:right w:val="nil"/>
            </w:tcBorders>
            <w:shd w:val="clear" w:color="auto" w:fill="auto"/>
            <w:noWrap/>
            <w:vAlign w:val="center"/>
          </w:tcPr>
          <w:p w14:paraId="4588E1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c>
          <w:tcPr>
            <w:tcW w:w="180" w:type="pct"/>
            <w:tcBorders>
              <w:top w:val="nil"/>
              <w:left w:val="nil"/>
              <w:bottom w:val="nil"/>
              <w:right w:val="nil"/>
            </w:tcBorders>
            <w:shd w:val="clear" w:color="auto" w:fill="auto"/>
            <w:noWrap/>
            <w:vAlign w:val="bottom"/>
          </w:tcPr>
          <w:p w14:paraId="1F07FEAD">
            <w:pPr>
              <w:snapToGrid w:val="0"/>
              <w:rPr>
                <w:rFonts w:hint="default" w:ascii="Arial" w:hAnsi="Arial" w:cs="Arial"/>
                <w:i w:val="0"/>
                <w:iCs w:val="0"/>
                <w:color w:val="000000"/>
                <w:sz w:val="20"/>
                <w:szCs w:val="20"/>
                <w:u w:val="none"/>
              </w:rPr>
            </w:pPr>
          </w:p>
        </w:tc>
        <w:tc>
          <w:tcPr>
            <w:tcW w:w="172" w:type="pct"/>
            <w:tcBorders>
              <w:top w:val="nil"/>
              <w:left w:val="nil"/>
              <w:bottom w:val="nil"/>
              <w:right w:val="nil"/>
            </w:tcBorders>
            <w:shd w:val="clear" w:color="auto" w:fill="auto"/>
            <w:noWrap/>
            <w:vAlign w:val="bottom"/>
          </w:tcPr>
          <w:p w14:paraId="6B16C729">
            <w:pPr>
              <w:snapToGrid w:val="0"/>
              <w:rPr>
                <w:rFonts w:hint="default" w:ascii="Arial" w:hAnsi="Arial" w:cs="Arial"/>
                <w:i w:val="0"/>
                <w:iCs w:val="0"/>
                <w:color w:val="000000"/>
                <w:sz w:val="20"/>
                <w:szCs w:val="20"/>
                <w:u w:val="none"/>
              </w:rPr>
            </w:pPr>
          </w:p>
        </w:tc>
      </w:tr>
      <w:tr w14:paraId="2E82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383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363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992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项目单位</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526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C1E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本年财政拨款</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3F2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财政拨款结转结余</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322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6AA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DCD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本年上级转移支付安排</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9B5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上年结转转移支付</w:t>
            </w:r>
          </w:p>
        </w:tc>
      </w:tr>
      <w:tr w14:paraId="2C0B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4BB6">
            <w:pPr>
              <w:snapToGrid w:val="0"/>
              <w:jc w:val="center"/>
              <w:rPr>
                <w:rFonts w:hint="eastAsia" w:ascii="宋体" w:hAnsi="宋体" w:eastAsia="宋体" w:cs="宋体"/>
                <w:i w:val="0"/>
                <w:iCs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1AAB">
            <w:pPr>
              <w:snapToGrid w:val="0"/>
              <w:jc w:val="center"/>
              <w:rPr>
                <w:rFonts w:hint="eastAsia" w:ascii="宋体" w:hAnsi="宋体" w:eastAsia="宋体" w:cs="宋体"/>
                <w:i w:val="0"/>
                <w:iCs w:val="0"/>
                <w:color w:val="000000"/>
                <w:sz w:val="20"/>
                <w:szCs w:val="20"/>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29B4">
            <w:pPr>
              <w:snapToGrid w:val="0"/>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5E17">
            <w:pPr>
              <w:snapToGrid w:val="0"/>
              <w:jc w:val="cente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FD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59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F3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国有资本经营收入</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F3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25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FB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国有资本经营收入</w:t>
            </w: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858D">
            <w:pPr>
              <w:snapToGrid w:val="0"/>
              <w:jc w:val="center"/>
              <w:rPr>
                <w:rFonts w:hint="eastAsia" w:ascii="宋体" w:hAnsi="宋体" w:eastAsia="宋体" w:cs="宋体"/>
                <w:i w:val="0"/>
                <w:iCs w:val="0"/>
                <w:color w:val="000000"/>
                <w:sz w:val="20"/>
                <w:szCs w:val="20"/>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CE97">
            <w:pPr>
              <w:snapToGrid w:val="0"/>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8E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提前下达一般公共预算</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B9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提前下达政府性基金</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0A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FF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w:t>
            </w:r>
          </w:p>
        </w:tc>
      </w:tr>
      <w:tr w14:paraId="09F1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B1B1">
            <w:pPr>
              <w:snapToGrid w:val="0"/>
              <w:jc w:val="center"/>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4F48">
            <w:pPr>
              <w:snapToGrid w:val="0"/>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45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10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65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5B77">
            <w:pPr>
              <w:snapToGrid w:val="0"/>
              <w:jc w:val="center"/>
              <w:rPr>
                <w:rFonts w:hint="eastAsia" w:ascii="宋体" w:hAnsi="宋体" w:eastAsia="宋体" w:cs="宋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F1EF">
            <w:pPr>
              <w:snapToGrid w:val="0"/>
              <w:rPr>
                <w:rFonts w:hint="eastAsia" w:ascii="Calibri" w:hAnsi="Calibri" w:cs="Calibri"/>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9E08">
            <w:pPr>
              <w:snapToGrid w:val="0"/>
              <w:jc w:val="center"/>
              <w:rPr>
                <w:rFonts w:hint="eastAsia" w:ascii="宋体" w:hAnsi="宋体" w:eastAsia="宋体" w:cs="宋体"/>
                <w:i w:val="0"/>
                <w:iCs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E6E7">
            <w:pPr>
              <w:snapToGrid w:val="0"/>
              <w:jc w:val="center"/>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4BF8">
            <w:pPr>
              <w:snapToGrid w:val="0"/>
              <w:rPr>
                <w:rFonts w:hint="default" w:ascii="Calibri" w:hAnsi="Calibri" w:cs="Calibri"/>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231A">
            <w:pPr>
              <w:snapToGrid w:val="0"/>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221">
            <w:pPr>
              <w:snapToGrid w:val="0"/>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E954">
            <w:pPr>
              <w:snapToGrid w:val="0"/>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5AA3">
            <w:pPr>
              <w:snapToGrid w:val="0"/>
              <w:jc w:val="center"/>
              <w:rPr>
                <w:rFonts w:hint="eastAsia" w:ascii="宋体" w:hAnsi="宋体" w:eastAsia="宋体" w:cs="宋体"/>
                <w:i w:val="0"/>
                <w:iCs w:val="0"/>
                <w:color w:val="000000"/>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89E8">
            <w:pPr>
              <w:snapToGrid w:val="0"/>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3A76">
            <w:pPr>
              <w:snapToGrid w:val="0"/>
              <w:jc w:val="center"/>
              <w:rPr>
                <w:rFonts w:hint="eastAsia" w:ascii="宋体" w:hAnsi="宋体" w:eastAsia="宋体" w:cs="宋体"/>
                <w:i w:val="0"/>
                <w:iCs w:val="0"/>
                <w:color w:val="000000"/>
                <w:sz w:val="20"/>
                <w:szCs w:val="20"/>
                <w:u w:val="none"/>
              </w:rPr>
            </w:pPr>
          </w:p>
        </w:tc>
      </w:tr>
      <w:tr w14:paraId="6CAA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92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341322262410001100001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1A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萧县青龙集镇2026年非税收入项目</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DF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萧县青龙集镇人民政府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04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69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6874">
            <w:pPr>
              <w:snapToGrid w:val="0"/>
              <w:jc w:val="center"/>
              <w:rPr>
                <w:rFonts w:hint="eastAsia" w:ascii="宋体" w:hAnsi="宋体" w:eastAsia="宋体" w:cs="宋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E17D">
            <w:pPr>
              <w:snapToGrid w:val="0"/>
              <w:rPr>
                <w:rFonts w:hint="default" w:ascii="Calibri" w:hAnsi="Calibri" w:cs="Calibri"/>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40E2">
            <w:pPr>
              <w:snapToGrid w:val="0"/>
              <w:jc w:val="center"/>
              <w:rPr>
                <w:rFonts w:hint="eastAsia" w:ascii="宋体" w:hAnsi="宋体" w:eastAsia="宋体" w:cs="宋体"/>
                <w:i w:val="0"/>
                <w:iCs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9E9C">
            <w:pPr>
              <w:snapToGrid w:val="0"/>
              <w:jc w:val="center"/>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BF9">
            <w:pPr>
              <w:snapToGrid w:val="0"/>
              <w:rPr>
                <w:rFonts w:hint="default" w:ascii="Calibri" w:hAnsi="Calibri" w:cs="Calibri"/>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8150">
            <w:pPr>
              <w:snapToGrid w:val="0"/>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5134">
            <w:pPr>
              <w:snapToGrid w:val="0"/>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2D14">
            <w:pPr>
              <w:snapToGrid w:val="0"/>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9233">
            <w:pPr>
              <w:snapToGrid w:val="0"/>
              <w:jc w:val="center"/>
              <w:rPr>
                <w:rFonts w:hint="eastAsia" w:ascii="宋体" w:hAnsi="宋体" w:eastAsia="宋体" w:cs="宋体"/>
                <w:i w:val="0"/>
                <w:iCs w:val="0"/>
                <w:color w:val="000000"/>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ABCD">
            <w:pPr>
              <w:snapToGrid w:val="0"/>
              <w:jc w:val="center"/>
              <w:rPr>
                <w:rFonts w:hint="eastAsia" w:ascii="宋体" w:hAnsi="宋体" w:eastAsia="宋体" w:cs="宋体"/>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D00B">
            <w:pPr>
              <w:snapToGrid w:val="0"/>
              <w:jc w:val="center"/>
              <w:rPr>
                <w:rFonts w:hint="eastAsia" w:ascii="宋体" w:hAnsi="宋体" w:eastAsia="宋体" w:cs="宋体"/>
                <w:i w:val="0"/>
                <w:iCs w:val="0"/>
                <w:color w:val="000000"/>
                <w:sz w:val="20"/>
                <w:szCs w:val="20"/>
                <w:u w:val="none"/>
              </w:rPr>
            </w:pPr>
          </w:p>
        </w:tc>
      </w:tr>
    </w:tbl>
    <w:p w14:paraId="5FA20E0C">
      <w:pPr>
        <w:spacing w:line="560" w:lineRule="exact"/>
        <w:jc w:val="left"/>
        <w:rPr>
          <w:rFonts w:hint="default" w:ascii="Times New Roman" w:hAnsi="Times New Roman" w:eastAsia="方正仿宋_GBK" w:cs="Times New Roman"/>
          <w:sz w:val="24"/>
        </w:rPr>
        <w:sectPr>
          <w:pgSz w:w="16838" w:h="11906" w:orient="landscape"/>
          <w:pgMar w:top="1440" w:right="1440" w:bottom="1440" w:left="1134" w:header="851" w:footer="737" w:gutter="0"/>
          <w:cols w:space="720" w:num="1"/>
          <w:docGrid w:type="linesAndChars" w:linePitch="312" w:charSpace="0"/>
        </w:sectPr>
      </w:pPr>
    </w:p>
    <w:tbl>
      <w:tblPr>
        <w:tblStyle w:val="5"/>
        <w:tblW w:w="9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1"/>
        <w:gridCol w:w="814"/>
        <w:gridCol w:w="888"/>
        <w:gridCol w:w="740"/>
        <w:gridCol w:w="986"/>
        <w:gridCol w:w="949"/>
        <w:gridCol w:w="1552"/>
        <w:gridCol w:w="917"/>
      </w:tblGrid>
      <w:tr w14:paraId="5973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131" w:type="dxa"/>
            <w:tcBorders>
              <w:top w:val="nil"/>
              <w:left w:val="nil"/>
              <w:bottom w:val="nil"/>
              <w:right w:val="nil"/>
            </w:tcBorders>
            <w:shd w:val="clear" w:color="auto" w:fill="auto"/>
            <w:noWrap/>
            <w:vAlign w:val="center"/>
          </w:tcPr>
          <w:p w14:paraId="76F01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表10</w:t>
            </w:r>
          </w:p>
        </w:tc>
        <w:tc>
          <w:tcPr>
            <w:tcW w:w="814" w:type="dxa"/>
            <w:tcBorders>
              <w:top w:val="nil"/>
              <w:left w:val="nil"/>
              <w:bottom w:val="nil"/>
              <w:right w:val="nil"/>
            </w:tcBorders>
            <w:shd w:val="clear" w:color="auto" w:fill="auto"/>
            <w:noWrap/>
            <w:vAlign w:val="center"/>
          </w:tcPr>
          <w:p w14:paraId="7D8161E5">
            <w:pP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07FBE72F">
            <w:pPr>
              <w:rPr>
                <w:rFonts w:hint="eastAsia" w:ascii="宋体" w:hAnsi="宋体" w:eastAsia="宋体" w:cs="宋体"/>
                <w:i w:val="0"/>
                <w:iCs w:val="0"/>
                <w:color w:val="000000"/>
                <w:sz w:val="22"/>
                <w:szCs w:val="22"/>
                <w:u w:val="none"/>
              </w:rPr>
            </w:pPr>
          </w:p>
        </w:tc>
        <w:tc>
          <w:tcPr>
            <w:tcW w:w="740" w:type="dxa"/>
            <w:tcBorders>
              <w:top w:val="nil"/>
              <w:left w:val="nil"/>
              <w:bottom w:val="nil"/>
              <w:right w:val="nil"/>
            </w:tcBorders>
            <w:shd w:val="clear" w:color="auto" w:fill="auto"/>
            <w:noWrap/>
            <w:vAlign w:val="center"/>
          </w:tcPr>
          <w:p w14:paraId="05640319">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4F85D12B">
            <w:pPr>
              <w:rPr>
                <w:rFonts w:hint="eastAsia" w:ascii="宋体" w:hAnsi="宋体" w:eastAsia="宋体" w:cs="宋体"/>
                <w:i w:val="0"/>
                <w:iCs w:val="0"/>
                <w:color w:val="000000"/>
                <w:sz w:val="22"/>
                <w:szCs w:val="22"/>
                <w:u w:val="none"/>
              </w:rPr>
            </w:pPr>
          </w:p>
        </w:tc>
        <w:tc>
          <w:tcPr>
            <w:tcW w:w="949" w:type="dxa"/>
            <w:tcBorders>
              <w:top w:val="nil"/>
              <w:left w:val="nil"/>
              <w:bottom w:val="nil"/>
              <w:right w:val="nil"/>
            </w:tcBorders>
            <w:shd w:val="clear" w:color="auto" w:fill="auto"/>
            <w:noWrap/>
            <w:vAlign w:val="center"/>
          </w:tcPr>
          <w:p w14:paraId="05B21DBC">
            <w:pPr>
              <w:rPr>
                <w:rFonts w:hint="eastAsia" w:ascii="宋体" w:hAnsi="宋体" w:eastAsia="宋体" w:cs="宋体"/>
                <w:i w:val="0"/>
                <w:iCs w:val="0"/>
                <w:color w:val="000000"/>
                <w:sz w:val="22"/>
                <w:szCs w:val="22"/>
                <w:u w:val="none"/>
              </w:rPr>
            </w:pPr>
          </w:p>
        </w:tc>
        <w:tc>
          <w:tcPr>
            <w:tcW w:w="1552" w:type="dxa"/>
            <w:tcBorders>
              <w:top w:val="nil"/>
              <w:left w:val="nil"/>
              <w:bottom w:val="nil"/>
              <w:right w:val="nil"/>
            </w:tcBorders>
            <w:shd w:val="clear" w:color="auto" w:fill="auto"/>
            <w:noWrap/>
            <w:vAlign w:val="center"/>
          </w:tcPr>
          <w:p w14:paraId="57F51370">
            <w:pPr>
              <w:rPr>
                <w:rFonts w:hint="eastAsia" w:ascii="宋体" w:hAnsi="宋体" w:eastAsia="宋体" w:cs="宋体"/>
                <w:i w:val="0"/>
                <w:iCs w:val="0"/>
                <w:color w:val="000000"/>
                <w:sz w:val="22"/>
                <w:szCs w:val="22"/>
                <w:u w:val="none"/>
              </w:rPr>
            </w:pPr>
          </w:p>
        </w:tc>
        <w:tc>
          <w:tcPr>
            <w:tcW w:w="917" w:type="dxa"/>
            <w:tcBorders>
              <w:top w:val="nil"/>
              <w:left w:val="nil"/>
              <w:bottom w:val="nil"/>
              <w:right w:val="nil"/>
            </w:tcBorders>
            <w:shd w:val="clear" w:color="auto" w:fill="auto"/>
            <w:noWrap/>
            <w:vAlign w:val="bottom"/>
          </w:tcPr>
          <w:p w14:paraId="6F0CEE07">
            <w:pPr>
              <w:rPr>
                <w:rFonts w:hint="eastAsia" w:ascii="Arial" w:hAnsi="Arial" w:cs="Arial"/>
                <w:i w:val="0"/>
                <w:iCs w:val="0"/>
                <w:color w:val="000000"/>
                <w:sz w:val="20"/>
                <w:szCs w:val="20"/>
                <w:u w:val="none"/>
              </w:rPr>
            </w:pPr>
          </w:p>
        </w:tc>
      </w:tr>
      <w:tr w14:paraId="17B5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9977" w:type="dxa"/>
            <w:gridSpan w:val="8"/>
            <w:tcBorders>
              <w:top w:val="nil"/>
              <w:left w:val="nil"/>
              <w:bottom w:val="nil"/>
              <w:right w:val="nil"/>
            </w:tcBorders>
            <w:shd w:val="clear" w:color="auto" w:fill="auto"/>
            <w:noWrap/>
            <w:vAlign w:val="center"/>
          </w:tcPr>
          <w:p w14:paraId="5DB5691E">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2026年部门政府采购支出表</w:t>
            </w:r>
          </w:p>
        </w:tc>
      </w:tr>
      <w:tr w14:paraId="70C3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945" w:type="dxa"/>
            <w:gridSpan w:val="2"/>
            <w:tcBorders>
              <w:top w:val="nil"/>
              <w:left w:val="nil"/>
              <w:bottom w:val="nil"/>
              <w:right w:val="nil"/>
            </w:tcBorders>
            <w:shd w:val="clear" w:color="auto" w:fill="auto"/>
            <w:noWrap/>
            <w:vAlign w:val="center"/>
          </w:tcPr>
          <w:p w14:paraId="09F92AF8">
            <w:pPr>
              <w:rPr>
                <w:rFonts w:hint="eastAsia" w:ascii="Calibri" w:hAnsi="Calibri" w:cs="Calibri"/>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部门名称:萧县青龙集镇人民政府</w:t>
            </w:r>
          </w:p>
        </w:tc>
        <w:tc>
          <w:tcPr>
            <w:tcW w:w="888" w:type="dxa"/>
            <w:tcBorders>
              <w:top w:val="nil"/>
              <w:left w:val="nil"/>
              <w:bottom w:val="nil"/>
              <w:right w:val="nil"/>
            </w:tcBorders>
            <w:shd w:val="clear" w:color="auto" w:fill="auto"/>
            <w:noWrap/>
            <w:vAlign w:val="center"/>
          </w:tcPr>
          <w:p w14:paraId="5078F932">
            <w:pPr>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shd w:val="clear" w:color="auto" w:fill="auto"/>
            <w:noWrap/>
            <w:vAlign w:val="center"/>
          </w:tcPr>
          <w:p w14:paraId="5B069083">
            <w:pPr>
              <w:jc w:val="center"/>
              <w:rPr>
                <w:rFonts w:hint="eastAsia" w:ascii="宋体" w:hAnsi="宋体" w:eastAsia="宋体" w:cs="宋体"/>
                <w:b/>
                <w:bCs/>
                <w:i w:val="0"/>
                <w:iCs w:val="0"/>
                <w:color w:val="000000"/>
                <w:sz w:val="36"/>
                <w:szCs w:val="36"/>
                <w:u w:val="none"/>
              </w:rPr>
            </w:pPr>
          </w:p>
        </w:tc>
        <w:tc>
          <w:tcPr>
            <w:tcW w:w="986" w:type="dxa"/>
            <w:tcBorders>
              <w:top w:val="nil"/>
              <w:left w:val="nil"/>
              <w:bottom w:val="nil"/>
              <w:right w:val="nil"/>
            </w:tcBorders>
            <w:shd w:val="clear" w:color="auto" w:fill="auto"/>
            <w:noWrap/>
            <w:vAlign w:val="center"/>
          </w:tcPr>
          <w:p w14:paraId="1D84D080">
            <w:pPr>
              <w:jc w:val="center"/>
              <w:rPr>
                <w:rFonts w:hint="eastAsia" w:ascii="宋体" w:hAnsi="宋体" w:eastAsia="宋体" w:cs="宋体"/>
                <w:b/>
                <w:bCs/>
                <w:i w:val="0"/>
                <w:iCs w:val="0"/>
                <w:color w:val="000000"/>
                <w:sz w:val="36"/>
                <w:szCs w:val="36"/>
                <w:u w:val="none"/>
              </w:rPr>
            </w:pPr>
          </w:p>
        </w:tc>
        <w:tc>
          <w:tcPr>
            <w:tcW w:w="949" w:type="dxa"/>
            <w:tcBorders>
              <w:top w:val="nil"/>
              <w:left w:val="nil"/>
              <w:bottom w:val="nil"/>
              <w:right w:val="nil"/>
            </w:tcBorders>
            <w:shd w:val="clear" w:color="auto" w:fill="auto"/>
            <w:noWrap/>
            <w:vAlign w:val="center"/>
          </w:tcPr>
          <w:p w14:paraId="3ABBCC2C">
            <w:pPr>
              <w:jc w:val="center"/>
              <w:rPr>
                <w:rFonts w:hint="eastAsia" w:ascii="宋体" w:hAnsi="宋体" w:eastAsia="宋体" w:cs="宋体"/>
                <w:b/>
                <w:bCs/>
                <w:i w:val="0"/>
                <w:iCs w:val="0"/>
                <w:color w:val="000000"/>
                <w:sz w:val="36"/>
                <w:szCs w:val="36"/>
                <w:u w:val="none"/>
              </w:rPr>
            </w:pPr>
          </w:p>
        </w:tc>
        <w:tc>
          <w:tcPr>
            <w:tcW w:w="2469" w:type="dxa"/>
            <w:gridSpan w:val="2"/>
            <w:tcBorders>
              <w:top w:val="nil"/>
              <w:left w:val="nil"/>
              <w:bottom w:val="nil"/>
              <w:right w:val="nil"/>
            </w:tcBorders>
            <w:shd w:val="clear" w:color="auto" w:fill="auto"/>
            <w:noWrap/>
            <w:vAlign w:val="center"/>
          </w:tcPr>
          <w:p w14:paraId="38CBD1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630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3131" w:type="dxa"/>
            <w:tcBorders>
              <w:top w:val="single" w:color="000000" w:sz="4" w:space="0"/>
              <w:left w:val="single" w:color="000000" w:sz="4" w:space="0"/>
              <w:bottom w:val="nil"/>
              <w:right w:val="single" w:color="000000" w:sz="4" w:space="0"/>
            </w:tcBorders>
            <w:shd w:val="clear" w:color="auto" w:fill="auto"/>
            <w:vAlign w:val="center"/>
          </w:tcPr>
          <w:p w14:paraId="26D56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单位名称/支出项目/政府采购品目</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6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F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社会保险基金预算</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14:paraId="110B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4E88">
            <w:pPr>
              <w:jc w:val="left"/>
              <w:rPr>
                <w:rFonts w:hint="eastAsia" w:ascii="宋体" w:hAnsi="宋体" w:eastAsia="宋体" w:cs="宋体"/>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04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F4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5163">
            <w:pPr>
              <w:jc w:val="right"/>
              <w:rPr>
                <w:rFonts w:hint="eastAsia" w:ascii="宋体" w:hAnsi="宋体" w:eastAsia="宋体" w:cs="宋体"/>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8DFC">
            <w:pPr>
              <w:jc w:val="righ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D4E">
            <w:pPr>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6706">
            <w:pPr>
              <w:jc w:val="right"/>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B992">
            <w:pPr>
              <w:jc w:val="right"/>
              <w:rPr>
                <w:rFonts w:hint="eastAsia" w:ascii="宋体" w:hAnsi="宋体" w:eastAsia="宋体" w:cs="宋体"/>
                <w:i w:val="0"/>
                <w:iCs w:val="0"/>
                <w:color w:val="000000"/>
                <w:sz w:val="20"/>
                <w:szCs w:val="20"/>
                <w:u w:val="none"/>
              </w:rPr>
            </w:pPr>
          </w:p>
        </w:tc>
      </w:tr>
      <w:tr w14:paraId="2EF1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0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萧县青龙集镇人民政府_综合定额（行政）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A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A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BFF6">
            <w:pPr>
              <w:jc w:val="right"/>
              <w:rPr>
                <w:rFonts w:hint="eastAsia" w:ascii="宋体" w:hAnsi="宋体" w:eastAsia="宋体" w:cs="宋体"/>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4012">
            <w:pPr>
              <w:jc w:val="righ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3607">
            <w:pPr>
              <w:jc w:val="right"/>
              <w:rPr>
                <w:rFonts w:hint="eastAsia" w:ascii="宋体" w:hAnsi="宋体" w:eastAsia="宋体" w:cs="宋体"/>
                <w:i w:val="0"/>
                <w:iCs w:val="0"/>
                <w:color w:val="000000"/>
                <w:sz w:val="20"/>
                <w:szCs w:val="20"/>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6A82">
            <w:pPr>
              <w:jc w:val="right"/>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2951">
            <w:pPr>
              <w:jc w:val="right"/>
              <w:rPr>
                <w:rFonts w:hint="eastAsia" w:ascii="宋体" w:hAnsi="宋体" w:eastAsia="宋体" w:cs="宋体"/>
                <w:i w:val="0"/>
                <w:iCs w:val="0"/>
                <w:color w:val="000000"/>
                <w:sz w:val="20"/>
                <w:szCs w:val="20"/>
                <w:u w:val="none"/>
              </w:rPr>
            </w:pPr>
          </w:p>
        </w:tc>
      </w:tr>
    </w:tbl>
    <w:p w14:paraId="1DF30773">
      <w:pPr>
        <w:spacing w:line="560" w:lineRule="exact"/>
        <w:jc w:val="left"/>
        <w:rPr>
          <w:rFonts w:hint="default" w:ascii="Times New Roman" w:hAnsi="Times New Roman" w:eastAsia="方正仿宋_GBK" w:cs="Times New Roman"/>
          <w:color w:val="FF0000"/>
          <w:sz w:val="24"/>
        </w:rPr>
        <w:sectPr>
          <w:pgSz w:w="11906" w:h="16838"/>
          <w:pgMar w:top="1440" w:right="1440" w:bottom="1134" w:left="1440" w:header="851" w:footer="737" w:gutter="0"/>
          <w:cols w:space="720" w:num="1"/>
          <w:docGrid w:type="linesAndChars" w:linePitch="312" w:charSpace="0"/>
        </w:sectPr>
      </w:pPr>
      <w:r>
        <w:rPr>
          <w:rFonts w:hint="default" w:ascii="Times New Roman" w:hAnsi="Times New Roman" w:eastAsia="方正仿宋_GBK" w:cs="Times New Roman"/>
          <w:color w:val="FF0000"/>
          <w:sz w:val="24"/>
        </w:rPr>
        <w:t xml:space="preserve">” </w:t>
      </w:r>
    </w:p>
    <w:tbl>
      <w:tblPr>
        <w:tblStyle w:val="5"/>
        <w:tblW w:w="5000" w:type="pct"/>
        <w:tblInd w:w="0" w:type="dxa"/>
        <w:tblLayout w:type="fixed"/>
        <w:tblCellMar>
          <w:top w:w="0" w:type="dxa"/>
          <w:left w:w="108" w:type="dxa"/>
          <w:bottom w:w="0" w:type="dxa"/>
          <w:right w:w="108" w:type="dxa"/>
        </w:tblCellMar>
      </w:tblPr>
      <w:tblGrid>
        <w:gridCol w:w="638"/>
        <w:gridCol w:w="454"/>
        <w:gridCol w:w="217"/>
        <w:gridCol w:w="585"/>
        <w:gridCol w:w="796"/>
        <w:gridCol w:w="121"/>
        <w:gridCol w:w="585"/>
        <w:gridCol w:w="90"/>
        <w:gridCol w:w="796"/>
        <w:gridCol w:w="615"/>
        <w:gridCol w:w="221"/>
        <w:gridCol w:w="1111"/>
        <w:gridCol w:w="25"/>
        <w:gridCol w:w="1072"/>
        <w:gridCol w:w="599"/>
        <w:gridCol w:w="597"/>
      </w:tblGrid>
      <w:tr w14:paraId="70FAE578">
        <w:tblPrEx>
          <w:tblCellMar>
            <w:top w:w="0" w:type="dxa"/>
            <w:left w:w="108" w:type="dxa"/>
            <w:bottom w:w="0" w:type="dxa"/>
            <w:right w:w="108" w:type="dxa"/>
          </w:tblCellMar>
        </w:tblPrEx>
        <w:trPr>
          <w:cantSplit/>
          <w:trHeight w:val="255" w:hRule="atLeast"/>
        </w:trPr>
        <w:tc>
          <w:tcPr>
            <w:tcW w:w="640" w:type="pct"/>
            <w:gridSpan w:val="2"/>
            <w:tcBorders>
              <w:top w:val="nil"/>
              <w:left w:val="nil"/>
              <w:bottom w:val="nil"/>
              <w:right w:val="nil"/>
            </w:tcBorders>
            <w:shd w:val="clear" w:color="auto" w:fill="auto"/>
            <w:noWrap/>
            <w:vAlign w:val="center"/>
          </w:tcPr>
          <w:p w14:paraId="48B1DF52">
            <w:pPr>
              <w:widowControl/>
              <w:jc w:val="left"/>
              <w:rPr>
                <w:rFonts w:hint="default" w:ascii="Times New Roman" w:hAnsi="Times New Roman" w:cs="Times New Roman"/>
                <w:kern w:val="0"/>
                <w:sz w:val="20"/>
                <w:szCs w:val="20"/>
              </w:rPr>
            </w:pPr>
            <w:r>
              <w:rPr>
                <w:rFonts w:hint="default" w:ascii="Times New Roman" w:hAnsi="Times New Roman" w:eastAsia="方正仿宋_GBK" w:cs="Times New Roman"/>
                <w:color w:val="000000"/>
                <w:kern w:val="0"/>
                <w:sz w:val="20"/>
                <w:szCs w:val="20"/>
              </w:rPr>
              <w:t>表11</w:t>
            </w:r>
          </w:p>
        </w:tc>
        <w:tc>
          <w:tcPr>
            <w:tcW w:w="470" w:type="pct"/>
            <w:gridSpan w:val="2"/>
            <w:tcBorders>
              <w:top w:val="nil"/>
              <w:left w:val="nil"/>
              <w:bottom w:val="nil"/>
              <w:right w:val="nil"/>
            </w:tcBorders>
            <w:shd w:val="clear" w:color="auto" w:fill="auto"/>
            <w:noWrap/>
            <w:vAlign w:val="bottom"/>
          </w:tcPr>
          <w:p w14:paraId="320CC7DD">
            <w:pPr>
              <w:widowControl/>
              <w:jc w:val="left"/>
              <w:rPr>
                <w:rFonts w:hint="default" w:ascii="Times New Roman" w:hAnsi="Times New Roman" w:cs="Times New Roman"/>
                <w:kern w:val="0"/>
                <w:sz w:val="20"/>
                <w:szCs w:val="20"/>
              </w:rPr>
            </w:pPr>
          </w:p>
        </w:tc>
        <w:tc>
          <w:tcPr>
            <w:tcW w:w="467" w:type="pct"/>
            <w:tcBorders>
              <w:top w:val="nil"/>
              <w:left w:val="nil"/>
              <w:bottom w:val="nil"/>
              <w:right w:val="nil"/>
            </w:tcBorders>
            <w:shd w:val="clear" w:color="auto" w:fill="auto"/>
            <w:noWrap/>
            <w:vAlign w:val="bottom"/>
          </w:tcPr>
          <w:p w14:paraId="2BE37A5F">
            <w:pPr>
              <w:widowControl/>
              <w:jc w:val="left"/>
              <w:rPr>
                <w:rFonts w:hint="default" w:ascii="Times New Roman" w:hAnsi="Times New Roman" w:cs="Times New Roman"/>
                <w:kern w:val="0"/>
                <w:sz w:val="20"/>
                <w:szCs w:val="20"/>
              </w:rPr>
            </w:pPr>
          </w:p>
        </w:tc>
        <w:tc>
          <w:tcPr>
            <w:tcW w:w="467" w:type="pct"/>
            <w:gridSpan w:val="3"/>
            <w:tcBorders>
              <w:top w:val="nil"/>
              <w:left w:val="nil"/>
              <w:bottom w:val="nil"/>
              <w:right w:val="nil"/>
            </w:tcBorders>
            <w:shd w:val="clear" w:color="auto" w:fill="auto"/>
            <w:noWrap/>
            <w:vAlign w:val="bottom"/>
          </w:tcPr>
          <w:p w14:paraId="24C37B30">
            <w:pPr>
              <w:widowControl/>
              <w:jc w:val="left"/>
              <w:rPr>
                <w:rFonts w:hint="default" w:ascii="Times New Roman" w:hAnsi="Times New Roman" w:cs="Times New Roman"/>
                <w:kern w:val="0"/>
                <w:sz w:val="20"/>
                <w:szCs w:val="20"/>
              </w:rPr>
            </w:pPr>
          </w:p>
        </w:tc>
        <w:tc>
          <w:tcPr>
            <w:tcW w:w="467" w:type="pct"/>
            <w:tcBorders>
              <w:top w:val="nil"/>
              <w:left w:val="nil"/>
              <w:bottom w:val="nil"/>
              <w:right w:val="nil"/>
            </w:tcBorders>
            <w:shd w:val="clear" w:color="auto" w:fill="auto"/>
            <w:noWrap/>
            <w:vAlign w:val="bottom"/>
          </w:tcPr>
          <w:p w14:paraId="17E24A90">
            <w:pPr>
              <w:widowControl/>
              <w:jc w:val="left"/>
              <w:rPr>
                <w:rFonts w:hint="default" w:ascii="Times New Roman" w:hAnsi="Times New Roman" w:cs="Times New Roman"/>
                <w:kern w:val="0"/>
                <w:sz w:val="20"/>
                <w:szCs w:val="20"/>
              </w:rPr>
            </w:pPr>
          </w:p>
        </w:tc>
        <w:tc>
          <w:tcPr>
            <w:tcW w:w="490" w:type="pct"/>
            <w:gridSpan w:val="2"/>
            <w:tcBorders>
              <w:top w:val="nil"/>
              <w:left w:val="nil"/>
              <w:bottom w:val="nil"/>
              <w:right w:val="nil"/>
            </w:tcBorders>
            <w:shd w:val="clear" w:color="auto" w:fill="auto"/>
            <w:noWrap/>
            <w:vAlign w:val="bottom"/>
          </w:tcPr>
          <w:p w14:paraId="7CB2EDE1">
            <w:pPr>
              <w:widowControl/>
              <w:jc w:val="left"/>
              <w:rPr>
                <w:rFonts w:hint="default" w:ascii="Times New Roman" w:hAnsi="Times New Roman" w:cs="Times New Roman"/>
                <w:kern w:val="0"/>
                <w:sz w:val="20"/>
                <w:szCs w:val="20"/>
              </w:rPr>
            </w:pPr>
          </w:p>
        </w:tc>
        <w:tc>
          <w:tcPr>
            <w:tcW w:w="666" w:type="pct"/>
            <w:gridSpan w:val="2"/>
            <w:tcBorders>
              <w:top w:val="nil"/>
              <w:left w:val="nil"/>
              <w:bottom w:val="nil"/>
              <w:right w:val="nil"/>
            </w:tcBorders>
            <w:shd w:val="clear" w:color="auto" w:fill="auto"/>
            <w:noWrap/>
            <w:vAlign w:val="bottom"/>
          </w:tcPr>
          <w:p w14:paraId="74BA6224">
            <w:pPr>
              <w:widowControl/>
              <w:jc w:val="left"/>
              <w:rPr>
                <w:rFonts w:hint="default" w:ascii="Times New Roman" w:hAnsi="Times New Roman" w:cs="Times New Roman"/>
                <w:kern w:val="0"/>
                <w:sz w:val="20"/>
                <w:szCs w:val="20"/>
              </w:rPr>
            </w:pPr>
          </w:p>
        </w:tc>
        <w:tc>
          <w:tcPr>
            <w:tcW w:w="628" w:type="pct"/>
            <w:tcBorders>
              <w:top w:val="nil"/>
              <w:left w:val="nil"/>
              <w:bottom w:val="nil"/>
              <w:right w:val="nil"/>
            </w:tcBorders>
            <w:shd w:val="clear" w:color="auto" w:fill="auto"/>
            <w:noWrap/>
            <w:vAlign w:val="bottom"/>
          </w:tcPr>
          <w:p w14:paraId="1250FEF4">
            <w:pPr>
              <w:widowControl/>
              <w:jc w:val="left"/>
              <w:rPr>
                <w:rFonts w:hint="default" w:ascii="Times New Roman" w:hAnsi="Times New Roman" w:cs="Times New Roman"/>
                <w:kern w:val="0"/>
                <w:sz w:val="20"/>
                <w:szCs w:val="20"/>
              </w:rPr>
            </w:pPr>
          </w:p>
        </w:tc>
        <w:tc>
          <w:tcPr>
            <w:tcW w:w="351" w:type="pct"/>
            <w:tcBorders>
              <w:top w:val="nil"/>
              <w:left w:val="nil"/>
              <w:bottom w:val="nil"/>
              <w:right w:val="nil"/>
            </w:tcBorders>
            <w:shd w:val="clear" w:color="auto" w:fill="auto"/>
            <w:noWrap/>
            <w:vAlign w:val="bottom"/>
          </w:tcPr>
          <w:p w14:paraId="6A6E43BA">
            <w:pPr>
              <w:widowControl/>
              <w:jc w:val="left"/>
              <w:rPr>
                <w:rFonts w:hint="default" w:ascii="Times New Roman" w:hAnsi="Times New Roman" w:cs="Times New Roman"/>
                <w:kern w:val="0"/>
                <w:sz w:val="20"/>
                <w:szCs w:val="20"/>
              </w:rPr>
            </w:pPr>
          </w:p>
        </w:tc>
        <w:tc>
          <w:tcPr>
            <w:tcW w:w="350" w:type="pct"/>
            <w:tcBorders>
              <w:top w:val="nil"/>
              <w:left w:val="nil"/>
              <w:bottom w:val="nil"/>
              <w:right w:val="nil"/>
            </w:tcBorders>
            <w:shd w:val="clear" w:color="auto" w:fill="auto"/>
            <w:noWrap/>
            <w:vAlign w:val="bottom"/>
          </w:tcPr>
          <w:p w14:paraId="4C59D6B9">
            <w:pPr>
              <w:widowControl/>
              <w:jc w:val="left"/>
              <w:rPr>
                <w:rFonts w:hint="default" w:ascii="Times New Roman" w:hAnsi="Times New Roman" w:cs="Times New Roman"/>
                <w:kern w:val="0"/>
                <w:sz w:val="20"/>
                <w:szCs w:val="20"/>
              </w:rPr>
            </w:pPr>
          </w:p>
        </w:tc>
      </w:tr>
      <w:tr w14:paraId="5694F165">
        <w:tblPrEx>
          <w:tblCellMar>
            <w:top w:w="0" w:type="dxa"/>
            <w:left w:w="108" w:type="dxa"/>
            <w:bottom w:w="0" w:type="dxa"/>
            <w:right w:w="108" w:type="dxa"/>
          </w:tblCellMar>
        </w:tblPrEx>
        <w:trPr>
          <w:cantSplit/>
          <w:trHeight w:val="405" w:hRule="atLeast"/>
        </w:trPr>
        <w:tc>
          <w:tcPr>
            <w:tcW w:w="5000" w:type="pct"/>
            <w:gridSpan w:val="16"/>
            <w:tcBorders>
              <w:top w:val="nil"/>
              <w:left w:val="nil"/>
              <w:bottom w:val="nil"/>
              <w:right w:val="nil"/>
            </w:tcBorders>
            <w:shd w:val="clear" w:color="auto" w:fill="auto"/>
            <w:noWrap/>
            <w:vAlign w:val="center"/>
          </w:tcPr>
          <w:p w14:paraId="1B050577">
            <w:pPr>
              <w:widowControl/>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lang w:eastAsia="zh-CN"/>
              </w:rPr>
              <w:t>萧县</w:t>
            </w:r>
            <w:r>
              <w:rPr>
                <w:rFonts w:hint="eastAsia" w:ascii="Times New Roman" w:hAnsi="Times New Roman" w:eastAsia="方正仿宋_GBK" w:cs="Times New Roman"/>
                <w:b/>
                <w:bCs/>
                <w:color w:val="000000"/>
                <w:kern w:val="0"/>
                <w:sz w:val="32"/>
                <w:szCs w:val="32"/>
                <w:lang w:val="en-US" w:eastAsia="zh-CN"/>
              </w:rPr>
              <w:t>青龙集镇人民政府</w:t>
            </w:r>
            <w:r>
              <w:rPr>
                <w:rFonts w:hint="default" w:ascii="Times New Roman" w:hAnsi="Times New Roman" w:eastAsia="方正仿宋_GBK" w:cs="Times New Roman"/>
                <w:b/>
                <w:bCs/>
                <w:color w:val="000000"/>
                <w:kern w:val="0"/>
                <w:sz w:val="32"/>
                <w:szCs w:val="32"/>
              </w:rPr>
              <w:t>2026年政府购买服务支出表</w:t>
            </w:r>
          </w:p>
        </w:tc>
      </w:tr>
      <w:tr w14:paraId="60BCA512">
        <w:tblPrEx>
          <w:tblCellMar>
            <w:top w:w="0" w:type="dxa"/>
            <w:left w:w="108" w:type="dxa"/>
            <w:bottom w:w="0" w:type="dxa"/>
            <w:right w:w="108" w:type="dxa"/>
          </w:tblCellMar>
        </w:tblPrEx>
        <w:trPr>
          <w:cantSplit/>
          <w:trHeight w:val="450" w:hRule="atLeast"/>
        </w:trPr>
        <w:tc>
          <w:tcPr>
            <w:tcW w:w="2512" w:type="pct"/>
            <w:gridSpan w:val="9"/>
            <w:tcBorders>
              <w:top w:val="nil"/>
              <w:left w:val="nil"/>
              <w:bottom w:val="nil"/>
              <w:right w:val="nil"/>
            </w:tcBorders>
            <w:shd w:val="clear" w:color="auto" w:fill="auto"/>
            <w:noWrap/>
            <w:vAlign w:val="center"/>
          </w:tcPr>
          <w:p w14:paraId="74764AE6">
            <w:pPr>
              <w:widowControl/>
              <w:jc w:val="both"/>
              <w:rPr>
                <w:rFonts w:hint="default" w:ascii="Times New Roman" w:hAnsi="Times New Roman" w:cs="Times New Roman"/>
                <w:b/>
                <w:bCs/>
                <w:color w:val="000000"/>
                <w:kern w:val="0"/>
                <w:sz w:val="36"/>
                <w:szCs w:val="36"/>
              </w:rPr>
            </w:pPr>
            <w:r>
              <w:rPr>
                <w:rFonts w:hint="eastAsia" w:ascii="宋体" w:hAnsi="宋体" w:eastAsia="宋体" w:cs="宋体"/>
                <w:i w:val="0"/>
                <w:iCs w:val="0"/>
                <w:color w:val="000000"/>
                <w:kern w:val="0"/>
                <w:sz w:val="20"/>
                <w:szCs w:val="20"/>
                <w:u w:val="none"/>
                <w:lang w:val="en-US" w:eastAsia="zh-CN" w:bidi="ar"/>
              </w:rPr>
              <w:t>部门名称:萧县青龙集镇人民政府</w:t>
            </w:r>
          </w:p>
        </w:tc>
        <w:tc>
          <w:tcPr>
            <w:tcW w:w="360" w:type="pct"/>
            <w:tcBorders>
              <w:top w:val="nil"/>
              <w:left w:val="nil"/>
              <w:bottom w:val="nil"/>
              <w:right w:val="nil"/>
            </w:tcBorders>
            <w:shd w:val="clear" w:color="auto" w:fill="auto"/>
            <w:noWrap/>
            <w:vAlign w:val="bottom"/>
          </w:tcPr>
          <w:p w14:paraId="7071402A">
            <w:pPr>
              <w:widowControl/>
              <w:jc w:val="left"/>
              <w:rPr>
                <w:rFonts w:hint="default" w:ascii="Times New Roman" w:hAnsi="Times New Roman" w:cs="Times New Roman"/>
                <w:kern w:val="0"/>
                <w:sz w:val="20"/>
                <w:szCs w:val="20"/>
              </w:rPr>
            </w:pPr>
          </w:p>
        </w:tc>
        <w:tc>
          <w:tcPr>
            <w:tcW w:w="781" w:type="pct"/>
            <w:gridSpan w:val="2"/>
            <w:tcBorders>
              <w:top w:val="nil"/>
              <w:left w:val="nil"/>
              <w:bottom w:val="nil"/>
              <w:right w:val="nil"/>
            </w:tcBorders>
            <w:shd w:val="clear" w:color="auto" w:fill="auto"/>
            <w:noWrap/>
            <w:vAlign w:val="bottom"/>
          </w:tcPr>
          <w:p w14:paraId="1755FB15">
            <w:pPr>
              <w:widowControl/>
              <w:jc w:val="left"/>
              <w:rPr>
                <w:rFonts w:hint="default" w:ascii="Times New Roman" w:hAnsi="Times New Roman" w:cs="Times New Roman"/>
                <w:kern w:val="0"/>
                <w:sz w:val="20"/>
                <w:szCs w:val="20"/>
              </w:rPr>
            </w:pPr>
          </w:p>
        </w:tc>
        <w:tc>
          <w:tcPr>
            <w:tcW w:w="643" w:type="pct"/>
            <w:gridSpan w:val="2"/>
            <w:tcBorders>
              <w:top w:val="nil"/>
              <w:left w:val="nil"/>
              <w:bottom w:val="nil"/>
              <w:right w:val="nil"/>
            </w:tcBorders>
            <w:shd w:val="clear" w:color="auto" w:fill="auto"/>
            <w:noWrap/>
            <w:vAlign w:val="bottom"/>
          </w:tcPr>
          <w:p w14:paraId="0764BBBD">
            <w:pPr>
              <w:widowControl/>
              <w:jc w:val="left"/>
              <w:rPr>
                <w:rFonts w:hint="default" w:ascii="Times New Roman" w:hAnsi="Times New Roman" w:cs="Times New Roman"/>
                <w:kern w:val="0"/>
                <w:sz w:val="20"/>
                <w:szCs w:val="20"/>
              </w:rPr>
            </w:pPr>
          </w:p>
        </w:tc>
        <w:tc>
          <w:tcPr>
            <w:tcW w:w="701" w:type="pct"/>
            <w:gridSpan w:val="2"/>
            <w:tcBorders>
              <w:top w:val="nil"/>
              <w:left w:val="nil"/>
              <w:bottom w:val="single" w:color="000000" w:sz="4" w:space="0"/>
              <w:right w:val="nil"/>
            </w:tcBorders>
            <w:shd w:val="clear" w:color="auto" w:fill="auto"/>
            <w:noWrap/>
            <w:vAlign w:val="center"/>
          </w:tcPr>
          <w:p w14:paraId="26D96EF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20911118">
        <w:tblPrEx>
          <w:tblCellMar>
            <w:top w:w="0" w:type="dxa"/>
            <w:left w:w="108" w:type="dxa"/>
            <w:bottom w:w="0" w:type="dxa"/>
            <w:right w:w="108" w:type="dxa"/>
          </w:tblCellMar>
        </w:tblPrEx>
        <w:trPr>
          <w:cantSplit/>
          <w:trHeight w:val="7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DE40C">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单位名称</w:t>
            </w:r>
          </w:p>
        </w:tc>
        <w:tc>
          <w:tcPr>
            <w:tcW w:w="393" w:type="pct"/>
            <w:gridSpan w:val="2"/>
            <w:tcBorders>
              <w:top w:val="single" w:color="000000" w:sz="4" w:space="0"/>
              <w:left w:val="nil"/>
              <w:bottom w:val="single" w:color="000000" w:sz="4" w:space="0"/>
              <w:right w:val="single" w:color="000000" w:sz="4" w:space="0"/>
            </w:tcBorders>
            <w:shd w:val="clear" w:color="auto" w:fill="auto"/>
            <w:noWrap w:val="0"/>
            <w:vAlign w:val="center"/>
          </w:tcPr>
          <w:p w14:paraId="5CE147E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项目名称</w:t>
            </w:r>
          </w:p>
        </w:tc>
        <w:tc>
          <w:tcPr>
            <w:tcW w:w="343" w:type="pct"/>
            <w:tcBorders>
              <w:top w:val="single" w:color="000000" w:sz="4" w:space="0"/>
              <w:left w:val="nil"/>
              <w:bottom w:val="single" w:color="000000" w:sz="4" w:space="0"/>
              <w:right w:val="single" w:color="000000" w:sz="4" w:space="0"/>
            </w:tcBorders>
            <w:shd w:val="clear" w:color="auto" w:fill="auto"/>
            <w:noWrap w:val="0"/>
            <w:vAlign w:val="center"/>
          </w:tcPr>
          <w:p w14:paraId="3CB57DD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一级目录代码</w:t>
            </w:r>
          </w:p>
        </w:tc>
        <w:tc>
          <w:tcPr>
            <w:tcW w:w="538" w:type="pct"/>
            <w:gridSpan w:val="2"/>
            <w:tcBorders>
              <w:top w:val="single" w:color="000000" w:sz="4" w:space="0"/>
              <w:left w:val="nil"/>
              <w:bottom w:val="single" w:color="000000" w:sz="4" w:space="0"/>
              <w:right w:val="single" w:color="000000" w:sz="4" w:space="0"/>
            </w:tcBorders>
            <w:shd w:val="clear" w:color="auto" w:fill="auto"/>
            <w:noWrap w:val="0"/>
            <w:vAlign w:val="center"/>
          </w:tcPr>
          <w:p w14:paraId="4DC0320B">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一级目录名称</w:t>
            </w:r>
          </w:p>
        </w:tc>
        <w:tc>
          <w:tcPr>
            <w:tcW w:w="343" w:type="pct"/>
            <w:tcBorders>
              <w:top w:val="single" w:color="000000" w:sz="4" w:space="0"/>
              <w:left w:val="nil"/>
              <w:bottom w:val="single" w:color="000000" w:sz="4" w:space="0"/>
              <w:right w:val="single" w:color="000000" w:sz="4" w:space="0"/>
            </w:tcBorders>
            <w:shd w:val="clear" w:color="auto" w:fill="auto"/>
            <w:noWrap w:val="0"/>
            <w:vAlign w:val="center"/>
          </w:tcPr>
          <w:p w14:paraId="7C90290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二级目录代码</w:t>
            </w:r>
          </w:p>
        </w:tc>
        <w:tc>
          <w:tcPr>
            <w:tcW w:w="519" w:type="pct"/>
            <w:gridSpan w:val="2"/>
            <w:tcBorders>
              <w:top w:val="single" w:color="000000" w:sz="4" w:space="0"/>
              <w:left w:val="nil"/>
              <w:bottom w:val="single" w:color="000000" w:sz="4" w:space="0"/>
              <w:right w:val="single" w:color="000000" w:sz="4" w:space="0"/>
            </w:tcBorders>
            <w:shd w:val="clear" w:color="auto" w:fill="auto"/>
            <w:noWrap w:val="0"/>
            <w:vAlign w:val="center"/>
          </w:tcPr>
          <w:p w14:paraId="087F918B">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二级目录名称</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650C9EBD">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三级目录代码</w:t>
            </w:r>
          </w:p>
        </w:tc>
        <w:tc>
          <w:tcPr>
            <w:tcW w:w="781" w:type="pct"/>
            <w:gridSpan w:val="2"/>
            <w:tcBorders>
              <w:top w:val="single" w:color="000000" w:sz="4" w:space="0"/>
              <w:left w:val="nil"/>
              <w:bottom w:val="single" w:color="000000" w:sz="4" w:space="0"/>
              <w:right w:val="single" w:color="000000" w:sz="4" w:space="0"/>
            </w:tcBorders>
            <w:shd w:val="clear" w:color="auto" w:fill="auto"/>
            <w:noWrap/>
            <w:vAlign w:val="center"/>
          </w:tcPr>
          <w:p w14:paraId="0D29E56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三级目录名称</w:t>
            </w:r>
          </w:p>
        </w:tc>
        <w:tc>
          <w:tcPr>
            <w:tcW w:w="643" w:type="pct"/>
            <w:gridSpan w:val="2"/>
            <w:tcBorders>
              <w:top w:val="single" w:color="000000" w:sz="4" w:space="0"/>
              <w:left w:val="nil"/>
              <w:bottom w:val="single" w:color="000000" w:sz="4" w:space="0"/>
              <w:right w:val="single" w:color="000000" w:sz="4" w:space="0"/>
            </w:tcBorders>
            <w:shd w:val="clear" w:color="auto" w:fill="auto"/>
            <w:noWrap/>
            <w:vAlign w:val="center"/>
          </w:tcPr>
          <w:p w14:paraId="315998DA">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政府购买服务内容</w:t>
            </w:r>
          </w:p>
        </w:tc>
        <w:tc>
          <w:tcPr>
            <w:tcW w:w="351" w:type="pct"/>
            <w:tcBorders>
              <w:top w:val="nil"/>
              <w:left w:val="nil"/>
              <w:bottom w:val="single" w:color="000000" w:sz="4" w:space="0"/>
              <w:right w:val="single" w:color="000000" w:sz="4" w:space="0"/>
            </w:tcBorders>
            <w:shd w:val="clear" w:color="auto" w:fill="auto"/>
            <w:noWrap/>
            <w:vAlign w:val="center"/>
          </w:tcPr>
          <w:p w14:paraId="4920C747">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购买数量</w:t>
            </w:r>
          </w:p>
        </w:tc>
        <w:tc>
          <w:tcPr>
            <w:tcW w:w="350" w:type="pct"/>
            <w:tcBorders>
              <w:top w:val="nil"/>
              <w:left w:val="nil"/>
              <w:bottom w:val="single" w:color="000000" w:sz="4" w:space="0"/>
              <w:right w:val="single" w:color="000000" w:sz="4" w:space="0"/>
            </w:tcBorders>
            <w:shd w:val="clear" w:color="auto" w:fill="auto"/>
            <w:noWrap/>
            <w:vAlign w:val="center"/>
          </w:tcPr>
          <w:p w14:paraId="29D82EBB">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购买金额</w:t>
            </w:r>
          </w:p>
        </w:tc>
      </w:tr>
      <w:tr w14:paraId="0B434840">
        <w:tblPrEx>
          <w:tblCellMar>
            <w:top w:w="0" w:type="dxa"/>
            <w:left w:w="108" w:type="dxa"/>
            <w:bottom w:w="0" w:type="dxa"/>
            <w:right w:w="108" w:type="dxa"/>
          </w:tblCellMar>
        </w:tblPrEx>
        <w:trPr>
          <w:cantSplit/>
          <w:trHeight w:val="900" w:hRule="atLeast"/>
        </w:trPr>
        <w:tc>
          <w:tcPr>
            <w:tcW w:w="374" w:type="pct"/>
            <w:tcBorders>
              <w:top w:val="nil"/>
              <w:left w:val="single" w:color="000000" w:sz="4" w:space="0"/>
              <w:bottom w:val="single" w:color="000000" w:sz="4" w:space="0"/>
              <w:right w:val="single" w:color="000000" w:sz="4" w:space="0"/>
            </w:tcBorders>
            <w:shd w:val="clear" w:color="auto" w:fill="auto"/>
            <w:noWrap w:val="0"/>
            <w:vAlign w:val="center"/>
          </w:tcPr>
          <w:p w14:paraId="231E40E4">
            <w:pPr>
              <w:widowControl/>
              <w:jc w:val="left"/>
              <w:rPr>
                <w:rFonts w:hint="default" w:ascii="Times New Roman" w:hAnsi="Times New Roman" w:eastAsia="方正仿宋_GBK" w:cs="Times New Roman"/>
                <w:color w:val="000000"/>
                <w:kern w:val="0"/>
                <w:sz w:val="20"/>
                <w:szCs w:val="20"/>
              </w:rPr>
            </w:pPr>
          </w:p>
        </w:tc>
        <w:tc>
          <w:tcPr>
            <w:tcW w:w="393" w:type="pct"/>
            <w:gridSpan w:val="2"/>
            <w:tcBorders>
              <w:top w:val="nil"/>
              <w:left w:val="nil"/>
              <w:bottom w:val="single" w:color="000000" w:sz="4" w:space="0"/>
              <w:right w:val="single" w:color="000000" w:sz="4" w:space="0"/>
            </w:tcBorders>
            <w:shd w:val="clear" w:color="auto" w:fill="auto"/>
            <w:noWrap/>
            <w:vAlign w:val="center"/>
          </w:tcPr>
          <w:p w14:paraId="7EF88185">
            <w:pPr>
              <w:widowControl/>
              <w:jc w:val="left"/>
              <w:rPr>
                <w:rFonts w:hint="default" w:ascii="Times New Roman" w:hAnsi="Times New Roman" w:eastAsia="方正仿宋_GBK" w:cs="Times New Roman"/>
                <w:color w:val="000000"/>
                <w:kern w:val="0"/>
                <w:sz w:val="22"/>
                <w:szCs w:val="22"/>
              </w:rPr>
            </w:pPr>
          </w:p>
        </w:tc>
        <w:tc>
          <w:tcPr>
            <w:tcW w:w="343" w:type="pct"/>
            <w:tcBorders>
              <w:top w:val="nil"/>
              <w:left w:val="nil"/>
              <w:bottom w:val="single" w:color="000000" w:sz="4" w:space="0"/>
              <w:right w:val="single" w:color="000000" w:sz="4" w:space="0"/>
            </w:tcBorders>
            <w:shd w:val="clear" w:color="auto" w:fill="auto"/>
            <w:noWrap w:val="0"/>
            <w:vAlign w:val="center"/>
          </w:tcPr>
          <w:p w14:paraId="10F73B05">
            <w:pPr>
              <w:widowControl/>
              <w:jc w:val="left"/>
              <w:rPr>
                <w:rFonts w:hint="default" w:ascii="Times New Roman" w:hAnsi="Times New Roman" w:eastAsia="方正仿宋_GBK" w:cs="Times New Roman"/>
                <w:color w:val="000000"/>
                <w:kern w:val="0"/>
                <w:sz w:val="20"/>
                <w:szCs w:val="20"/>
              </w:rPr>
            </w:pPr>
          </w:p>
        </w:tc>
        <w:tc>
          <w:tcPr>
            <w:tcW w:w="538" w:type="pct"/>
            <w:gridSpan w:val="2"/>
            <w:tcBorders>
              <w:top w:val="nil"/>
              <w:left w:val="nil"/>
              <w:bottom w:val="single" w:color="000000" w:sz="4" w:space="0"/>
              <w:right w:val="single" w:color="000000" w:sz="4" w:space="0"/>
            </w:tcBorders>
            <w:shd w:val="clear" w:color="auto" w:fill="auto"/>
            <w:noWrap w:val="0"/>
            <w:vAlign w:val="center"/>
          </w:tcPr>
          <w:p w14:paraId="3CD075BA">
            <w:pPr>
              <w:widowControl/>
              <w:jc w:val="left"/>
              <w:rPr>
                <w:rFonts w:hint="default" w:ascii="Times New Roman" w:hAnsi="Times New Roman" w:eastAsia="方正仿宋_GBK" w:cs="Times New Roman"/>
                <w:color w:val="000000"/>
                <w:kern w:val="0"/>
                <w:sz w:val="20"/>
                <w:szCs w:val="20"/>
              </w:rPr>
            </w:pPr>
          </w:p>
        </w:tc>
        <w:tc>
          <w:tcPr>
            <w:tcW w:w="343" w:type="pct"/>
            <w:tcBorders>
              <w:top w:val="nil"/>
              <w:left w:val="nil"/>
              <w:bottom w:val="single" w:color="000000" w:sz="4" w:space="0"/>
              <w:right w:val="single" w:color="000000" w:sz="4" w:space="0"/>
            </w:tcBorders>
            <w:shd w:val="clear" w:color="auto" w:fill="auto"/>
            <w:noWrap w:val="0"/>
            <w:vAlign w:val="center"/>
          </w:tcPr>
          <w:p w14:paraId="1A8A9875">
            <w:pPr>
              <w:widowControl/>
              <w:jc w:val="left"/>
              <w:rPr>
                <w:rFonts w:hint="default" w:ascii="Times New Roman" w:hAnsi="Times New Roman" w:eastAsia="方正仿宋_GBK" w:cs="Times New Roman"/>
                <w:color w:val="000000"/>
                <w:kern w:val="0"/>
                <w:sz w:val="20"/>
                <w:szCs w:val="20"/>
              </w:rPr>
            </w:pPr>
          </w:p>
        </w:tc>
        <w:tc>
          <w:tcPr>
            <w:tcW w:w="519" w:type="pct"/>
            <w:gridSpan w:val="2"/>
            <w:tcBorders>
              <w:top w:val="nil"/>
              <w:left w:val="nil"/>
              <w:bottom w:val="single" w:color="000000" w:sz="4" w:space="0"/>
              <w:right w:val="single" w:color="000000" w:sz="4" w:space="0"/>
            </w:tcBorders>
            <w:shd w:val="clear" w:color="auto" w:fill="auto"/>
            <w:noWrap w:val="0"/>
            <w:vAlign w:val="center"/>
          </w:tcPr>
          <w:p w14:paraId="27ED97AC">
            <w:pPr>
              <w:widowControl/>
              <w:jc w:val="left"/>
              <w:rPr>
                <w:rFonts w:hint="default" w:ascii="Times New Roman" w:hAnsi="Times New Roman" w:eastAsia="方正仿宋_GBK" w:cs="Times New Roman"/>
                <w:color w:val="000000"/>
                <w:kern w:val="0"/>
                <w:sz w:val="20"/>
                <w:szCs w:val="20"/>
              </w:rPr>
            </w:pPr>
          </w:p>
        </w:tc>
        <w:tc>
          <w:tcPr>
            <w:tcW w:w="360" w:type="pct"/>
            <w:tcBorders>
              <w:top w:val="nil"/>
              <w:left w:val="nil"/>
              <w:bottom w:val="single" w:color="000000" w:sz="4" w:space="0"/>
              <w:right w:val="single" w:color="000000" w:sz="4" w:space="0"/>
            </w:tcBorders>
            <w:shd w:val="clear" w:color="auto" w:fill="auto"/>
            <w:noWrap w:val="0"/>
            <w:vAlign w:val="center"/>
          </w:tcPr>
          <w:p w14:paraId="74D395DA">
            <w:pPr>
              <w:widowControl/>
              <w:jc w:val="left"/>
              <w:rPr>
                <w:rFonts w:hint="default" w:ascii="Times New Roman" w:hAnsi="Times New Roman" w:eastAsia="方正仿宋_GBK" w:cs="Times New Roman"/>
                <w:color w:val="000000"/>
                <w:kern w:val="0"/>
                <w:sz w:val="20"/>
                <w:szCs w:val="20"/>
              </w:rPr>
            </w:pPr>
          </w:p>
        </w:tc>
        <w:tc>
          <w:tcPr>
            <w:tcW w:w="781" w:type="pct"/>
            <w:gridSpan w:val="2"/>
            <w:tcBorders>
              <w:top w:val="nil"/>
              <w:left w:val="nil"/>
              <w:bottom w:val="single" w:color="000000" w:sz="4" w:space="0"/>
              <w:right w:val="single" w:color="000000" w:sz="4" w:space="0"/>
            </w:tcBorders>
            <w:shd w:val="clear" w:color="auto" w:fill="auto"/>
            <w:noWrap w:val="0"/>
            <w:vAlign w:val="center"/>
          </w:tcPr>
          <w:p w14:paraId="09E88F66">
            <w:pPr>
              <w:widowControl/>
              <w:jc w:val="left"/>
              <w:rPr>
                <w:rFonts w:hint="default" w:ascii="Times New Roman" w:hAnsi="Times New Roman" w:eastAsia="方正仿宋_GBK" w:cs="Times New Roman"/>
                <w:color w:val="000000"/>
                <w:kern w:val="0"/>
                <w:sz w:val="20"/>
                <w:szCs w:val="20"/>
              </w:rPr>
            </w:pPr>
          </w:p>
        </w:tc>
        <w:tc>
          <w:tcPr>
            <w:tcW w:w="643" w:type="pct"/>
            <w:gridSpan w:val="2"/>
            <w:tcBorders>
              <w:top w:val="nil"/>
              <w:left w:val="nil"/>
              <w:bottom w:val="single" w:color="000000" w:sz="4" w:space="0"/>
              <w:right w:val="single" w:color="000000" w:sz="4" w:space="0"/>
            </w:tcBorders>
            <w:shd w:val="clear" w:color="auto" w:fill="auto"/>
            <w:noWrap w:val="0"/>
            <w:vAlign w:val="center"/>
          </w:tcPr>
          <w:p w14:paraId="6D3F5666">
            <w:pPr>
              <w:widowControl/>
              <w:jc w:val="left"/>
              <w:rPr>
                <w:rFonts w:hint="default" w:ascii="Times New Roman" w:hAnsi="Times New Roman" w:eastAsia="方正仿宋_GBK" w:cs="Times New Roman"/>
                <w:color w:val="000000"/>
                <w:kern w:val="0"/>
                <w:sz w:val="20"/>
                <w:szCs w:val="20"/>
              </w:rPr>
            </w:pPr>
          </w:p>
        </w:tc>
        <w:tc>
          <w:tcPr>
            <w:tcW w:w="351" w:type="pct"/>
            <w:tcBorders>
              <w:top w:val="nil"/>
              <w:left w:val="nil"/>
              <w:bottom w:val="single" w:color="000000" w:sz="4" w:space="0"/>
              <w:right w:val="single" w:color="000000" w:sz="4" w:space="0"/>
            </w:tcBorders>
            <w:shd w:val="clear" w:color="auto" w:fill="auto"/>
            <w:noWrap/>
            <w:vAlign w:val="center"/>
          </w:tcPr>
          <w:p w14:paraId="6AF873A7">
            <w:pPr>
              <w:widowControl/>
              <w:jc w:val="center"/>
              <w:rPr>
                <w:rFonts w:hint="default" w:ascii="Times New Roman" w:hAnsi="Times New Roman" w:eastAsia="方正仿宋_GBK" w:cs="Times New Roman"/>
                <w:color w:val="000000"/>
                <w:kern w:val="0"/>
                <w:sz w:val="20"/>
                <w:szCs w:val="20"/>
              </w:rPr>
            </w:pPr>
          </w:p>
        </w:tc>
        <w:tc>
          <w:tcPr>
            <w:tcW w:w="350" w:type="pct"/>
            <w:tcBorders>
              <w:top w:val="nil"/>
              <w:left w:val="nil"/>
              <w:bottom w:val="single" w:color="000000" w:sz="4" w:space="0"/>
              <w:right w:val="single" w:color="000000" w:sz="4" w:space="0"/>
            </w:tcBorders>
            <w:shd w:val="clear" w:color="auto" w:fill="auto"/>
            <w:noWrap/>
            <w:vAlign w:val="center"/>
          </w:tcPr>
          <w:p w14:paraId="0E802B0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17619C2C">
        <w:tblPrEx>
          <w:tblCellMar>
            <w:top w:w="0" w:type="dxa"/>
            <w:left w:w="108" w:type="dxa"/>
            <w:bottom w:w="0" w:type="dxa"/>
            <w:right w:w="108" w:type="dxa"/>
          </w:tblCellMar>
        </w:tblPrEx>
        <w:trPr>
          <w:cantSplit/>
          <w:trHeight w:val="900" w:hRule="atLeast"/>
        </w:trPr>
        <w:tc>
          <w:tcPr>
            <w:tcW w:w="374" w:type="pct"/>
            <w:tcBorders>
              <w:top w:val="nil"/>
              <w:left w:val="single" w:color="000000" w:sz="4" w:space="0"/>
              <w:bottom w:val="single" w:color="000000" w:sz="4" w:space="0"/>
              <w:right w:val="single" w:color="000000" w:sz="4" w:space="0"/>
            </w:tcBorders>
            <w:shd w:val="clear" w:color="auto" w:fill="auto"/>
            <w:noWrap w:val="0"/>
            <w:vAlign w:val="center"/>
          </w:tcPr>
          <w:p w14:paraId="347BE7F4">
            <w:pPr>
              <w:widowControl/>
              <w:jc w:val="left"/>
              <w:rPr>
                <w:rFonts w:hint="default" w:ascii="Times New Roman" w:hAnsi="Times New Roman" w:eastAsia="方正仿宋_GBK" w:cs="Times New Roman"/>
                <w:color w:val="000000"/>
                <w:kern w:val="0"/>
                <w:sz w:val="20"/>
                <w:szCs w:val="20"/>
              </w:rPr>
            </w:pPr>
          </w:p>
        </w:tc>
        <w:tc>
          <w:tcPr>
            <w:tcW w:w="393" w:type="pct"/>
            <w:gridSpan w:val="2"/>
            <w:tcBorders>
              <w:top w:val="nil"/>
              <w:left w:val="nil"/>
              <w:bottom w:val="single" w:color="000000" w:sz="4" w:space="0"/>
              <w:right w:val="single" w:color="000000" w:sz="4" w:space="0"/>
            </w:tcBorders>
            <w:shd w:val="clear" w:color="auto" w:fill="auto"/>
            <w:noWrap/>
            <w:vAlign w:val="center"/>
          </w:tcPr>
          <w:p w14:paraId="021FFE48">
            <w:pPr>
              <w:widowControl/>
              <w:jc w:val="left"/>
              <w:rPr>
                <w:rFonts w:hint="default" w:ascii="Times New Roman" w:hAnsi="Times New Roman" w:eastAsia="方正仿宋_GBK" w:cs="Times New Roman"/>
                <w:color w:val="000000"/>
                <w:kern w:val="0"/>
                <w:sz w:val="22"/>
                <w:szCs w:val="22"/>
              </w:rPr>
            </w:pPr>
          </w:p>
        </w:tc>
        <w:tc>
          <w:tcPr>
            <w:tcW w:w="343" w:type="pct"/>
            <w:tcBorders>
              <w:top w:val="nil"/>
              <w:left w:val="nil"/>
              <w:bottom w:val="single" w:color="000000" w:sz="4" w:space="0"/>
              <w:right w:val="single" w:color="000000" w:sz="4" w:space="0"/>
            </w:tcBorders>
            <w:shd w:val="clear" w:color="auto" w:fill="auto"/>
            <w:noWrap w:val="0"/>
            <w:vAlign w:val="center"/>
          </w:tcPr>
          <w:p w14:paraId="5304B88F">
            <w:pPr>
              <w:widowControl/>
              <w:jc w:val="left"/>
              <w:rPr>
                <w:rFonts w:hint="default" w:ascii="Times New Roman" w:hAnsi="Times New Roman" w:eastAsia="方正仿宋_GBK" w:cs="Times New Roman"/>
                <w:color w:val="000000"/>
                <w:kern w:val="0"/>
                <w:sz w:val="20"/>
                <w:szCs w:val="20"/>
              </w:rPr>
            </w:pPr>
          </w:p>
        </w:tc>
        <w:tc>
          <w:tcPr>
            <w:tcW w:w="538" w:type="pct"/>
            <w:gridSpan w:val="2"/>
            <w:tcBorders>
              <w:top w:val="nil"/>
              <w:left w:val="nil"/>
              <w:bottom w:val="single" w:color="000000" w:sz="4" w:space="0"/>
              <w:right w:val="single" w:color="000000" w:sz="4" w:space="0"/>
            </w:tcBorders>
            <w:shd w:val="clear" w:color="auto" w:fill="auto"/>
            <w:noWrap w:val="0"/>
            <w:vAlign w:val="center"/>
          </w:tcPr>
          <w:p w14:paraId="3C2CD6F6">
            <w:pPr>
              <w:widowControl/>
              <w:jc w:val="left"/>
              <w:rPr>
                <w:rFonts w:hint="default" w:ascii="Times New Roman" w:hAnsi="Times New Roman" w:eastAsia="方正仿宋_GBK" w:cs="Times New Roman"/>
                <w:color w:val="000000"/>
                <w:kern w:val="0"/>
                <w:sz w:val="20"/>
                <w:szCs w:val="20"/>
              </w:rPr>
            </w:pPr>
          </w:p>
        </w:tc>
        <w:tc>
          <w:tcPr>
            <w:tcW w:w="343" w:type="pct"/>
            <w:tcBorders>
              <w:top w:val="nil"/>
              <w:left w:val="nil"/>
              <w:bottom w:val="single" w:color="000000" w:sz="4" w:space="0"/>
              <w:right w:val="single" w:color="000000" w:sz="4" w:space="0"/>
            </w:tcBorders>
            <w:shd w:val="clear" w:color="auto" w:fill="auto"/>
            <w:noWrap w:val="0"/>
            <w:vAlign w:val="center"/>
          </w:tcPr>
          <w:p w14:paraId="7037DE8F">
            <w:pPr>
              <w:widowControl/>
              <w:jc w:val="left"/>
              <w:rPr>
                <w:rFonts w:hint="default" w:ascii="Times New Roman" w:hAnsi="Times New Roman" w:eastAsia="方正仿宋_GBK" w:cs="Times New Roman"/>
                <w:color w:val="000000"/>
                <w:kern w:val="0"/>
                <w:sz w:val="20"/>
                <w:szCs w:val="20"/>
              </w:rPr>
            </w:pPr>
          </w:p>
        </w:tc>
        <w:tc>
          <w:tcPr>
            <w:tcW w:w="519" w:type="pct"/>
            <w:gridSpan w:val="2"/>
            <w:tcBorders>
              <w:top w:val="nil"/>
              <w:left w:val="nil"/>
              <w:bottom w:val="single" w:color="000000" w:sz="4" w:space="0"/>
              <w:right w:val="single" w:color="000000" w:sz="4" w:space="0"/>
            </w:tcBorders>
            <w:shd w:val="clear" w:color="auto" w:fill="auto"/>
            <w:noWrap w:val="0"/>
            <w:vAlign w:val="center"/>
          </w:tcPr>
          <w:p w14:paraId="68A76671">
            <w:pPr>
              <w:widowControl/>
              <w:jc w:val="left"/>
              <w:rPr>
                <w:rFonts w:hint="default" w:ascii="Times New Roman" w:hAnsi="Times New Roman" w:eastAsia="方正仿宋_GBK" w:cs="Times New Roman"/>
                <w:color w:val="000000"/>
                <w:kern w:val="0"/>
                <w:sz w:val="20"/>
                <w:szCs w:val="20"/>
              </w:rPr>
            </w:pPr>
          </w:p>
        </w:tc>
        <w:tc>
          <w:tcPr>
            <w:tcW w:w="360" w:type="pct"/>
            <w:tcBorders>
              <w:top w:val="nil"/>
              <w:left w:val="nil"/>
              <w:bottom w:val="single" w:color="000000" w:sz="4" w:space="0"/>
              <w:right w:val="single" w:color="000000" w:sz="4" w:space="0"/>
            </w:tcBorders>
            <w:shd w:val="clear" w:color="auto" w:fill="auto"/>
            <w:noWrap w:val="0"/>
            <w:vAlign w:val="center"/>
          </w:tcPr>
          <w:p w14:paraId="15862125">
            <w:pPr>
              <w:widowControl/>
              <w:jc w:val="left"/>
              <w:rPr>
                <w:rFonts w:hint="default" w:ascii="Times New Roman" w:hAnsi="Times New Roman" w:eastAsia="方正仿宋_GBK" w:cs="Times New Roman"/>
                <w:color w:val="000000"/>
                <w:kern w:val="0"/>
                <w:sz w:val="20"/>
                <w:szCs w:val="20"/>
              </w:rPr>
            </w:pPr>
          </w:p>
        </w:tc>
        <w:tc>
          <w:tcPr>
            <w:tcW w:w="781" w:type="pct"/>
            <w:gridSpan w:val="2"/>
            <w:tcBorders>
              <w:top w:val="nil"/>
              <w:left w:val="nil"/>
              <w:bottom w:val="single" w:color="000000" w:sz="4" w:space="0"/>
              <w:right w:val="single" w:color="000000" w:sz="4" w:space="0"/>
            </w:tcBorders>
            <w:shd w:val="clear" w:color="auto" w:fill="auto"/>
            <w:noWrap w:val="0"/>
            <w:vAlign w:val="center"/>
          </w:tcPr>
          <w:p w14:paraId="7DABA426">
            <w:pPr>
              <w:widowControl/>
              <w:jc w:val="left"/>
              <w:rPr>
                <w:rFonts w:hint="default" w:ascii="Times New Roman" w:hAnsi="Times New Roman" w:eastAsia="方正仿宋_GBK" w:cs="Times New Roman"/>
                <w:color w:val="000000"/>
                <w:kern w:val="0"/>
                <w:sz w:val="20"/>
                <w:szCs w:val="20"/>
              </w:rPr>
            </w:pPr>
          </w:p>
        </w:tc>
        <w:tc>
          <w:tcPr>
            <w:tcW w:w="643" w:type="pct"/>
            <w:gridSpan w:val="2"/>
            <w:tcBorders>
              <w:top w:val="nil"/>
              <w:left w:val="nil"/>
              <w:bottom w:val="single" w:color="000000" w:sz="4" w:space="0"/>
              <w:right w:val="single" w:color="000000" w:sz="4" w:space="0"/>
            </w:tcBorders>
            <w:shd w:val="clear" w:color="auto" w:fill="auto"/>
            <w:noWrap w:val="0"/>
            <w:vAlign w:val="center"/>
          </w:tcPr>
          <w:p w14:paraId="694A1488">
            <w:pPr>
              <w:widowControl/>
              <w:jc w:val="left"/>
              <w:rPr>
                <w:rFonts w:hint="default" w:ascii="Times New Roman" w:hAnsi="Times New Roman" w:eastAsia="方正仿宋_GBK" w:cs="Times New Roman"/>
                <w:color w:val="000000"/>
                <w:kern w:val="0"/>
                <w:sz w:val="20"/>
                <w:szCs w:val="20"/>
              </w:rPr>
            </w:pPr>
          </w:p>
        </w:tc>
        <w:tc>
          <w:tcPr>
            <w:tcW w:w="351" w:type="pct"/>
            <w:tcBorders>
              <w:top w:val="nil"/>
              <w:left w:val="nil"/>
              <w:bottom w:val="single" w:color="000000" w:sz="4" w:space="0"/>
              <w:right w:val="single" w:color="000000" w:sz="4" w:space="0"/>
            </w:tcBorders>
            <w:shd w:val="clear" w:color="auto" w:fill="auto"/>
            <w:noWrap/>
            <w:vAlign w:val="center"/>
          </w:tcPr>
          <w:p w14:paraId="0F85ADF7">
            <w:pPr>
              <w:widowControl/>
              <w:jc w:val="center"/>
              <w:rPr>
                <w:rFonts w:hint="default" w:ascii="Times New Roman" w:hAnsi="Times New Roman" w:eastAsia="方正仿宋_GBK" w:cs="Times New Roman"/>
                <w:color w:val="000000"/>
                <w:kern w:val="0"/>
                <w:sz w:val="20"/>
                <w:szCs w:val="20"/>
              </w:rPr>
            </w:pPr>
          </w:p>
        </w:tc>
        <w:tc>
          <w:tcPr>
            <w:tcW w:w="350" w:type="pct"/>
            <w:tcBorders>
              <w:top w:val="nil"/>
              <w:left w:val="nil"/>
              <w:bottom w:val="single" w:color="000000" w:sz="4" w:space="0"/>
              <w:right w:val="single" w:color="000000" w:sz="4" w:space="0"/>
            </w:tcBorders>
            <w:shd w:val="clear" w:color="auto" w:fill="auto"/>
            <w:noWrap/>
            <w:vAlign w:val="center"/>
          </w:tcPr>
          <w:p w14:paraId="4A8B2027">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50F9E7DA">
        <w:tblPrEx>
          <w:tblCellMar>
            <w:top w:w="0" w:type="dxa"/>
            <w:left w:w="108" w:type="dxa"/>
            <w:bottom w:w="0" w:type="dxa"/>
            <w:right w:w="108" w:type="dxa"/>
          </w:tblCellMar>
        </w:tblPrEx>
        <w:trPr>
          <w:cantSplit/>
          <w:trHeight w:val="900" w:hRule="atLeast"/>
        </w:trPr>
        <w:tc>
          <w:tcPr>
            <w:tcW w:w="374" w:type="pct"/>
            <w:tcBorders>
              <w:top w:val="nil"/>
              <w:left w:val="single" w:color="000000" w:sz="4" w:space="0"/>
              <w:bottom w:val="single" w:color="000000" w:sz="4" w:space="0"/>
              <w:right w:val="single" w:color="000000" w:sz="4" w:space="0"/>
            </w:tcBorders>
            <w:shd w:val="clear" w:color="auto" w:fill="auto"/>
            <w:noWrap w:val="0"/>
            <w:vAlign w:val="center"/>
          </w:tcPr>
          <w:p w14:paraId="3DB8EEB8">
            <w:pPr>
              <w:widowControl/>
              <w:jc w:val="left"/>
              <w:rPr>
                <w:rFonts w:hint="default" w:ascii="Times New Roman" w:hAnsi="Times New Roman" w:eastAsia="方正仿宋_GBK" w:cs="Times New Roman"/>
                <w:color w:val="000000"/>
                <w:kern w:val="0"/>
                <w:sz w:val="20"/>
                <w:szCs w:val="20"/>
              </w:rPr>
            </w:pPr>
          </w:p>
        </w:tc>
        <w:tc>
          <w:tcPr>
            <w:tcW w:w="393" w:type="pct"/>
            <w:gridSpan w:val="2"/>
            <w:tcBorders>
              <w:top w:val="nil"/>
              <w:left w:val="nil"/>
              <w:bottom w:val="single" w:color="000000" w:sz="4" w:space="0"/>
              <w:right w:val="single" w:color="000000" w:sz="4" w:space="0"/>
            </w:tcBorders>
            <w:shd w:val="clear" w:color="auto" w:fill="auto"/>
            <w:noWrap/>
            <w:vAlign w:val="center"/>
          </w:tcPr>
          <w:p w14:paraId="2FBEBFC7">
            <w:pPr>
              <w:widowControl/>
              <w:jc w:val="left"/>
              <w:rPr>
                <w:rFonts w:hint="default" w:ascii="Times New Roman" w:hAnsi="Times New Roman" w:eastAsia="方正仿宋_GBK" w:cs="Times New Roman"/>
                <w:color w:val="000000"/>
                <w:kern w:val="0"/>
                <w:sz w:val="22"/>
                <w:szCs w:val="22"/>
              </w:rPr>
            </w:pPr>
          </w:p>
        </w:tc>
        <w:tc>
          <w:tcPr>
            <w:tcW w:w="343" w:type="pct"/>
            <w:tcBorders>
              <w:top w:val="nil"/>
              <w:left w:val="nil"/>
              <w:bottom w:val="single" w:color="000000" w:sz="4" w:space="0"/>
              <w:right w:val="single" w:color="000000" w:sz="4" w:space="0"/>
            </w:tcBorders>
            <w:shd w:val="clear" w:color="auto" w:fill="auto"/>
            <w:noWrap w:val="0"/>
            <w:vAlign w:val="center"/>
          </w:tcPr>
          <w:p w14:paraId="1EA105E0">
            <w:pPr>
              <w:widowControl/>
              <w:jc w:val="left"/>
              <w:rPr>
                <w:rFonts w:hint="default" w:ascii="Times New Roman" w:hAnsi="Times New Roman" w:eastAsia="方正仿宋_GBK" w:cs="Times New Roman"/>
                <w:color w:val="000000"/>
                <w:kern w:val="0"/>
                <w:sz w:val="20"/>
                <w:szCs w:val="20"/>
              </w:rPr>
            </w:pPr>
          </w:p>
        </w:tc>
        <w:tc>
          <w:tcPr>
            <w:tcW w:w="538" w:type="pct"/>
            <w:gridSpan w:val="2"/>
            <w:tcBorders>
              <w:top w:val="nil"/>
              <w:left w:val="nil"/>
              <w:bottom w:val="single" w:color="000000" w:sz="4" w:space="0"/>
              <w:right w:val="single" w:color="000000" w:sz="4" w:space="0"/>
            </w:tcBorders>
            <w:shd w:val="clear" w:color="auto" w:fill="auto"/>
            <w:noWrap w:val="0"/>
            <w:vAlign w:val="center"/>
          </w:tcPr>
          <w:p w14:paraId="51B69010">
            <w:pPr>
              <w:widowControl/>
              <w:jc w:val="left"/>
              <w:rPr>
                <w:rFonts w:hint="default" w:ascii="Times New Roman" w:hAnsi="Times New Roman" w:eastAsia="方正仿宋_GBK" w:cs="Times New Roman"/>
                <w:color w:val="000000"/>
                <w:kern w:val="0"/>
                <w:sz w:val="20"/>
                <w:szCs w:val="20"/>
              </w:rPr>
            </w:pPr>
          </w:p>
        </w:tc>
        <w:tc>
          <w:tcPr>
            <w:tcW w:w="343" w:type="pct"/>
            <w:tcBorders>
              <w:top w:val="nil"/>
              <w:left w:val="nil"/>
              <w:bottom w:val="single" w:color="000000" w:sz="4" w:space="0"/>
              <w:right w:val="single" w:color="000000" w:sz="4" w:space="0"/>
            </w:tcBorders>
            <w:shd w:val="clear" w:color="auto" w:fill="auto"/>
            <w:noWrap w:val="0"/>
            <w:vAlign w:val="center"/>
          </w:tcPr>
          <w:p w14:paraId="072E65C0">
            <w:pPr>
              <w:widowControl/>
              <w:jc w:val="left"/>
              <w:rPr>
                <w:rFonts w:hint="default" w:ascii="Times New Roman" w:hAnsi="Times New Roman" w:eastAsia="方正仿宋_GBK" w:cs="Times New Roman"/>
                <w:color w:val="000000"/>
                <w:kern w:val="0"/>
                <w:sz w:val="20"/>
                <w:szCs w:val="20"/>
              </w:rPr>
            </w:pPr>
          </w:p>
        </w:tc>
        <w:tc>
          <w:tcPr>
            <w:tcW w:w="519" w:type="pct"/>
            <w:gridSpan w:val="2"/>
            <w:tcBorders>
              <w:top w:val="nil"/>
              <w:left w:val="nil"/>
              <w:bottom w:val="single" w:color="000000" w:sz="4" w:space="0"/>
              <w:right w:val="single" w:color="000000" w:sz="4" w:space="0"/>
            </w:tcBorders>
            <w:shd w:val="clear" w:color="auto" w:fill="auto"/>
            <w:noWrap w:val="0"/>
            <w:vAlign w:val="center"/>
          </w:tcPr>
          <w:p w14:paraId="6FAA62E7">
            <w:pPr>
              <w:widowControl/>
              <w:jc w:val="left"/>
              <w:rPr>
                <w:rFonts w:hint="default" w:ascii="Times New Roman" w:hAnsi="Times New Roman" w:eastAsia="方正仿宋_GBK" w:cs="Times New Roman"/>
                <w:color w:val="000000"/>
                <w:kern w:val="0"/>
                <w:sz w:val="20"/>
                <w:szCs w:val="20"/>
              </w:rPr>
            </w:pPr>
          </w:p>
        </w:tc>
        <w:tc>
          <w:tcPr>
            <w:tcW w:w="360" w:type="pct"/>
            <w:tcBorders>
              <w:top w:val="nil"/>
              <w:left w:val="nil"/>
              <w:bottom w:val="single" w:color="000000" w:sz="4" w:space="0"/>
              <w:right w:val="single" w:color="000000" w:sz="4" w:space="0"/>
            </w:tcBorders>
            <w:shd w:val="clear" w:color="auto" w:fill="auto"/>
            <w:noWrap w:val="0"/>
            <w:vAlign w:val="center"/>
          </w:tcPr>
          <w:p w14:paraId="2D4DBBE5">
            <w:pPr>
              <w:widowControl/>
              <w:jc w:val="left"/>
              <w:rPr>
                <w:rFonts w:hint="default" w:ascii="Times New Roman" w:hAnsi="Times New Roman" w:eastAsia="方正仿宋_GBK" w:cs="Times New Roman"/>
                <w:color w:val="000000"/>
                <w:kern w:val="0"/>
                <w:sz w:val="20"/>
                <w:szCs w:val="20"/>
              </w:rPr>
            </w:pPr>
          </w:p>
        </w:tc>
        <w:tc>
          <w:tcPr>
            <w:tcW w:w="781" w:type="pct"/>
            <w:gridSpan w:val="2"/>
            <w:tcBorders>
              <w:top w:val="nil"/>
              <w:left w:val="nil"/>
              <w:bottom w:val="single" w:color="000000" w:sz="4" w:space="0"/>
              <w:right w:val="single" w:color="000000" w:sz="4" w:space="0"/>
            </w:tcBorders>
            <w:shd w:val="clear" w:color="auto" w:fill="auto"/>
            <w:noWrap w:val="0"/>
            <w:vAlign w:val="center"/>
          </w:tcPr>
          <w:p w14:paraId="1BD81117">
            <w:pPr>
              <w:widowControl/>
              <w:jc w:val="left"/>
              <w:rPr>
                <w:rFonts w:hint="default" w:ascii="Times New Roman" w:hAnsi="Times New Roman" w:eastAsia="方正仿宋_GBK" w:cs="Times New Roman"/>
                <w:color w:val="000000"/>
                <w:kern w:val="0"/>
                <w:sz w:val="20"/>
                <w:szCs w:val="20"/>
              </w:rPr>
            </w:pPr>
          </w:p>
        </w:tc>
        <w:tc>
          <w:tcPr>
            <w:tcW w:w="643" w:type="pct"/>
            <w:gridSpan w:val="2"/>
            <w:tcBorders>
              <w:top w:val="nil"/>
              <w:left w:val="nil"/>
              <w:bottom w:val="single" w:color="000000" w:sz="4" w:space="0"/>
              <w:right w:val="single" w:color="000000" w:sz="4" w:space="0"/>
            </w:tcBorders>
            <w:shd w:val="clear" w:color="auto" w:fill="auto"/>
            <w:noWrap w:val="0"/>
            <w:vAlign w:val="center"/>
          </w:tcPr>
          <w:p w14:paraId="6AED986B">
            <w:pPr>
              <w:widowControl/>
              <w:jc w:val="left"/>
              <w:rPr>
                <w:rFonts w:hint="default" w:ascii="Times New Roman" w:hAnsi="Times New Roman" w:eastAsia="方正仿宋_GBK" w:cs="Times New Roman"/>
                <w:color w:val="000000"/>
                <w:kern w:val="0"/>
                <w:sz w:val="20"/>
                <w:szCs w:val="20"/>
              </w:rPr>
            </w:pPr>
          </w:p>
        </w:tc>
        <w:tc>
          <w:tcPr>
            <w:tcW w:w="351" w:type="pct"/>
            <w:tcBorders>
              <w:top w:val="nil"/>
              <w:left w:val="nil"/>
              <w:bottom w:val="single" w:color="000000" w:sz="4" w:space="0"/>
              <w:right w:val="single" w:color="000000" w:sz="4" w:space="0"/>
            </w:tcBorders>
            <w:shd w:val="clear" w:color="auto" w:fill="auto"/>
            <w:noWrap/>
            <w:vAlign w:val="center"/>
          </w:tcPr>
          <w:p w14:paraId="5BDED1BD">
            <w:pPr>
              <w:widowControl/>
              <w:jc w:val="center"/>
              <w:rPr>
                <w:rFonts w:hint="default" w:ascii="Times New Roman" w:hAnsi="Times New Roman" w:eastAsia="方正仿宋_GBK" w:cs="Times New Roman"/>
                <w:color w:val="000000"/>
                <w:kern w:val="0"/>
                <w:sz w:val="20"/>
                <w:szCs w:val="20"/>
              </w:rPr>
            </w:pPr>
          </w:p>
        </w:tc>
        <w:tc>
          <w:tcPr>
            <w:tcW w:w="350" w:type="pct"/>
            <w:tcBorders>
              <w:top w:val="nil"/>
              <w:left w:val="nil"/>
              <w:bottom w:val="single" w:color="000000" w:sz="4" w:space="0"/>
              <w:right w:val="single" w:color="000000" w:sz="4" w:space="0"/>
            </w:tcBorders>
            <w:shd w:val="clear" w:color="auto" w:fill="auto"/>
            <w:noWrap/>
            <w:vAlign w:val="center"/>
          </w:tcPr>
          <w:p w14:paraId="744A90D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bl>
    <w:p w14:paraId="4F39AFC3">
      <w:pPr>
        <w:spacing w:line="560" w:lineRule="exact"/>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color w:val="auto"/>
          <w:sz w:val="24"/>
        </w:rPr>
        <w:t>说明：“</w:t>
      </w:r>
      <w:r>
        <w:rPr>
          <w:rFonts w:hint="default" w:ascii="Times New Roman" w:hAnsi="Times New Roman" w:eastAsia="方正仿宋_GBK" w:cs="Times New Roman"/>
          <w:color w:val="auto"/>
          <w:sz w:val="24"/>
          <w:lang w:eastAsia="zh-CN"/>
        </w:rPr>
        <w:t>萧县</w:t>
      </w:r>
      <w:r>
        <w:rPr>
          <w:rFonts w:hint="eastAsia" w:ascii="Times New Roman" w:hAnsi="Times New Roman" w:eastAsia="方正仿宋_GBK" w:cs="Times New Roman"/>
          <w:color w:val="auto"/>
          <w:sz w:val="24"/>
          <w:lang w:val="en-US" w:eastAsia="zh-CN"/>
        </w:rPr>
        <w:t>青龙集镇人民政府</w:t>
      </w:r>
      <w:r>
        <w:rPr>
          <w:rFonts w:hint="default" w:ascii="Times New Roman" w:hAnsi="Times New Roman" w:eastAsia="方正仿宋_GBK" w:cs="Times New Roman"/>
          <w:color w:val="auto"/>
          <w:sz w:val="24"/>
        </w:rPr>
        <w:t>没有安排政府购买服务支出，故本表无数据。”</w:t>
      </w:r>
      <w:r>
        <w:rPr>
          <w:rFonts w:hint="default" w:ascii="Times New Roman" w:hAnsi="Times New Roman" w:eastAsia="方正仿宋_GBK" w:cs="Times New Roman"/>
          <w:color w:val="FF0000"/>
          <w:sz w:val="24"/>
        </w:rPr>
        <w:t xml:space="preserve"> </w:t>
      </w:r>
    </w:p>
    <w:p w14:paraId="0415A374">
      <w:pPr>
        <w:spacing w:line="560" w:lineRule="exact"/>
        <w:jc w:val="left"/>
        <w:rPr>
          <w:rFonts w:hint="default" w:ascii="Times New Roman" w:hAnsi="Times New Roman" w:eastAsia="方正仿宋_GBK" w:cs="Times New Roman"/>
          <w:color w:val="FF0000"/>
          <w:sz w:val="32"/>
          <w:szCs w:val="32"/>
        </w:rPr>
      </w:pPr>
    </w:p>
    <w:p w14:paraId="1BF564B0">
      <w:pPr>
        <w:spacing w:line="560" w:lineRule="exact"/>
        <w:jc w:val="center"/>
        <w:rPr>
          <w:rFonts w:hint="default" w:ascii="Times New Roman" w:hAnsi="Times New Roman" w:eastAsia="方正小标宋_GBK" w:cs="Times New Roman"/>
          <w:sz w:val="36"/>
          <w:szCs w:val="36"/>
        </w:rPr>
      </w:pPr>
    </w:p>
    <w:p w14:paraId="30A4EB1C">
      <w:pPr>
        <w:spacing w:line="560" w:lineRule="exact"/>
        <w:jc w:val="center"/>
        <w:rPr>
          <w:rFonts w:hint="default" w:ascii="Times New Roman" w:hAnsi="Times New Roman" w:eastAsia="方正小标宋_GBK" w:cs="Times New Roman"/>
          <w:sz w:val="36"/>
          <w:szCs w:val="36"/>
        </w:rPr>
      </w:pPr>
    </w:p>
    <w:p w14:paraId="15A49F55">
      <w:pPr>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第三部分 2026年部门预算情况说明</w:t>
      </w:r>
    </w:p>
    <w:p w14:paraId="053E4111">
      <w:pPr>
        <w:spacing w:line="560" w:lineRule="exact"/>
        <w:jc w:val="left"/>
        <w:rPr>
          <w:rFonts w:hint="default" w:ascii="Times New Roman" w:hAnsi="Times New Roman" w:eastAsia="方正仿宋_GBK" w:cs="Times New Roman"/>
          <w:sz w:val="28"/>
          <w:szCs w:val="32"/>
        </w:rPr>
      </w:pPr>
    </w:p>
    <w:p w14:paraId="2705FE28">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一、关于2026年收支总表的说明</w:t>
      </w:r>
    </w:p>
    <w:p w14:paraId="1EECE755">
      <w:pPr>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按照综合预算的原则，</w:t>
      </w:r>
      <w:r>
        <w:rPr>
          <w:rFonts w:hint="eastAsia" w:ascii="方正仿宋_GBK" w:hAnsi="Times New Roman" w:eastAsia="方正仿宋_GBK" w:cs="方正仿宋_GBK"/>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所有收入和支出均纳入部门预算管理。</w:t>
      </w:r>
      <w:r>
        <w:rPr>
          <w:rFonts w:hint="eastAsia" w:ascii="方正仿宋_GBK" w:hAnsi="Times New Roman" w:eastAsia="方正仿宋_GBK" w:cs="方正仿宋_GBK"/>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2026年收支总预算</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万元，收入包括一般公共预算拨款收入</w:t>
      </w:r>
      <w:r>
        <w:rPr>
          <w:rFonts w:hint="eastAsia" w:ascii="Times New Roman" w:hAnsi="Times New Roman" w:eastAsia="方正仿宋_GBK" w:cs="Times New Roman"/>
          <w:sz w:val="32"/>
          <w:szCs w:val="32"/>
          <w:lang w:val="en-US" w:eastAsia="zh-CN"/>
        </w:rPr>
        <w:t>949.57万元，</w:t>
      </w:r>
      <w:r>
        <w:rPr>
          <w:rFonts w:hint="default" w:ascii="Times New Roman" w:hAnsi="Times New Roman" w:eastAsia="方正仿宋_GBK" w:cs="Times New Roman"/>
          <w:sz w:val="32"/>
          <w:szCs w:val="32"/>
        </w:rPr>
        <w:t>支出包括：一般公共服务支出</w:t>
      </w:r>
      <w:r>
        <w:rPr>
          <w:rFonts w:hint="eastAsia" w:ascii="Times New Roman" w:hAnsi="Times New Roman" w:eastAsia="方正仿宋_GBK" w:cs="Times New Roman"/>
          <w:sz w:val="32"/>
          <w:szCs w:val="32"/>
          <w:lang w:val="en-US" w:eastAsia="zh-CN"/>
        </w:rPr>
        <w:t>738.82万元</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116.37万元</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25.30万元</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69.09万元</w:t>
      </w:r>
      <w:r>
        <w:rPr>
          <w:rFonts w:hint="default" w:ascii="Times New Roman" w:hAnsi="Times New Roman" w:eastAsia="方正仿宋_GBK" w:cs="Times New Roman"/>
          <w:sz w:val="32"/>
          <w:szCs w:val="32"/>
        </w:rPr>
        <w:t>。</w:t>
      </w:r>
    </w:p>
    <w:p w14:paraId="02F9B701">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二、关于 2026年收入总表的说明</w:t>
      </w:r>
    </w:p>
    <w:p w14:paraId="5F81BA97">
      <w:pPr>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2026年收入预算</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万元，其中，本年收入</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万元，上年结转收入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68AD42A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1.本年收入</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万元，主要包括：一般公共预算拨款收入</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%，比2025年预算增加</w:t>
      </w:r>
      <w:r>
        <w:rPr>
          <w:rFonts w:hint="eastAsia" w:ascii="Times New Roman" w:hAnsi="Times New Roman" w:eastAsia="方正仿宋_GBK" w:cs="Times New Roman"/>
          <w:sz w:val="32"/>
          <w:szCs w:val="32"/>
          <w:lang w:val="en-US" w:eastAsia="zh-CN"/>
        </w:rPr>
        <w:t>102.3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12.07</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val="en-US" w:eastAsia="zh-CN"/>
        </w:rPr>
        <w:t>单位</w:t>
      </w:r>
      <w:r>
        <w:rPr>
          <w:rFonts w:hint="eastAsia" w:ascii="方正仿宋_GBK" w:hAnsi="Times New Roman" w:eastAsia="方正仿宋_GBK" w:cs="方正仿宋_GBK"/>
          <w:sz w:val="32"/>
          <w:szCs w:val="32"/>
          <w:lang w:val="en-US" w:eastAsia="zh-CN"/>
        </w:rPr>
        <w:t>新增人员致使各类社会保障及经费开支增加。</w:t>
      </w:r>
    </w:p>
    <w:p w14:paraId="33DB5351">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三、关于2026年支出总表的说明</w:t>
      </w:r>
    </w:p>
    <w:p w14:paraId="6019B122">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2026年支出预算</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万元，比 2025年预算增加</w:t>
      </w:r>
      <w:r>
        <w:rPr>
          <w:rFonts w:hint="eastAsia" w:ascii="Times New Roman" w:hAnsi="Times New Roman" w:eastAsia="方正仿宋_GBK" w:cs="Times New Roman"/>
          <w:sz w:val="32"/>
          <w:szCs w:val="32"/>
          <w:lang w:val="en-US" w:eastAsia="zh-CN"/>
        </w:rPr>
        <w:t>102.3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12.07</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val="en-US" w:eastAsia="zh-CN"/>
        </w:rPr>
        <w:t>单位</w:t>
      </w:r>
      <w:r>
        <w:rPr>
          <w:rFonts w:hint="eastAsia" w:ascii="方正仿宋_GBK" w:hAnsi="Times New Roman" w:eastAsia="方正仿宋_GBK" w:cs="方正仿宋_GBK"/>
          <w:sz w:val="32"/>
          <w:szCs w:val="32"/>
          <w:lang w:val="en-US" w:eastAsia="zh-CN"/>
        </w:rPr>
        <w:t>新增人员致使各类社会保障及经费开支增加。</w:t>
      </w:r>
    </w:p>
    <w:p w14:paraId="16ACAF6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lang w:val="en-US" w:eastAsia="zh-CN"/>
        </w:rPr>
        <w:t>900.57</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94.84</w:t>
      </w:r>
      <w:r>
        <w:rPr>
          <w:rFonts w:hint="default" w:ascii="Times New Roman" w:hAnsi="Times New Roman" w:eastAsia="方正仿宋_GBK" w:cs="Times New Roman"/>
          <w:sz w:val="32"/>
          <w:szCs w:val="32"/>
        </w:rPr>
        <w:t>%，主要用于保障机构日常运转、完成日常工作任务；项目支出</w:t>
      </w:r>
      <w:r>
        <w:rPr>
          <w:rFonts w:hint="eastAsia" w:ascii="Times New Roman" w:hAnsi="Times New Roman" w:eastAsia="方正仿宋_GBK" w:cs="Times New Roman"/>
          <w:sz w:val="32"/>
          <w:szCs w:val="32"/>
          <w:lang w:val="en-US" w:eastAsia="zh-CN"/>
        </w:rPr>
        <w:t>49</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5.16</w:t>
      </w:r>
      <w:r>
        <w:rPr>
          <w:rFonts w:hint="default" w:ascii="Times New Roman" w:hAnsi="Times New Roman" w:eastAsia="方正仿宋_GBK" w:cs="Times New Roman"/>
          <w:sz w:val="32"/>
          <w:szCs w:val="32"/>
        </w:rPr>
        <w:t>%，主要用于</w:t>
      </w:r>
      <w:r>
        <w:rPr>
          <w:rFonts w:hint="eastAsia" w:ascii="Times New Roman" w:hAnsi="Times New Roman" w:eastAsia="方正仿宋_GBK" w:cs="Times New Roman"/>
          <w:sz w:val="32"/>
          <w:szCs w:val="32"/>
          <w:lang w:val="en-US" w:eastAsia="zh-CN"/>
        </w:rPr>
        <w:t>非税收入收支计划</w:t>
      </w:r>
      <w:r>
        <w:rPr>
          <w:rFonts w:hint="default" w:ascii="Times New Roman" w:hAnsi="Times New Roman" w:eastAsia="方正仿宋_GBK" w:cs="Times New Roman"/>
          <w:sz w:val="32"/>
          <w:szCs w:val="32"/>
        </w:rPr>
        <w:t>。</w:t>
      </w:r>
    </w:p>
    <w:p w14:paraId="02A3A60F">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四、关于2026年财政拨款收支总表的说明</w:t>
      </w:r>
    </w:p>
    <w:p w14:paraId="7A026AA4">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2026年财政拨款收支预</w:t>
      </w:r>
      <w:r>
        <w:rPr>
          <w:rFonts w:hint="eastAsia" w:ascii="Times New Roman" w:hAnsi="Times New Roman" w:eastAsia="方正仿宋_GBK" w:cs="Times New Roman"/>
          <w:sz w:val="32"/>
          <w:szCs w:val="32"/>
          <w:lang w:val="en-US" w:eastAsia="zh-CN"/>
        </w:rPr>
        <w:t>算949.57</w:t>
      </w:r>
      <w:r>
        <w:rPr>
          <w:rFonts w:hint="default" w:ascii="Times New Roman" w:hAnsi="Times New Roman" w:eastAsia="方正仿宋_GBK" w:cs="Times New Roman"/>
          <w:sz w:val="32"/>
          <w:szCs w:val="32"/>
        </w:rPr>
        <w:t>万元。收入按资金来源分为：一般公共预算拨款</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万元；按资金年度分为：本年财政拨款收入</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万元，上年结转收入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万元。支出按功能分类分为：一般公共服务支出</w:t>
      </w:r>
      <w:r>
        <w:rPr>
          <w:rFonts w:hint="eastAsia" w:ascii="Times New Roman" w:hAnsi="Times New Roman" w:eastAsia="方正仿宋_GBK" w:cs="Times New Roman"/>
          <w:sz w:val="32"/>
          <w:szCs w:val="32"/>
          <w:lang w:val="en-US" w:eastAsia="zh-CN"/>
        </w:rPr>
        <w:t>738.82</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77.81</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116.37</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12.26</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25.30</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2.65</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69.09</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7.28</w:t>
      </w:r>
      <w:r>
        <w:rPr>
          <w:rFonts w:hint="default" w:ascii="Times New Roman" w:hAnsi="Times New Roman" w:eastAsia="方正仿宋_GBK" w:cs="Times New Roman"/>
          <w:sz w:val="32"/>
          <w:szCs w:val="32"/>
        </w:rPr>
        <w:t>%。</w:t>
      </w:r>
    </w:p>
    <w:p w14:paraId="26EF7026">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五、关于 2026 年一般公共预算支出表的说明</w:t>
      </w:r>
    </w:p>
    <w:p w14:paraId="4835B3C9">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（一）一般公共预算支出规模变化情况</w:t>
      </w:r>
    </w:p>
    <w:p w14:paraId="2E785308">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2026年一般公共预算支出</w:t>
      </w:r>
      <w:r>
        <w:rPr>
          <w:rFonts w:hint="eastAsia" w:ascii="Times New Roman" w:hAnsi="Times New Roman" w:eastAsia="方正仿宋_GBK" w:cs="Times New Roman"/>
          <w:sz w:val="32"/>
          <w:szCs w:val="32"/>
          <w:lang w:val="en-US" w:eastAsia="zh-CN"/>
        </w:rPr>
        <w:t>949.57</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102.3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12.07</w:t>
      </w:r>
      <w:r>
        <w:rPr>
          <w:rFonts w:hint="default" w:ascii="Times New Roman" w:hAnsi="Times New Roman" w:eastAsia="方正仿宋_GBK" w:cs="Times New Roman"/>
          <w:sz w:val="32"/>
          <w:szCs w:val="32"/>
        </w:rPr>
        <w:t>%，主要原因：</w:t>
      </w:r>
      <w:r>
        <w:rPr>
          <w:rFonts w:hint="eastAsia" w:ascii="方正仿宋_GBK" w:hAnsi="Times New Roman" w:eastAsia="方正仿宋_GBK" w:cs="方正仿宋_GBK"/>
          <w:sz w:val="32"/>
          <w:szCs w:val="32"/>
          <w:lang w:val="en-US" w:eastAsia="zh-CN"/>
        </w:rPr>
        <w:t>新增了人员致使各类社会保障及经费开支增加。</w:t>
      </w:r>
    </w:p>
    <w:p w14:paraId="0FC143AC">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（二）一般公共预算支出结构情况</w:t>
      </w:r>
    </w:p>
    <w:p w14:paraId="5051CE6D">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一般公共服务支出</w:t>
      </w:r>
      <w:r>
        <w:rPr>
          <w:rFonts w:hint="eastAsia" w:ascii="Times New Roman" w:hAnsi="Times New Roman" w:eastAsia="方正仿宋_GBK" w:cs="Times New Roman"/>
          <w:sz w:val="32"/>
          <w:szCs w:val="32"/>
          <w:lang w:val="en-US" w:eastAsia="zh-CN"/>
        </w:rPr>
        <w:t>738.82</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77.81</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116.37</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12.26</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25.30</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2.65</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69.09</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7.28</w:t>
      </w:r>
      <w:r>
        <w:rPr>
          <w:rFonts w:hint="default" w:ascii="Times New Roman" w:hAnsi="Times New Roman" w:eastAsia="方正仿宋_GBK" w:cs="Times New Roman"/>
          <w:sz w:val="32"/>
          <w:szCs w:val="32"/>
        </w:rPr>
        <w:t>%。</w:t>
      </w:r>
    </w:p>
    <w:p w14:paraId="44DA40CB">
      <w:pPr>
        <w:spacing w:line="56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（三）一般公共预算支出具体使用情况</w:t>
      </w:r>
    </w:p>
    <w:p w14:paraId="6144FEDF">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1.一般公共服务支出（类）政府办公厅（室）及相关机构事务（款）行政运行（项）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738.82</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78.72</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11.93</w:t>
      </w:r>
      <w:r>
        <w:rPr>
          <w:rFonts w:hint="default" w:ascii="Times New Roman" w:hAnsi="Times New Roman" w:eastAsia="方正仿宋_GBK" w:cs="Times New Roman"/>
          <w:sz w:val="32"/>
          <w:szCs w:val="32"/>
        </w:rPr>
        <w:t>%，增长原因主要是</w:t>
      </w:r>
      <w:r>
        <w:rPr>
          <w:rFonts w:hint="eastAsia" w:ascii="方正仿宋_GBK" w:hAnsi="Times New Roman" w:eastAsia="方正仿宋_GBK" w:cs="方正仿宋_GBK"/>
          <w:sz w:val="32"/>
          <w:szCs w:val="32"/>
          <w:lang w:val="en-US" w:eastAsia="zh-CN"/>
        </w:rPr>
        <w:t>新增人员致使经费开支增加</w:t>
      </w:r>
      <w:r>
        <w:rPr>
          <w:rFonts w:hint="default" w:ascii="Times New Roman" w:hAnsi="Times New Roman" w:eastAsia="方正仿宋_GBK" w:cs="Times New Roman"/>
          <w:sz w:val="32"/>
          <w:szCs w:val="32"/>
        </w:rPr>
        <w:t>。</w:t>
      </w:r>
    </w:p>
    <w:p w14:paraId="3BF444A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2.社会保障和就业支出（类）行政事业单位养老支出（款）机关事业单位基本养老保险缴费支出（项）</w:t>
      </w:r>
      <w:r>
        <w:rPr>
          <w:rFonts w:hint="default" w:ascii="Times New Roman" w:hAnsi="Times New Roman" w:eastAsia="方正仿宋_GBK" w:cs="Times New Roman"/>
          <w:sz w:val="32"/>
          <w:szCs w:val="32"/>
        </w:rPr>
        <w:t>2026年预算</w:t>
      </w:r>
      <w:r>
        <w:rPr>
          <w:rFonts w:hint="eastAsia" w:ascii="Times New Roman" w:hAnsi="Times New Roman" w:eastAsia="方正仿宋_GBK" w:cs="Times New Roman"/>
          <w:sz w:val="32"/>
          <w:szCs w:val="32"/>
          <w:lang w:val="en-US" w:eastAsia="zh-CN"/>
        </w:rPr>
        <w:t>77.58</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9.44</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13.85</w:t>
      </w:r>
      <w:r>
        <w:rPr>
          <w:rFonts w:hint="default" w:ascii="Times New Roman" w:hAnsi="Times New Roman" w:eastAsia="方正仿宋_GBK" w:cs="Times New Roman"/>
          <w:sz w:val="32"/>
          <w:szCs w:val="32"/>
        </w:rPr>
        <w:t>%，增长原因主要是</w:t>
      </w:r>
      <w:r>
        <w:rPr>
          <w:rFonts w:hint="eastAsia" w:ascii="方正仿宋_GBK" w:hAnsi="Times New Roman" w:eastAsia="方正仿宋_GBK" w:cs="方正仿宋_GBK"/>
          <w:sz w:val="32"/>
          <w:szCs w:val="32"/>
          <w:lang w:val="en-US" w:eastAsia="zh-CN"/>
        </w:rPr>
        <w:t>新增人员致使各类社会保障开支增加</w:t>
      </w:r>
      <w:r>
        <w:rPr>
          <w:rFonts w:hint="default" w:ascii="Times New Roman" w:hAnsi="Times New Roman" w:eastAsia="方正仿宋_GBK" w:cs="Times New Roman"/>
          <w:sz w:val="32"/>
          <w:szCs w:val="32"/>
        </w:rPr>
        <w:t>。</w:t>
      </w:r>
    </w:p>
    <w:p w14:paraId="71106B3F">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3.社会保障和就业支出（类）行政事业单位养老支出（款）机关事业单位职业年金缴费支出（项）</w:t>
      </w:r>
      <w:r>
        <w:rPr>
          <w:rFonts w:hint="default" w:ascii="Times New Roman" w:hAnsi="Times New Roman" w:eastAsia="方正仿宋_GBK" w:cs="Times New Roman"/>
          <w:sz w:val="32"/>
          <w:szCs w:val="32"/>
        </w:rPr>
        <w:t>2026年预算</w:t>
      </w:r>
      <w:r>
        <w:rPr>
          <w:rFonts w:hint="eastAsia" w:ascii="Times New Roman" w:hAnsi="Times New Roman" w:eastAsia="方正仿宋_GBK" w:cs="Times New Roman"/>
          <w:sz w:val="32"/>
          <w:szCs w:val="32"/>
          <w:lang w:val="en-US" w:eastAsia="zh-CN"/>
        </w:rPr>
        <w:t>38.79</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4.72</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13.85</w:t>
      </w:r>
      <w:r>
        <w:rPr>
          <w:rFonts w:hint="default" w:ascii="Times New Roman" w:hAnsi="Times New Roman" w:eastAsia="方正仿宋_GBK" w:cs="Times New Roman"/>
          <w:sz w:val="32"/>
          <w:szCs w:val="32"/>
        </w:rPr>
        <w:t>%，增长原因主要是</w:t>
      </w:r>
      <w:r>
        <w:rPr>
          <w:rFonts w:hint="eastAsia" w:ascii="方正仿宋_GBK" w:hAnsi="Times New Roman" w:eastAsia="方正仿宋_GBK" w:cs="方正仿宋_GBK"/>
          <w:sz w:val="32"/>
          <w:szCs w:val="32"/>
          <w:lang w:val="en-US" w:eastAsia="zh-CN"/>
        </w:rPr>
        <w:t>新增人员致使各类社会保障开支增加</w:t>
      </w:r>
      <w:r>
        <w:rPr>
          <w:rFonts w:hint="default" w:ascii="Times New Roman" w:hAnsi="Times New Roman" w:eastAsia="方正仿宋_GBK" w:cs="Times New Roman"/>
          <w:sz w:val="32"/>
          <w:szCs w:val="32"/>
        </w:rPr>
        <w:t>。</w:t>
      </w:r>
    </w:p>
    <w:p w14:paraId="6D98FCB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4.卫生健康支出（类）行政事业单位医疗（款）行政单位医疗（项）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9.38</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1.42</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17.84</w:t>
      </w:r>
      <w:r>
        <w:rPr>
          <w:rFonts w:hint="default" w:ascii="Times New Roman" w:hAnsi="Times New Roman" w:eastAsia="方正仿宋_GBK" w:cs="Times New Roman"/>
          <w:sz w:val="32"/>
          <w:szCs w:val="32"/>
        </w:rPr>
        <w:t>%，增长原因主要</w:t>
      </w:r>
      <w:r>
        <w:rPr>
          <w:rFonts w:hint="eastAsia" w:ascii="Times New Roman" w:hAnsi="Times New Roman" w:eastAsia="方正仿宋_GBK" w:cs="Times New Roman"/>
          <w:sz w:val="32"/>
          <w:szCs w:val="32"/>
          <w:lang w:val="en-US" w:eastAsia="zh-CN"/>
        </w:rPr>
        <w:t>是</w:t>
      </w:r>
      <w:bookmarkStart w:id="0" w:name="_GoBack"/>
      <w:bookmarkEnd w:id="0"/>
      <w:r>
        <w:rPr>
          <w:rFonts w:hint="eastAsia" w:ascii="方正仿宋_GBK" w:hAnsi="Times New Roman" w:eastAsia="方正仿宋_GBK" w:cs="方正仿宋_GBK"/>
          <w:sz w:val="32"/>
          <w:szCs w:val="32"/>
          <w:lang w:val="en-US" w:eastAsia="zh-CN"/>
        </w:rPr>
        <w:t>行政编制人员变动及缴费基数调整</w:t>
      </w:r>
      <w:r>
        <w:rPr>
          <w:rFonts w:hint="default" w:ascii="Times New Roman" w:hAnsi="Times New Roman" w:eastAsia="方正仿宋_GBK" w:cs="Times New Roman"/>
          <w:sz w:val="32"/>
          <w:szCs w:val="32"/>
        </w:rPr>
        <w:t>。</w:t>
      </w:r>
    </w:p>
    <w:p w14:paraId="65830F66">
      <w:pPr>
        <w:spacing w:line="560" w:lineRule="exact"/>
        <w:ind w:firstLine="640"/>
        <w:jc w:val="left"/>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.卫生健康支出（类）行政事业单位医疗（款）事业单位医疗（项）</w:t>
      </w:r>
      <w:r>
        <w:rPr>
          <w:rFonts w:hint="default" w:ascii="Times New Roman" w:hAnsi="Times New Roman" w:eastAsia="方正仿宋_GBK" w:cs="Times New Roman"/>
          <w:sz w:val="32"/>
          <w:szCs w:val="32"/>
        </w:rPr>
        <w:t>2026年预算</w:t>
      </w:r>
      <w:r>
        <w:rPr>
          <w:rFonts w:hint="eastAsia" w:ascii="Times New Roman" w:hAnsi="Times New Roman" w:eastAsia="方正仿宋_GBK" w:cs="Times New Roman"/>
          <w:sz w:val="32"/>
          <w:szCs w:val="32"/>
          <w:lang w:val="en-US" w:eastAsia="zh-CN"/>
        </w:rPr>
        <w:t>11.62</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2.21</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23.49</w:t>
      </w:r>
      <w:r>
        <w:rPr>
          <w:rFonts w:hint="default" w:ascii="Times New Roman" w:hAnsi="Times New Roman" w:eastAsia="方正仿宋_GBK" w:cs="Times New Roman"/>
          <w:sz w:val="32"/>
          <w:szCs w:val="32"/>
        </w:rPr>
        <w:t>%，增长原因主要</w:t>
      </w:r>
      <w:r>
        <w:rPr>
          <w:rFonts w:hint="eastAsia" w:ascii="Times New Roman" w:hAnsi="Times New Roman" w:eastAsia="方正仿宋_GBK" w:cs="Times New Roman"/>
          <w:sz w:val="32"/>
          <w:szCs w:val="32"/>
          <w:lang w:val="en-US" w:eastAsia="zh-CN"/>
        </w:rPr>
        <w:t>是事业</w:t>
      </w:r>
      <w:r>
        <w:rPr>
          <w:rFonts w:hint="eastAsia" w:ascii="方正仿宋_GBK" w:hAnsi="Times New Roman" w:eastAsia="方正仿宋_GBK" w:cs="方正仿宋_GBK"/>
          <w:sz w:val="32"/>
          <w:szCs w:val="32"/>
          <w:lang w:val="en-US" w:eastAsia="zh-CN"/>
        </w:rPr>
        <w:t>编制人员变动及缴费基数调整</w:t>
      </w:r>
      <w:r>
        <w:rPr>
          <w:rFonts w:hint="default" w:ascii="Times New Roman" w:hAnsi="Times New Roman" w:eastAsia="方正仿宋_GBK" w:cs="Times New Roman"/>
          <w:sz w:val="32"/>
          <w:szCs w:val="32"/>
        </w:rPr>
        <w:t>。</w:t>
      </w:r>
    </w:p>
    <w:p w14:paraId="2183D1C1">
      <w:pPr>
        <w:pStyle w:val="2"/>
        <w:ind w:firstLine="640"/>
        <w:jc w:val="left"/>
        <w:rPr>
          <w:rFonts w:hint="default" w:ascii="Times New Roman" w:hAnsi="Times New Roman" w:eastAsia="方正仿宋_GBK" w:cs="Times New Roman"/>
          <w:b/>
          <w:bCs/>
          <w:sz w:val="32"/>
          <w:szCs w:val="32"/>
        </w:rPr>
      </w:pP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.卫生健康支出（类）行政事业单位医疗（款）公务员医疗补助（项）</w:t>
      </w:r>
      <w:r>
        <w:rPr>
          <w:rFonts w:hint="default" w:ascii="Times New Roman" w:hAnsi="Times New Roman" w:eastAsia="方正仿宋_GBK" w:cs="Times New Roman"/>
          <w:sz w:val="32"/>
          <w:szCs w:val="32"/>
        </w:rPr>
        <w:t>2026年预算</w:t>
      </w:r>
      <w:r>
        <w:rPr>
          <w:rFonts w:hint="eastAsia" w:eastAsia="方正仿宋_GBK" w:cs="Times New Roman"/>
          <w:sz w:val="32"/>
          <w:szCs w:val="32"/>
          <w:lang w:val="en-US" w:eastAsia="zh-CN"/>
        </w:rPr>
        <w:t>2.93</w:t>
      </w:r>
      <w:r>
        <w:rPr>
          <w:rFonts w:hint="default" w:ascii="Times New Roman" w:hAnsi="Times New Roman" w:eastAsia="方正仿宋_GBK" w:cs="Times New Roman"/>
          <w:sz w:val="32"/>
          <w:szCs w:val="32"/>
        </w:rPr>
        <w:t>万元，比2025年预算增加</w:t>
      </w:r>
      <w:r>
        <w:rPr>
          <w:rFonts w:hint="eastAsia" w:eastAsia="方正仿宋_GBK" w:cs="Times New Roman"/>
          <w:sz w:val="32"/>
          <w:szCs w:val="32"/>
          <w:lang w:val="en-US" w:eastAsia="zh-CN"/>
        </w:rPr>
        <w:t>0.44</w:t>
      </w:r>
      <w:r>
        <w:rPr>
          <w:rFonts w:hint="default" w:ascii="Times New Roman" w:hAnsi="Times New Roman" w:eastAsia="方正仿宋_GBK" w:cs="Times New Roman"/>
          <w:sz w:val="32"/>
          <w:szCs w:val="32"/>
        </w:rPr>
        <w:t>万元，增长</w:t>
      </w:r>
      <w:r>
        <w:rPr>
          <w:rFonts w:hint="eastAsia" w:eastAsia="方正仿宋_GBK" w:cs="Times New Roman"/>
          <w:sz w:val="32"/>
          <w:szCs w:val="32"/>
          <w:lang w:val="en-US" w:eastAsia="zh-CN"/>
        </w:rPr>
        <w:t>17.67</w:t>
      </w:r>
      <w:r>
        <w:rPr>
          <w:rFonts w:hint="default" w:ascii="Times New Roman" w:hAnsi="Times New Roman" w:eastAsia="方正仿宋_GBK" w:cs="Times New Roman"/>
          <w:sz w:val="32"/>
          <w:szCs w:val="32"/>
        </w:rPr>
        <w:t>%，增长原因主要</w:t>
      </w:r>
      <w:r>
        <w:rPr>
          <w:rFonts w:hint="eastAsia" w:eastAsia="方正仿宋_GBK" w:cs="Times New Roman"/>
          <w:sz w:val="32"/>
          <w:szCs w:val="32"/>
          <w:lang w:val="en-US" w:eastAsia="zh-CN"/>
        </w:rPr>
        <w:t>是</w:t>
      </w:r>
      <w:r>
        <w:rPr>
          <w:rFonts w:hint="eastAsia" w:ascii="方正仿宋_GBK" w:hAnsi="Times New Roman" w:eastAsia="方正仿宋_GBK" w:cs="方正仿宋_GBK"/>
          <w:sz w:val="32"/>
          <w:szCs w:val="32"/>
          <w:lang w:val="en-US" w:eastAsia="zh-CN"/>
        </w:rPr>
        <w:t>行政编制人员变动及缴费基数调整</w:t>
      </w:r>
      <w:r>
        <w:rPr>
          <w:rFonts w:hint="default" w:ascii="Times New Roman" w:hAnsi="Times New Roman" w:eastAsia="方正仿宋_GBK" w:cs="Times New Roman"/>
          <w:sz w:val="32"/>
          <w:szCs w:val="32"/>
        </w:rPr>
        <w:t>。</w:t>
      </w:r>
    </w:p>
    <w:p w14:paraId="28952C97">
      <w:pPr>
        <w:pStyle w:val="2"/>
        <w:ind w:firstLine="640"/>
        <w:jc w:val="left"/>
        <w:rPr>
          <w:rFonts w:hint="default" w:ascii="Times New Roman" w:hAnsi="Times New Roman" w:eastAsia="方正仿宋_GBK" w:cs="Times New Roman"/>
          <w:b/>
          <w:bCs/>
          <w:sz w:val="32"/>
          <w:szCs w:val="32"/>
        </w:rPr>
      </w:pPr>
      <w:r>
        <w:rPr>
          <w:rFonts w:hint="eastAsia"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.卫生健康支出（类）行政事业单位医疗（款）其他行政事业单位医疗支出（项）</w:t>
      </w:r>
      <w:r>
        <w:rPr>
          <w:rFonts w:hint="default" w:ascii="Times New Roman" w:hAnsi="Times New Roman" w:eastAsia="方正仿宋_GBK" w:cs="Times New Roman"/>
          <w:sz w:val="32"/>
          <w:szCs w:val="32"/>
        </w:rPr>
        <w:t>2026年预算</w:t>
      </w:r>
      <w:r>
        <w:rPr>
          <w:rFonts w:hint="eastAsia"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.37</w:t>
      </w:r>
      <w:r>
        <w:rPr>
          <w:rFonts w:hint="default" w:ascii="Times New Roman" w:hAnsi="Times New Roman" w:eastAsia="方正仿宋_GBK" w:cs="Times New Roman"/>
          <w:sz w:val="32"/>
          <w:szCs w:val="32"/>
        </w:rPr>
        <w:t>万元，比2025年预算增加</w:t>
      </w:r>
      <w:r>
        <w:rPr>
          <w:rFonts w:hint="eastAsia" w:eastAsia="方正仿宋_GBK" w:cs="Times New Roman"/>
          <w:sz w:val="32"/>
          <w:szCs w:val="32"/>
          <w:lang w:val="en-US" w:eastAsia="zh-CN"/>
        </w:rPr>
        <w:t>0.2</w:t>
      </w:r>
      <w:r>
        <w:rPr>
          <w:rFonts w:hint="default" w:ascii="Times New Roman" w:hAnsi="Times New Roman" w:eastAsia="方正仿宋_GBK" w:cs="Times New Roman"/>
          <w:sz w:val="32"/>
          <w:szCs w:val="32"/>
        </w:rPr>
        <w:t>万元，增长</w:t>
      </w:r>
      <w:r>
        <w:rPr>
          <w:rFonts w:hint="eastAsia" w:eastAsia="方正仿宋_GBK" w:cs="Times New Roman"/>
          <w:sz w:val="32"/>
          <w:szCs w:val="32"/>
          <w:lang w:val="en-US" w:eastAsia="zh-CN"/>
        </w:rPr>
        <w:t>17.09</w:t>
      </w:r>
      <w:r>
        <w:rPr>
          <w:rFonts w:hint="default" w:ascii="Times New Roman" w:hAnsi="Times New Roman" w:eastAsia="方正仿宋_GBK" w:cs="Times New Roman"/>
          <w:sz w:val="32"/>
          <w:szCs w:val="32"/>
        </w:rPr>
        <w:t>%，增长原因主要</w:t>
      </w:r>
      <w:r>
        <w:rPr>
          <w:rFonts w:hint="eastAsia" w:eastAsia="方正仿宋_GBK" w:cs="Times New Roman"/>
          <w:sz w:val="32"/>
          <w:szCs w:val="32"/>
          <w:lang w:val="en-US" w:eastAsia="zh-CN"/>
        </w:rPr>
        <w:t>是</w:t>
      </w:r>
      <w:r>
        <w:rPr>
          <w:rFonts w:hint="eastAsia" w:ascii="Times New Roman" w:hAnsi="Times New Roman" w:eastAsia="方正仿宋_GBK" w:cs="Times New Roman"/>
          <w:sz w:val="32"/>
          <w:szCs w:val="32"/>
          <w:lang w:val="en-US" w:eastAsia="zh-CN"/>
        </w:rPr>
        <w:t>事业</w:t>
      </w:r>
      <w:r>
        <w:rPr>
          <w:rFonts w:hint="eastAsia" w:ascii="方正仿宋_GBK" w:hAnsi="Times New Roman" w:eastAsia="方正仿宋_GBK" w:cs="方正仿宋_GBK"/>
          <w:sz w:val="32"/>
          <w:szCs w:val="32"/>
          <w:lang w:val="en-US" w:eastAsia="zh-CN"/>
        </w:rPr>
        <w:t>编制人员变动及缴费基数调整</w:t>
      </w:r>
      <w:r>
        <w:rPr>
          <w:rFonts w:hint="default" w:ascii="Times New Roman" w:hAnsi="Times New Roman" w:eastAsia="方正仿宋_GBK" w:cs="Times New Roman"/>
          <w:sz w:val="32"/>
          <w:szCs w:val="32"/>
        </w:rPr>
        <w:t>。</w:t>
      </w:r>
    </w:p>
    <w:p w14:paraId="48FECD47">
      <w:pPr>
        <w:pStyle w:val="7"/>
        <w:rPr>
          <w:rFonts w:hint="eastAsia" w:ascii="方正仿宋_GBK" w:hAnsi="Times New Roman" w:eastAsia="方正仿宋_GBK" w:cs="方正仿宋_GBK"/>
          <w:sz w:val="32"/>
          <w:szCs w:val="32"/>
        </w:rPr>
      </w:pPr>
      <w:r>
        <w:rPr>
          <w:rFonts w:hint="eastAsia" w:ascii="Times New Roman" w:hAnsi="Times New Roman" w:eastAsia="方正仿宋_GBK" w:cs="Times New Roman"/>
          <w:b w:val="0"/>
          <w:bCs w:val="0"/>
          <w:color w:val="auto"/>
          <w:kern w:val="2"/>
          <w:sz w:val="32"/>
          <w:szCs w:val="32"/>
          <w:lang w:val="en-US" w:eastAsia="zh-CN" w:bidi="ar-SA"/>
        </w:rPr>
        <w:t>8.住房保障支出(类)住房改革支出(款)住房公积金(项)</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方正仿宋_GBK" w:hAnsi="Times New Roman" w:eastAsia="方正仿宋_GBK" w:cs="方正仿宋_GBK"/>
          <w:sz w:val="32"/>
          <w:szCs w:val="32"/>
        </w:rPr>
        <w:t>年预算</w:t>
      </w:r>
      <w:r>
        <w:rPr>
          <w:rFonts w:hint="eastAsia" w:ascii="方正仿宋_GBK" w:hAnsi="Times New Roman" w:eastAsia="方正仿宋_GBK" w:cs="方正仿宋_GBK"/>
          <w:sz w:val="32"/>
          <w:szCs w:val="32"/>
          <w:lang w:val="en-US" w:eastAsia="zh-CN"/>
        </w:rPr>
        <w:t>58.29</w:t>
      </w:r>
      <w:r>
        <w:rPr>
          <w:rFonts w:hint="eastAsia" w:ascii="方正仿宋_GBK" w:hAnsi="Times New Roman" w:eastAsia="方正仿宋_GBK" w:cs="方正仿宋_GBK"/>
          <w:sz w:val="32"/>
          <w:szCs w:val="32"/>
        </w:rPr>
        <w:t>万元，比</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方正仿宋_GBK" w:hAnsi="Times New Roman" w:eastAsia="方正仿宋_GBK" w:cs="方正仿宋_GBK"/>
          <w:sz w:val="32"/>
          <w:szCs w:val="32"/>
        </w:rPr>
        <w:t>年预算增加</w:t>
      </w:r>
      <w:r>
        <w:rPr>
          <w:rFonts w:hint="eastAsia" w:ascii="方正仿宋_GBK" w:hAnsi="Times New Roman" w:eastAsia="方正仿宋_GBK" w:cs="方正仿宋_GBK"/>
          <w:sz w:val="32"/>
          <w:szCs w:val="32"/>
          <w:lang w:val="en-US" w:eastAsia="zh-CN"/>
        </w:rPr>
        <w:t>7.14</w:t>
      </w:r>
      <w:r>
        <w:rPr>
          <w:rFonts w:hint="eastAsia" w:ascii="方正仿宋_GBK" w:hAnsi="Times New Roman" w:eastAsia="方正仿宋_GBK" w:cs="方正仿宋_GBK"/>
          <w:sz w:val="32"/>
          <w:szCs w:val="32"/>
        </w:rPr>
        <w:t>万元，增长</w:t>
      </w:r>
      <w:r>
        <w:rPr>
          <w:rFonts w:hint="eastAsia" w:ascii="方正仿宋_GBK" w:hAnsi="Times New Roman" w:eastAsia="方正仿宋_GBK" w:cs="方正仿宋_GBK"/>
          <w:sz w:val="32"/>
          <w:szCs w:val="32"/>
          <w:lang w:val="en-US" w:eastAsia="zh-CN"/>
        </w:rPr>
        <w:t>13.96</w:t>
      </w:r>
      <w:r>
        <w:rPr>
          <w:rFonts w:ascii="Times New Roman" w:hAnsi="Times New Roman" w:eastAsia="方正仿宋_GBK"/>
          <w:sz w:val="32"/>
          <w:szCs w:val="32"/>
        </w:rPr>
        <w:t>%</w:t>
      </w:r>
      <w:r>
        <w:rPr>
          <w:rFonts w:hint="eastAsia" w:ascii="方正仿宋_GBK" w:hAnsi="Times New Roman" w:eastAsia="方正仿宋_GBK" w:cs="方正仿宋_GBK"/>
          <w:sz w:val="32"/>
          <w:szCs w:val="32"/>
        </w:rPr>
        <w:t>，增长原因主要是</w:t>
      </w:r>
      <w:r>
        <w:rPr>
          <w:rFonts w:hint="eastAsia" w:ascii="方正仿宋_GBK" w:hAnsi="Times New Roman" w:eastAsia="方正仿宋_GBK" w:cs="方正仿宋_GBK"/>
          <w:sz w:val="32"/>
          <w:szCs w:val="32"/>
          <w:lang w:val="en-US" w:eastAsia="zh-CN"/>
        </w:rPr>
        <w:t>单位新增加人员</w:t>
      </w:r>
      <w:r>
        <w:rPr>
          <w:rFonts w:hint="eastAsia" w:ascii="方正仿宋_GBK" w:hAnsi="Times New Roman" w:eastAsia="方正仿宋_GBK" w:cs="方正仿宋_GBK"/>
          <w:sz w:val="32"/>
          <w:szCs w:val="32"/>
        </w:rPr>
        <w:t>。</w:t>
      </w:r>
    </w:p>
    <w:p w14:paraId="77F3AC4F">
      <w:pPr>
        <w:pStyle w:val="7"/>
        <w:rPr>
          <w:rFonts w:hint="default" w:ascii="Times New Roman" w:hAnsi="Times New Roman" w:eastAsia="方正仿宋_GBK" w:cs="Times New Roman"/>
          <w:color w:val="FF0000"/>
          <w:sz w:val="32"/>
          <w:szCs w:val="32"/>
        </w:rPr>
      </w:pPr>
      <w:r>
        <w:rPr>
          <w:rFonts w:hint="eastAsia" w:ascii="Times New Roman" w:hAnsi="Times New Roman" w:eastAsia="方正仿宋_GBK" w:cs="Times New Roman"/>
          <w:b w:val="0"/>
          <w:bCs w:val="0"/>
          <w:color w:val="auto"/>
          <w:kern w:val="2"/>
          <w:sz w:val="32"/>
          <w:szCs w:val="32"/>
          <w:lang w:val="en-US" w:eastAsia="zh-CN" w:bidi="ar-SA"/>
        </w:rPr>
        <w:t>9.住房保障支出(类)住房改革支出(款)提租补贴(项)</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方正仿宋_GBK" w:hAnsi="Times New Roman" w:eastAsia="方正仿宋_GBK" w:cs="方正仿宋_GBK"/>
          <w:sz w:val="32"/>
          <w:szCs w:val="32"/>
        </w:rPr>
        <w:t>年预算</w:t>
      </w:r>
      <w:r>
        <w:rPr>
          <w:rFonts w:hint="eastAsia" w:ascii="方正仿宋_GBK" w:hAnsi="Times New Roman" w:eastAsia="方正仿宋_GBK" w:cs="方正仿宋_GBK"/>
          <w:sz w:val="32"/>
          <w:szCs w:val="32"/>
          <w:lang w:val="en-US" w:eastAsia="zh-CN"/>
        </w:rPr>
        <w:t>10.8</w:t>
      </w:r>
      <w:r>
        <w:rPr>
          <w:rFonts w:hint="eastAsia" w:ascii="方正仿宋_GBK" w:hAnsi="Times New Roman" w:eastAsia="方正仿宋_GBK" w:cs="方正仿宋_GBK"/>
          <w:sz w:val="32"/>
          <w:szCs w:val="32"/>
        </w:rPr>
        <w:t>万元，比</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方正仿宋_GBK" w:hAnsi="Times New Roman" w:eastAsia="方正仿宋_GBK" w:cs="方正仿宋_GBK"/>
          <w:sz w:val="32"/>
          <w:szCs w:val="32"/>
        </w:rPr>
        <w:t>年预算</w:t>
      </w:r>
      <w:r>
        <w:rPr>
          <w:rFonts w:hint="eastAsia" w:ascii="方正仿宋_GBK" w:hAnsi="Times New Roman" w:eastAsia="方正仿宋_GBK" w:cs="方正仿宋_GBK"/>
          <w:sz w:val="32"/>
          <w:szCs w:val="32"/>
          <w:lang w:val="en-US" w:eastAsia="zh-CN"/>
        </w:rPr>
        <w:t>减少1.982</w:t>
      </w:r>
      <w:r>
        <w:rPr>
          <w:rFonts w:hint="eastAsia" w:ascii="方正仿宋_GBK" w:hAnsi="Times New Roman" w:eastAsia="方正仿宋_GBK" w:cs="方正仿宋_GBK"/>
          <w:sz w:val="32"/>
          <w:szCs w:val="32"/>
        </w:rPr>
        <w:t>万元，</w:t>
      </w:r>
      <w:r>
        <w:rPr>
          <w:rFonts w:hint="eastAsia" w:ascii="方正仿宋_GBK" w:hAnsi="Times New Roman" w:eastAsia="方正仿宋_GBK" w:cs="方正仿宋_GBK"/>
          <w:sz w:val="32"/>
          <w:szCs w:val="32"/>
          <w:lang w:val="en-US" w:eastAsia="zh-CN"/>
        </w:rPr>
        <w:t>减少15.49</w:t>
      </w:r>
      <w:r>
        <w:rPr>
          <w:rFonts w:ascii="Times New Roman" w:hAnsi="Times New Roman" w:eastAsia="方正仿宋_GBK"/>
          <w:sz w:val="32"/>
          <w:szCs w:val="32"/>
        </w:rPr>
        <w:t>%</w:t>
      </w:r>
      <w:r>
        <w:rPr>
          <w:rFonts w:hint="eastAsia" w:ascii="方正仿宋_GBK" w:hAnsi="Times New Roman" w:eastAsia="方正仿宋_GBK" w:cs="方正仿宋_GBK"/>
          <w:sz w:val="32"/>
          <w:szCs w:val="32"/>
        </w:rPr>
        <w:t>，</w:t>
      </w:r>
      <w:r>
        <w:rPr>
          <w:rFonts w:hint="eastAsia" w:ascii="方正仿宋_GBK" w:hAnsi="Times New Roman" w:eastAsia="方正仿宋_GBK" w:cs="方正仿宋_GBK"/>
          <w:sz w:val="32"/>
          <w:szCs w:val="32"/>
          <w:lang w:val="en-US" w:eastAsia="zh-CN"/>
        </w:rPr>
        <w:t>减少</w:t>
      </w:r>
      <w:r>
        <w:rPr>
          <w:rFonts w:hint="eastAsia" w:ascii="方正仿宋_GBK" w:hAnsi="Times New Roman" w:eastAsia="方正仿宋_GBK" w:cs="方正仿宋_GBK"/>
          <w:sz w:val="32"/>
          <w:szCs w:val="32"/>
        </w:rPr>
        <w:t>原因主要是</w:t>
      </w:r>
      <w:r>
        <w:rPr>
          <w:rFonts w:hint="eastAsia" w:ascii="方正仿宋_GBK" w:hAnsi="Times New Roman" w:eastAsia="方正仿宋_GBK" w:cs="方正仿宋_GBK"/>
          <w:sz w:val="32"/>
          <w:szCs w:val="32"/>
          <w:lang w:val="en-US" w:eastAsia="zh-CN"/>
        </w:rPr>
        <w:t>缴费基数调整</w:t>
      </w:r>
      <w:r>
        <w:rPr>
          <w:rFonts w:hint="eastAsia" w:ascii="方正仿宋_GBK" w:hAnsi="Times New Roman" w:eastAsia="方正仿宋_GBK" w:cs="方正仿宋_GBK"/>
          <w:sz w:val="32"/>
          <w:szCs w:val="32"/>
        </w:rPr>
        <w:t>。</w:t>
      </w:r>
    </w:p>
    <w:p w14:paraId="29668916">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六、关于2026年一般公共预算基本支出表的说明</w:t>
      </w:r>
    </w:p>
    <w:p w14:paraId="573F5C68">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lang w:eastAsia="zh-CN"/>
        </w:rPr>
        <w:t>2026年一般公共预算基本支出</w:t>
      </w:r>
      <w:r>
        <w:rPr>
          <w:rFonts w:hint="eastAsia" w:ascii="Times New Roman" w:hAnsi="Times New Roman" w:eastAsia="方正仿宋_GBK" w:cs="Times New Roman"/>
          <w:sz w:val="32"/>
          <w:szCs w:val="32"/>
          <w:lang w:val="en-US" w:eastAsia="zh-CN"/>
        </w:rPr>
        <w:t>900.57</w:t>
      </w:r>
      <w:r>
        <w:rPr>
          <w:rFonts w:hint="default" w:ascii="Times New Roman" w:hAnsi="Times New Roman" w:eastAsia="方正仿宋_GBK" w:cs="Times New Roman"/>
          <w:sz w:val="32"/>
          <w:szCs w:val="32"/>
          <w:lang w:eastAsia="zh-CN"/>
        </w:rPr>
        <w:t>万元，其中，人员经费</w:t>
      </w:r>
      <w:r>
        <w:rPr>
          <w:rFonts w:hint="eastAsia" w:ascii="Times New Roman" w:hAnsi="Times New Roman" w:eastAsia="方正仿宋_GBK" w:cs="Times New Roman"/>
          <w:sz w:val="32"/>
          <w:szCs w:val="32"/>
          <w:lang w:val="en-US" w:eastAsia="zh-CN"/>
        </w:rPr>
        <w:t>742.25</w:t>
      </w:r>
      <w:r>
        <w:rPr>
          <w:rFonts w:hint="default" w:ascii="Times New Roman" w:hAnsi="Times New Roman" w:eastAsia="方正仿宋_GBK" w:cs="Times New Roman"/>
          <w:sz w:val="32"/>
          <w:szCs w:val="32"/>
          <w:lang w:eastAsia="zh-CN"/>
        </w:rPr>
        <w:t>万元，公用经费</w:t>
      </w:r>
      <w:r>
        <w:rPr>
          <w:rFonts w:hint="eastAsia" w:ascii="Times New Roman" w:hAnsi="Times New Roman" w:eastAsia="方正仿宋_GBK" w:cs="Times New Roman"/>
          <w:sz w:val="32"/>
          <w:szCs w:val="32"/>
          <w:lang w:val="en-US" w:eastAsia="zh-CN"/>
        </w:rPr>
        <w:t>158.32</w:t>
      </w:r>
      <w:r>
        <w:rPr>
          <w:rFonts w:hint="default" w:ascii="Times New Roman" w:hAnsi="Times New Roman" w:eastAsia="方正仿宋_GBK" w:cs="Times New Roman"/>
          <w:sz w:val="32"/>
          <w:szCs w:val="32"/>
          <w:lang w:eastAsia="zh-CN"/>
        </w:rPr>
        <w:t>万元。</w:t>
      </w:r>
    </w:p>
    <w:p w14:paraId="3420FADE">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（一）人员经费</w:t>
      </w:r>
      <w:r>
        <w:rPr>
          <w:rFonts w:hint="eastAsia" w:ascii="Times New Roman" w:hAnsi="Times New Roman" w:eastAsia="方正仿宋_GBK" w:cs="Times New Roman"/>
          <w:sz w:val="32"/>
          <w:szCs w:val="32"/>
          <w:lang w:val="en-US" w:eastAsia="zh-CN"/>
        </w:rPr>
        <w:t>742.25</w:t>
      </w:r>
      <w:r>
        <w:rPr>
          <w:rFonts w:hint="default" w:ascii="Times New Roman" w:hAnsi="Times New Roman" w:eastAsia="方正仿宋_GBK" w:cs="Times New Roman"/>
          <w:sz w:val="32"/>
          <w:szCs w:val="32"/>
          <w:lang w:eastAsia="zh-CN"/>
        </w:rPr>
        <w:t>万元，主要包括:基本工资</w:t>
      </w:r>
      <w:r>
        <w:rPr>
          <w:rFonts w:hint="eastAsia" w:ascii="Times New Roman" w:hAnsi="Times New Roman" w:eastAsia="方正仿宋_GBK" w:cs="Times New Roman"/>
          <w:sz w:val="32"/>
          <w:szCs w:val="32"/>
          <w:lang w:val="en-US" w:eastAsia="zh-CN"/>
        </w:rPr>
        <w:t>242.47万元</w:t>
      </w:r>
      <w:r>
        <w:rPr>
          <w:rFonts w:hint="default" w:ascii="Times New Roman" w:hAnsi="Times New Roman" w:eastAsia="方正仿宋_GBK" w:cs="Times New Roman"/>
          <w:sz w:val="32"/>
          <w:szCs w:val="32"/>
          <w:lang w:eastAsia="zh-CN"/>
        </w:rPr>
        <w:t>、津贴补贴</w:t>
      </w:r>
      <w:r>
        <w:rPr>
          <w:rFonts w:hint="eastAsia" w:ascii="Times New Roman" w:hAnsi="Times New Roman" w:eastAsia="方正仿宋_GBK" w:cs="Times New Roman"/>
          <w:sz w:val="32"/>
          <w:szCs w:val="32"/>
          <w:lang w:val="en-US" w:eastAsia="zh-CN"/>
        </w:rPr>
        <w:t>88.12万元</w:t>
      </w:r>
      <w:r>
        <w:rPr>
          <w:rFonts w:hint="default" w:ascii="Times New Roman" w:hAnsi="Times New Roman" w:eastAsia="方正仿宋_GBK" w:cs="Times New Roman"/>
          <w:sz w:val="32"/>
          <w:szCs w:val="32"/>
          <w:lang w:eastAsia="zh-CN"/>
        </w:rPr>
        <w:t>、奖金</w:t>
      </w:r>
      <w:r>
        <w:rPr>
          <w:rFonts w:hint="eastAsia" w:ascii="Times New Roman" w:hAnsi="Times New Roman" w:eastAsia="方正仿宋_GBK" w:cs="Times New Roman"/>
          <w:sz w:val="32"/>
          <w:szCs w:val="32"/>
          <w:lang w:val="en-US" w:eastAsia="zh-CN"/>
        </w:rPr>
        <w:t>124.6万元</w:t>
      </w:r>
      <w:r>
        <w:rPr>
          <w:rFonts w:hint="default" w:ascii="Times New Roman" w:hAnsi="Times New Roman" w:eastAsia="方正仿宋_GBK" w:cs="Times New Roman"/>
          <w:sz w:val="32"/>
          <w:szCs w:val="32"/>
          <w:lang w:eastAsia="zh-CN"/>
        </w:rPr>
        <w:t>、伙食补助费</w:t>
      </w:r>
      <w:r>
        <w:rPr>
          <w:rFonts w:hint="eastAsia" w:ascii="Times New Roman" w:hAnsi="Times New Roman" w:eastAsia="方正仿宋_GBK" w:cs="Times New Roman"/>
          <w:sz w:val="32"/>
          <w:szCs w:val="32"/>
          <w:lang w:val="en-US" w:eastAsia="zh-CN"/>
        </w:rPr>
        <w:t>13.3万元</w:t>
      </w:r>
      <w:r>
        <w:rPr>
          <w:rFonts w:hint="default" w:ascii="Times New Roman" w:hAnsi="Times New Roman" w:eastAsia="方正仿宋_GBK" w:cs="Times New Roman"/>
          <w:sz w:val="32"/>
          <w:szCs w:val="32"/>
          <w:lang w:eastAsia="zh-CN"/>
        </w:rPr>
        <w:t>、绩效工资</w:t>
      </w:r>
      <w:r>
        <w:rPr>
          <w:rFonts w:hint="eastAsia" w:ascii="Times New Roman" w:hAnsi="Times New Roman" w:eastAsia="方正仿宋_GBK" w:cs="Times New Roman"/>
          <w:sz w:val="32"/>
          <w:szCs w:val="32"/>
          <w:lang w:val="en-US" w:eastAsia="zh-CN"/>
        </w:rPr>
        <w:t>72.29万元</w:t>
      </w:r>
      <w:r>
        <w:rPr>
          <w:rFonts w:hint="default" w:ascii="Times New Roman" w:hAnsi="Times New Roman" w:eastAsia="方正仿宋_GBK" w:cs="Times New Roman"/>
          <w:sz w:val="32"/>
          <w:szCs w:val="32"/>
          <w:lang w:eastAsia="zh-CN"/>
        </w:rPr>
        <w:t>、机关事业单位基本养老保险费</w:t>
      </w:r>
      <w:r>
        <w:rPr>
          <w:rFonts w:hint="eastAsia" w:ascii="Times New Roman" w:hAnsi="Times New Roman" w:eastAsia="方正仿宋_GBK" w:cs="Times New Roman"/>
          <w:sz w:val="32"/>
          <w:szCs w:val="32"/>
          <w:lang w:val="en-US" w:eastAsia="zh-CN"/>
        </w:rPr>
        <w:t>77.58万元</w:t>
      </w:r>
      <w:r>
        <w:rPr>
          <w:rFonts w:hint="default" w:ascii="Times New Roman" w:hAnsi="Times New Roman" w:eastAsia="方正仿宋_GBK" w:cs="Times New Roman"/>
          <w:sz w:val="32"/>
          <w:szCs w:val="32"/>
          <w:lang w:eastAsia="zh-CN"/>
        </w:rPr>
        <w:t>、职业年金缴费</w:t>
      </w:r>
      <w:r>
        <w:rPr>
          <w:rFonts w:hint="eastAsia" w:ascii="Times New Roman" w:hAnsi="Times New Roman" w:eastAsia="方正仿宋_GBK" w:cs="Times New Roman"/>
          <w:sz w:val="32"/>
          <w:szCs w:val="32"/>
          <w:lang w:val="en-US" w:eastAsia="zh-CN"/>
        </w:rPr>
        <w:t>38.79万元</w:t>
      </w:r>
      <w:r>
        <w:rPr>
          <w:rFonts w:hint="default" w:ascii="Times New Roman" w:hAnsi="Times New Roman" w:eastAsia="方正仿宋_GBK" w:cs="Times New Roman"/>
          <w:sz w:val="32"/>
          <w:szCs w:val="32"/>
          <w:lang w:eastAsia="zh-CN"/>
        </w:rPr>
        <w:t>、职工基本医疗保险缴费</w:t>
      </w:r>
      <w:r>
        <w:rPr>
          <w:rFonts w:hint="eastAsia" w:ascii="Times New Roman" w:hAnsi="Times New Roman" w:eastAsia="方正仿宋_GBK" w:cs="Times New Roman"/>
          <w:sz w:val="32"/>
          <w:szCs w:val="32"/>
          <w:lang w:val="en-US" w:eastAsia="zh-CN"/>
        </w:rPr>
        <w:t>21万元</w:t>
      </w:r>
      <w:r>
        <w:rPr>
          <w:rFonts w:hint="default" w:ascii="Times New Roman" w:hAnsi="Times New Roman" w:eastAsia="方正仿宋_GBK" w:cs="Times New Roman"/>
          <w:sz w:val="32"/>
          <w:szCs w:val="32"/>
          <w:lang w:eastAsia="zh-CN"/>
        </w:rPr>
        <w:t>、公务员医疗补助缴费</w:t>
      </w:r>
      <w:r>
        <w:rPr>
          <w:rFonts w:hint="eastAsia" w:ascii="Times New Roman" w:hAnsi="Times New Roman" w:eastAsia="方正仿宋_GBK" w:cs="Times New Roman"/>
          <w:sz w:val="32"/>
          <w:szCs w:val="32"/>
          <w:lang w:val="en-US" w:eastAsia="zh-CN"/>
        </w:rPr>
        <w:t>4.3万元</w:t>
      </w:r>
      <w:r>
        <w:rPr>
          <w:rFonts w:hint="default" w:ascii="Times New Roman" w:hAnsi="Times New Roman" w:eastAsia="方正仿宋_GBK" w:cs="Times New Roman"/>
          <w:sz w:val="32"/>
          <w:szCs w:val="32"/>
          <w:lang w:eastAsia="zh-CN"/>
        </w:rPr>
        <w:t>、其他社会保障缴费</w:t>
      </w:r>
      <w:r>
        <w:rPr>
          <w:rFonts w:hint="eastAsia" w:ascii="Times New Roman" w:hAnsi="Times New Roman" w:eastAsia="方正仿宋_GBK" w:cs="Times New Roman"/>
          <w:sz w:val="32"/>
          <w:szCs w:val="32"/>
          <w:lang w:val="en-US" w:eastAsia="zh-CN"/>
        </w:rPr>
        <w:t>1.51万元</w:t>
      </w:r>
      <w:r>
        <w:rPr>
          <w:rFonts w:hint="default" w:ascii="Times New Roman" w:hAnsi="Times New Roman" w:eastAsia="方正仿宋_GBK" w:cs="Times New Roman"/>
          <w:sz w:val="32"/>
          <w:szCs w:val="32"/>
          <w:lang w:eastAsia="zh-CN"/>
        </w:rPr>
        <w:t>、住房公积金</w:t>
      </w:r>
      <w:r>
        <w:rPr>
          <w:rFonts w:hint="eastAsia" w:ascii="Times New Roman" w:hAnsi="Times New Roman" w:eastAsia="方正仿宋_GBK" w:cs="Times New Roman"/>
          <w:sz w:val="32"/>
          <w:szCs w:val="32"/>
          <w:lang w:val="en-US" w:eastAsia="zh-CN"/>
        </w:rPr>
        <w:t>58.29万元</w:t>
      </w:r>
      <w:r>
        <w:rPr>
          <w:rFonts w:hint="default" w:ascii="Times New Roman" w:hAnsi="Times New Roman" w:eastAsia="方正仿宋_GBK" w:cs="Times New Roman"/>
          <w:sz w:val="32"/>
          <w:szCs w:val="32"/>
          <w:lang w:eastAsia="zh-CN"/>
        </w:rPr>
        <w:t>。</w:t>
      </w:r>
    </w:p>
    <w:p w14:paraId="1F7DE995">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（二）公用经费</w:t>
      </w:r>
      <w:r>
        <w:rPr>
          <w:rFonts w:hint="eastAsia" w:ascii="Times New Roman" w:hAnsi="Times New Roman" w:eastAsia="方正仿宋_GBK" w:cs="Times New Roman"/>
          <w:sz w:val="32"/>
          <w:szCs w:val="32"/>
          <w:lang w:val="en-US" w:eastAsia="zh-CN"/>
        </w:rPr>
        <w:t>158.32</w:t>
      </w:r>
      <w:r>
        <w:rPr>
          <w:rFonts w:hint="default" w:ascii="Times New Roman" w:hAnsi="Times New Roman" w:eastAsia="方正仿宋_GBK" w:cs="Times New Roman"/>
          <w:sz w:val="32"/>
          <w:szCs w:val="32"/>
          <w:lang w:eastAsia="zh-CN"/>
        </w:rPr>
        <w:t>万元，主要包括：办公费</w:t>
      </w:r>
      <w:r>
        <w:rPr>
          <w:rFonts w:hint="eastAsia" w:ascii="Times New Roman" w:hAnsi="Times New Roman" w:eastAsia="方正仿宋_GBK" w:cs="Times New Roman"/>
          <w:sz w:val="32"/>
          <w:szCs w:val="32"/>
          <w:lang w:val="en-US" w:eastAsia="zh-CN"/>
        </w:rPr>
        <w:t>16.1万元</w:t>
      </w:r>
      <w:r>
        <w:rPr>
          <w:rFonts w:hint="default" w:ascii="Times New Roman" w:hAnsi="Times New Roman" w:eastAsia="方正仿宋_GBK" w:cs="Times New Roman"/>
          <w:sz w:val="32"/>
          <w:szCs w:val="32"/>
          <w:lang w:eastAsia="zh-CN"/>
        </w:rPr>
        <w:t>、印刷费</w:t>
      </w:r>
      <w:r>
        <w:rPr>
          <w:rFonts w:hint="eastAsia" w:ascii="Times New Roman" w:hAnsi="Times New Roman" w:eastAsia="方正仿宋_GBK" w:cs="Times New Roman"/>
          <w:sz w:val="32"/>
          <w:szCs w:val="32"/>
          <w:lang w:val="en-US" w:eastAsia="zh-CN"/>
        </w:rPr>
        <w:t>8.5万元</w:t>
      </w:r>
      <w:r>
        <w:rPr>
          <w:rFonts w:hint="default" w:ascii="Times New Roman" w:hAnsi="Times New Roman" w:eastAsia="方正仿宋_GBK" w:cs="Times New Roman"/>
          <w:sz w:val="32"/>
          <w:szCs w:val="32"/>
          <w:lang w:eastAsia="zh-CN"/>
        </w:rPr>
        <w:t>、水费</w:t>
      </w:r>
      <w:r>
        <w:rPr>
          <w:rFonts w:hint="eastAsia" w:ascii="Times New Roman" w:hAnsi="Times New Roman" w:eastAsia="方正仿宋_GBK" w:cs="Times New Roman"/>
          <w:sz w:val="32"/>
          <w:szCs w:val="32"/>
          <w:lang w:val="en-US" w:eastAsia="zh-CN"/>
        </w:rPr>
        <w:t>9.1万元</w:t>
      </w:r>
      <w:r>
        <w:rPr>
          <w:rFonts w:hint="default" w:ascii="Times New Roman" w:hAnsi="Times New Roman" w:eastAsia="方正仿宋_GBK" w:cs="Times New Roman"/>
          <w:sz w:val="32"/>
          <w:szCs w:val="32"/>
          <w:lang w:eastAsia="zh-CN"/>
        </w:rPr>
        <w:t>、电费</w:t>
      </w:r>
      <w:r>
        <w:rPr>
          <w:rFonts w:hint="eastAsia" w:ascii="Times New Roman" w:hAnsi="Times New Roman" w:eastAsia="方正仿宋_GBK" w:cs="Times New Roman"/>
          <w:sz w:val="32"/>
          <w:szCs w:val="32"/>
          <w:lang w:val="en-US" w:eastAsia="zh-CN"/>
        </w:rPr>
        <w:t>13.5万元</w:t>
      </w:r>
      <w:r>
        <w:rPr>
          <w:rFonts w:hint="default" w:ascii="Times New Roman" w:hAnsi="Times New Roman" w:eastAsia="方正仿宋_GBK" w:cs="Times New Roman"/>
          <w:sz w:val="32"/>
          <w:szCs w:val="32"/>
          <w:lang w:eastAsia="zh-CN"/>
        </w:rPr>
        <w:t>、差旅费</w:t>
      </w:r>
      <w:r>
        <w:rPr>
          <w:rFonts w:hint="eastAsia" w:ascii="Times New Roman" w:hAnsi="Times New Roman" w:eastAsia="方正仿宋_GBK" w:cs="Times New Roman"/>
          <w:sz w:val="32"/>
          <w:szCs w:val="32"/>
          <w:lang w:val="en-US" w:eastAsia="zh-CN"/>
        </w:rPr>
        <w:t>6.2万元</w:t>
      </w:r>
      <w:r>
        <w:rPr>
          <w:rFonts w:hint="default" w:ascii="Times New Roman" w:hAnsi="Times New Roman" w:eastAsia="方正仿宋_GBK" w:cs="Times New Roman"/>
          <w:sz w:val="32"/>
          <w:szCs w:val="32"/>
          <w:lang w:eastAsia="zh-CN"/>
        </w:rPr>
        <w:t>、维修（护）费</w:t>
      </w:r>
      <w:r>
        <w:rPr>
          <w:rFonts w:hint="eastAsia" w:ascii="Times New Roman" w:hAnsi="Times New Roman" w:eastAsia="方正仿宋_GBK" w:cs="Times New Roman"/>
          <w:sz w:val="32"/>
          <w:szCs w:val="32"/>
          <w:lang w:val="en-US" w:eastAsia="zh-CN"/>
        </w:rPr>
        <w:t>11.22万元</w:t>
      </w:r>
      <w:r>
        <w:rPr>
          <w:rFonts w:hint="default" w:ascii="Times New Roman" w:hAnsi="Times New Roman" w:eastAsia="方正仿宋_GBK" w:cs="Times New Roman"/>
          <w:sz w:val="32"/>
          <w:szCs w:val="32"/>
          <w:lang w:eastAsia="zh-CN"/>
        </w:rPr>
        <w:t>、租赁费</w:t>
      </w:r>
      <w:r>
        <w:rPr>
          <w:rFonts w:hint="eastAsia" w:ascii="Times New Roman" w:hAnsi="Times New Roman" w:eastAsia="方正仿宋_GBK" w:cs="Times New Roman"/>
          <w:sz w:val="32"/>
          <w:szCs w:val="32"/>
          <w:lang w:val="en-US" w:eastAsia="zh-CN"/>
        </w:rPr>
        <w:t>1万元</w:t>
      </w:r>
      <w:r>
        <w:rPr>
          <w:rFonts w:hint="default" w:ascii="Times New Roman" w:hAnsi="Times New Roman" w:eastAsia="方正仿宋_GBK" w:cs="Times New Roman"/>
          <w:sz w:val="32"/>
          <w:szCs w:val="32"/>
          <w:lang w:eastAsia="zh-CN"/>
        </w:rPr>
        <w:t>、会议费</w:t>
      </w:r>
      <w:r>
        <w:rPr>
          <w:rFonts w:hint="eastAsia" w:ascii="Times New Roman" w:hAnsi="Times New Roman" w:eastAsia="方正仿宋_GBK" w:cs="Times New Roman"/>
          <w:sz w:val="32"/>
          <w:szCs w:val="32"/>
          <w:lang w:val="en-US" w:eastAsia="zh-CN"/>
        </w:rPr>
        <w:t>1万元</w:t>
      </w:r>
      <w:r>
        <w:rPr>
          <w:rFonts w:hint="default" w:ascii="Times New Roman" w:hAnsi="Times New Roman" w:eastAsia="方正仿宋_GBK" w:cs="Times New Roman"/>
          <w:sz w:val="32"/>
          <w:szCs w:val="32"/>
          <w:lang w:eastAsia="zh-CN"/>
        </w:rPr>
        <w:t>、培训费</w:t>
      </w:r>
      <w:r>
        <w:rPr>
          <w:rFonts w:hint="eastAsia" w:ascii="Times New Roman" w:hAnsi="Times New Roman" w:eastAsia="方正仿宋_GBK" w:cs="Times New Roman"/>
          <w:sz w:val="32"/>
          <w:szCs w:val="32"/>
          <w:lang w:val="en-US" w:eastAsia="zh-CN"/>
        </w:rPr>
        <w:t>1万元</w:t>
      </w:r>
      <w:r>
        <w:rPr>
          <w:rFonts w:hint="default" w:ascii="Times New Roman" w:hAnsi="Times New Roman" w:eastAsia="方正仿宋_GBK" w:cs="Times New Roman"/>
          <w:sz w:val="32"/>
          <w:szCs w:val="32"/>
          <w:lang w:eastAsia="zh-CN"/>
        </w:rPr>
        <w:t>、公务接待费</w:t>
      </w:r>
      <w:r>
        <w:rPr>
          <w:rFonts w:hint="eastAsia" w:ascii="Times New Roman" w:hAnsi="Times New Roman" w:eastAsia="方正仿宋_GBK" w:cs="Times New Roman"/>
          <w:sz w:val="32"/>
          <w:szCs w:val="32"/>
          <w:lang w:val="en-US" w:eastAsia="zh-CN"/>
        </w:rPr>
        <w:t>6万元</w:t>
      </w:r>
      <w:r>
        <w:rPr>
          <w:rFonts w:hint="default"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4.5万元</w:t>
      </w:r>
      <w:r>
        <w:rPr>
          <w:rFonts w:hint="default" w:ascii="Times New Roman" w:hAnsi="Times New Roman" w:eastAsia="方正仿宋_GBK" w:cs="Times New Roman"/>
          <w:sz w:val="32"/>
          <w:szCs w:val="32"/>
          <w:lang w:eastAsia="zh-CN"/>
        </w:rPr>
        <w:t>、工会经费</w:t>
      </w:r>
      <w:r>
        <w:rPr>
          <w:rFonts w:hint="eastAsia" w:ascii="Times New Roman" w:hAnsi="Times New Roman" w:eastAsia="方正仿宋_GBK" w:cs="Times New Roman"/>
          <w:sz w:val="32"/>
          <w:szCs w:val="32"/>
          <w:lang w:val="en-US" w:eastAsia="zh-CN"/>
        </w:rPr>
        <w:t>19.42万元</w:t>
      </w:r>
      <w:r>
        <w:rPr>
          <w:rFonts w:hint="default" w:ascii="Times New Roman" w:hAnsi="Times New Roman" w:eastAsia="方正仿宋_GBK" w:cs="Times New Roman"/>
          <w:sz w:val="32"/>
          <w:szCs w:val="32"/>
          <w:lang w:eastAsia="zh-CN"/>
        </w:rPr>
        <w:t>、公务用车运行维护费</w:t>
      </w:r>
      <w:r>
        <w:rPr>
          <w:rFonts w:hint="eastAsia" w:ascii="Times New Roman" w:hAnsi="Times New Roman" w:eastAsia="方正仿宋_GBK" w:cs="Times New Roman"/>
          <w:sz w:val="32"/>
          <w:szCs w:val="32"/>
          <w:lang w:val="en-US" w:eastAsia="zh-CN"/>
        </w:rPr>
        <w:t>14万元</w:t>
      </w:r>
      <w:r>
        <w:rPr>
          <w:rFonts w:hint="default" w:ascii="Times New Roman" w:hAnsi="Times New Roman" w:eastAsia="方正仿宋_GBK" w:cs="Times New Roman"/>
          <w:sz w:val="32"/>
          <w:szCs w:val="32"/>
          <w:lang w:eastAsia="zh-CN"/>
        </w:rPr>
        <w:t>、其他交通费用</w:t>
      </w:r>
      <w:r>
        <w:rPr>
          <w:rFonts w:hint="eastAsia" w:ascii="Times New Roman" w:hAnsi="Times New Roman" w:eastAsia="方正仿宋_GBK" w:cs="Times New Roman"/>
          <w:sz w:val="32"/>
          <w:szCs w:val="32"/>
          <w:lang w:val="en-US" w:eastAsia="zh-CN"/>
        </w:rPr>
        <w:t>15.91万元</w:t>
      </w:r>
      <w:r>
        <w:rPr>
          <w:rFonts w:hint="default" w:ascii="Times New Roman" w:hAnsi="Times New Roman" w:eastAsia="方正仿宋_GBK" w:cs="Times New Roman"/>
          <w:sz w:val="32"/>
          <w:szCs w:val="32"/>
          <w:lang w:eastAsia="zh-CN"/>
        </w:rPr>
        <w:t>、其他商品服务支出</w:t>
      </w:r>
      <w:r>
        <w:rPr>
          <w:rFonts w:hint="eastAsia" w:ascii="Times New Roman" w:hAnsi="Times New Roman" w:eastAsia="方正仿宋_GBK" w:cs="Times New Roman"/>
          <w:sz w:val="32"/>
          <w:szCs w:val="32"/>
          <w:lang w:val="en-US" w:eastAsia="zh-CN"/>
        </w:rPr>
        <w:t>13万元</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退休费7.76万元</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生活补助5.75万元、医疗费补助1.34万元、</w:t>
      </w:r>
      <w:r>
        <w:rPr>
          <w:rFonts w:hint="default" w:ascii="Times New Roman" w:hAnsi="Times New Roman" w:eastAsia="方正仿宋_GBK" w:cs="Times New Roman"/>
          <w:sz w:val="32"/>
          <w:szCs w:val="32"/>
          <w:lang w:eastAsia="zh-CN"/>
        </w:rPr>
        <w:t>办公设备购置</w:t>
      </w:r>
      <w:r>
        <w:rPr>
          <w:rFonts w:hint="eastAsia" w:ascii="Times New Roman" w:hAnsi="Times New Roman" w:eastAsia="方正仿宋_GBK" w:cs="Times New Roman"/>
          <w:sz w:val="32"/>
          <w:szCs w:val="32"/>
          <w:lang w:val="en-US" w:eastAsia="zh-CN"/>
        </w:rPr>
        <w:t>3万元</w:t>
      </w:r>
      <w:r>
        <w:rPr>
          <w:rFonts w:hint="default" w:ascii="Times New Roman" w:hAnsi="Times New Roman" w:eastAsia="方正仿宋_GBK" w:cs="Times New Roman"/>
          <w:sz w:val="32"/>
          <w:szCs w:val="32"/>
          <w:lang w:eastAsia="zh-CN"/>
        </w:rPr>
        <w:t>。</w:t>
      </w:r>
    </w:p>
    <w:p w14:paraId="75524E10">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七、关于 2026年政府性基金预算支出表的说明</w:t>
      </w:r>
    </w:p>
    <w:p w14:paraId="535BE01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2026年没有政府性基金预算拨款收入，也没有使用政府性基金预算拨款安排的支出。</w:t>
      </w:r>
    </w:p>
    <w:p w14:paraId="4C6464C0">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八、关于2026年国有资本经营预算支出表的说明</w:t>
      </w:r>
    </w:p>
    <w:p w14:paraId="0335C18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 xml:space="preserve">2026年没有国有资本经营预算拨款收入，也没有使用国有资本经营预算拨款安排的支出。 </w:t>
      </w:r>
    </w:p>
    <w:p w14:paraId="4C666B8D">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九、关于2026年项目支出表的说明</w:t>
      </w:r>
    </w:p>
    <w:p w14:paraId="366C4C2B">
      <w:pPr>
        <w:spacing w:line="560" w:lineRule="exact"/>
        <w:ind w:firstLine="640" w:firstLineChars="200"/>
        <w:jc w:val="left"/>
        <w:rPr>
          <w:rFonts w:hint="default" w:ascii="Times New Roman" w:hAnsi="Times New Roman" w:eastAsia="方正仿宋_GBK" w:cs="Times New Roman"/>
          <w:sz w:val="32"/>
          <w:szCs w:val="32"/>
        </w:rPr>
      </w:pPr>
      <w:r>
        <w:rPr>
          <w:rFonts w:hint="eastAsia" w:ascii="方正仿宋_GBK" w:hAnsi="Times New Roman" w:eastAsia="方正仿宋_GBK" w:cs="方正仿宋_GBK"/>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方正仿宋_GBK" w:hAnsi="Times New Roman" w:eastAsia="方正仿宋_GBK" w:cs="方正仿宋_GBK"/>
          <w:sz w:val="32"/>
          <w:szCs w:val="32"/>
        </w:rPr>
        <w:t>年预算共安排项目支出</w:t>
      </w:r>
      <w:r>
        <w:rPr>
          <w:rFonts w:hint="eastAsia" w:ascii="方正仿宋_GBK" w:hAnsi="Times New Roman" w:eastAsia="方正仿宋_GBK" w:cs="方正仿宋_GBK"/>
          <w:sz w:val="32"/>
          <w:szCs w:val="32"/>
          <w:lang w:val="en-US" w:eastAsia="zh-CN"/>
        </w:rPr>
        <w:t>49</w:t>
      </w:r>
      <w:r>
        <w:rPr>
          <w:rFonts w:hint="eastAsia" w:ascii="方正仿宋_GBK" w:hAnsi="Times New Roman" w:eastAsia="方正仿宋_GBK" w:cs="方正仿宋_GBK"/>
          <w:sz w:val="32"/>
          <w:szCs w:val="32"/>
        </w:rPr>
        <w:t>万元，</w:t>
      </w:r>
      <w:r>
        <w:rPr>
          <w:rFonts w:hint="eastAsia" w:ascii="方正仿宋_GBK" w:hAnsi="Times New Roman" w:eastAsia="方正仿宋_GBK" w:cs="方正仿宋_GBK"/>
          <w:sz w:val="32"/>
          <w:szCs w:val="32"/>
          <w:lang w:val="en-US" w:eastAsia="zh-CN"/>
        </w:rPr>
        <w:t>与</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方正仿宋_GBK" w:hAnsi="Times New Roman" w:eastAsia="方正仿宋_GBK" w:cs="方正仿宋_GBK"/>
          <w:sz w:val="32"/>
          <w:szCs w:val="32"/>
        </w:rPr>
        <w:t>年预算</w:t>
      </w:r>
      <w:r>
        <w:rPr>
          <w:rFonts w:hint="eastAsia" w:ascii="方正仿宋_GBK" w:hAnsi="Times New Roman" w:eastAsia="方正仿宋_GBK" w:cs="方正仿宋_GBK"/>
          <w:sz w:val="32"/>
          <w:szCs w:val="32"/>
          <w:lang w:val="en-US" w:eastAsia="zh-CN"/>
        </w:rPr>
        <w:t>持平</w:t>
      </w:r>
      <w:r>
        <w:rPr>
          <w:rFonts w:hint="eastAsia" w:ascii="方正仿宋_GBK" w:hAnsi="Times New Roman" w:eastAsia="方正仿宋_GBK" w:cs="方正仿宋_GBK"/>
          <w:sz w:val="32"/>
          <w:szCs w:val="32"/>
        </w:rPr>
        <w:t>。主要包括：本年财政拨款安排</w:t>
      </w:r>
      <w:r>
        <w:rPr>
          <w:rFonts w:hint="eastAsia" w:ascii="方正仿宋_GBK" w:hAnsi="Times New Roman" w:eastAsia="方正仿宋_GBK" w:cs="方正仿宋_GBK"/>
          <w:sz w:val="32"/>
          <w:szCs w:val="32"/>
          <w:lang w:val="en-US" w:eastAsia="zh-CN"/>
        </w:rPr>
        <w:t>49</w:t>
      </w:r>
      <w:r>
        <w:rPr>
          <w:rFonts w:hint="eastAsia" w:ascii="方正仿宋_GBK" w:hAnsi="Times New Roman" w:eastAsia="方正仿宋_GBK" w:cs="方正仿宋_GBK"/>
          <w:sz w:val="32"/>
          <w:szCs w:val="32"/>
        </w:rPr>
        <w:t>万元</w:t>
      </w:r>
      <w:r>
        <w:rPr>
          <w:rFonts w:hint="eastAsia" w:ascii="方正仿宋_GBK" w:hAnsi="Times New Roman" w:eastAsia="方正仿宋_GBK" w:cs="方正仿宋_GBK"/>
          <w:sz w:val="32"/>
          <w:szCs w:val="32"/>
          <w:lang w:eastAsia="zh-CN"/>
        </w:rPr>
        <w:t>，</w:t>
      </w:r>
      <w:r>
        <w:rPr>
          <w:rFonts w:hint="eastAsia" w:ascii="方正仿宋_GBK" w:hAnsi="Times New Roman" w:eastAsia="方正仿宋_GBK" w:cs="方正仿宋_GBK"/>
          <w:sz w:val="32"/>
          <w:szCs w:val="32"/>
          <w:lang w:val="en-US" w:eastAsia="zh-CN"/>
        </w:rPr>
        <w:t>其中</w:t>
      </w:r>
      <w:r>
        <w:rPr>
          <w:rFonts w:hint="eastAsia" w:ascii="方正仿宋_GBK" w:hAnsi="Times New Roman" w:eastAsia="方正仿宋_GBK" w:cs="方正仿宋_GBK"/>
          <w:sz w:val="32"/>
          <w:szCs w:val="32"/>
        </w:rPr>
        <w:t>一般公共预算拨款安排</w:t>
      </w:r>
      <w:r>
        <w:rPr>
          <w:rFonts w:hint="eastAsia" w:ascii="方正仿宋_GBK" w:hAnsi="Times New Roman" w:eastAsia="方正仿宋_GBK" w:cs="方正仿宋_GBK"/>
          <w:sz w:val="32"/>
          <w:szCs w:val="32"/>
          <w:lang w:val="en-US" w:eastAsia="zh-CN"/>
        </w:rPr>
        <w:t>49</w:t>
      </w:r>
      <w:r>
        <w:rPr>
          <w:rFonts w:hint="eastAsia" w:ascii="方正仿宋_GBK" w:hAnsi="Times New Roman" w:eastAsia="方正仿宋_GBK" w:cs="方正仿宋_GBK"/>
          <w:sz w:val="32"/>
          <w:szCs w:val="32"/>
        </w:rPr>
        <w:t>万元。</w:t>
      </w:r>
    </w:p>
    <w:p w14:paraId="3BB17D54">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十、关于2026 年政府采购支出表的说明</w:t>
      </w:r>
    </w:p>
    <w:p w14:paraId="7F2B067E">
      <w:pPr>
        <w:spacing w:line="546"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2026年预算安排政府采购支出</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万元，比2025年预算减少</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0.25</w:t>
      </w:r>
      <w:r>
        <w:rPr>
          <w:rFonts w:hint="default" w:ascii="Times New Roman" w:hAnsi="Times New Roman" w:eastAsia="方正仿宋_GBK" w:cs="Times New Roman"/>
          <w:sz w:val="32"/>
          <w:szCs w:val="32"/>
        </w:rPr>
        <w:t>%，下降原因主要是</w:t>
      </w:r>
      <w:r>
        <w:rPr>
          <w:rFonts w:hint="eastAsia" w:ascii="Times New Roman" w:hAnsi="Times New Roman" w:eastAsia="方正仿宋_GBK" w:cs="Times New Roman"/>
          <w:sz w:val="32"/>
          <w:szCs w:val="32"/>
          <w:lang w:val="en-US" w:eastAsia="zh-CN"/>
        </w:rPr>
        <w:t>响应上级号召，厉行节约</w:t>
      </w:r>
      <w:r>
        <w:rPr>
          <w:rFonts w:hint="default" w:ascii="Times New Roman" w:hAnsi="Times New Roman" w:eastAsia="方正仿宋_GBK" w:cs="Times New Roman"/>
          <w:sz w:val="32"/>
          <w:szCs w:val="32"/>
        </w:rPr>
        <w:t>。</w:t>
      </w:r>
    </w:p>
    <w:p w14:paraId="2AEB314F">
      <w:pPr>
        <w:spacing w:line="546" w:lineRule="exact"/>
        <w:jc w:val="left"/>
        <w:rPr>
          <w:rFonts w:hint="default" w:ascii="Times New Roman" w:hAnsi="Times New Roman" w:eastAsia="方正仿宋_GBK" w:cs="Times New Roman"/>
          <w:color w:val="FF0000"/>
          <w:sz w:val="32"/>
          <w:szCs w:val="32"/>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十一、关于2026年政府购买服务支出表的说明</w:t>
      </w:r>
    </w:p>
    <w:p w14:paraId="01A2F68A">
      <w:pPr>
        <w:spacing w:line="546"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2026年没有安排政府购买服务支出。</w:t>
      </w:r>
    </w:p>
    <w:p w14:paraId="6EE55C84">
      <w:pPr>
        <w:spacing w:line="546" w:lineRule="exact"/>
        <w:jc w:val="left"/>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小标宋_GBK" w:cs="Times New Roman"/>
          <w:sz w:val="32"/>
          <w:szCs w:val="32"/>
        </w:rPr>
        <w:t xml:space="preserve">  </w:t>
      </w:r>
      <w:r>
        <w:rPr>
          <w:rFonts w:hint="default" w:ascii="Times New Roman" w:hAnsi="Times New Roman" w:eastAsia="方正黑体_GBK" w:cs="Times New Roman"/>
          <w:sz w:val="32"/>
          <w:szCs w:val="32"/>
        </w:rPr>
        <w:t>十二、其他重要事项情况说明</w:t>
      </w:r>
    </w:p>
    <w:p w14:paraId="370B47AE">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rPr>
        <w:t>）机关运行经费</w:t>
      </w:r>
    </w:p>
    <w:p w14:paraId="59224E48">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 xml:space="preserve">2026年机关运行经费财政拨款预算 </w:t>
      </w:r>
      <w:r>
        <w:rPr>
          <w:rFonts w:hint="eastAsia" w:ascii="Times New Roman" w:hAnsi="Times New Roman" w:eastAsia="方正仿宋_GBK" w:cs="Times New Roman"/>
          <w:sz w:val="32"/>
          <w:szCs w:val="32"/>
          <w:lang w:val="en-US" w:eastAsia="zh-CN"/>
        </w:rPr>
        <w:t>738.82</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78.72</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11.93</w:t>
      </w:r>
      <w:r>
        <w:rPr>
          <w:rFonts w:hint="default" w:ascii="Times New Roman" w:hAnsi="Times New Roman" w:eastAsia="方正仿宋_GBK" w:cs="Times New Roman"/>
          <w:sz w:val="32"/>
          <w:szCs w:val="32"/>
        </w:rPr>
        <w:t>%，增长原因主要是</w:t>
      </w:r>
      <w:r>
        <w:rPr>
          <w:rFonts w:hint="eastAsia" w:ascii="方正仿宋_GBK" w:hAnsi="Times New Roman" w:eastAsia="方正仿宋_GBK" w:cs="方正仿宋_GBK"/>
          <w:sz w:val="32"/>
          <w:szCs w:val="32"/>
          <w:lang w:val="en-US" w:eastAsia="zh-CN"/>
        </w:rPr>
        <w:t>新增人员致使经费开支增加</w:t>
      </w:r>
      <w:r>
        <w:rPr>
          <w:rFonts w:hint="default" w:ascii="Times New Roman" w:hAnsi="Times New Roman" w:eastAsia="方正仿宋_GBK" w:cs="Times New Roman"/>
          <w:sz w:val="32"/>
          <w:szCs w:val="32"/>
        </w:rPr>
        <w:t>。</w:t>
      </w:r>
    </w:p>
    <w:p w14:paraId="6F4BA188">
      <w:pPr>
        <w:spacing w:line="56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）政府采购情况</w:t>
      </w:r>
    </w:p>
    <w:p w14:paraId="4C95989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2026年政府采购预算</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万元。其中：政府采购货物预算</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万元。</w:t>
      </w:r>
    </w:p>
    <w:p w14:paraId="03F21A64">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）国有资产占有使用情况</w:t>
      </w:r>
    </w:p>
    <w:p w14:paraId="34B1B1B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年12月31日，</w:t>
      </w:r>
      <w:r>
        <w:rPr>
          <w:rFonts w:hint="default" w:ascii="Times New Roman" w:hAnsi="Times New Roman" w:eastAsia="方正仿宋_GBK" w:cs="Times New Roman"/>
          <w:sz w:val="32"/>
          <w:szCs w:val="32"/>
          <w:lang w:eastAsia="zh-CN"/>
        </w:rPr>
        <w:t>萧县</w:t>
      </w:r>
      <w:r>
        <w:rPr>
          <w:rFonts w:hint="eastAsia" w:ascii="方正仿宋_GBK" w:hAnsi="Times New Roman" w:eastAsia="方正仿宋_GBK" w:cs="方正仿宋_GBK"/>
          <w:sz w:val="32"/>
          <w:szCs w:val="32"/>
          <w:lang w:val="en-US" w:eastAsia="zh-CN"/>
        </w:rPr>
        <w:t>青龙集镇人民政府</w:t>
      </w:r>
      <w:r>
        <w:rPr>
          <w:rFonts w:hint="default" w:ascii="Times New Roman" w:hAnsi="Times New Roman" w:eastAsia="方正仿宋_GBK" w:cs="Times New Roman"/>
          <w:sz w:val="32"/>
          <w:szCs w:val="32"/>
        </w:rPr>
        <w:t>共有车辆</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辆，其中：</w:t>
      </w:r>
      <w:r>
        <w:rPr>
          <w:rFonts w:hint="eastAsia" w:ascii="方正仿宋_GBK" w:hAnsi="Times New Roman" w:eastAsia="方正仿宋_GBK" w:cs="方正仿宋_GBK"/>
          <w:sz w:val="32"/>
          <w:szCs w:val="32"/>
        </w:rPr>
        <w:t>主要领导干部用车</w:t>
      </w:r>
      <w:r>
        <w:rPr>
          <w:rFonts w:hint="eastAsia" w:ascii="方正仿宋_GBK" w:hAnsi="Times New Roman" w:eastAsia="方正仿宋_GBK" w:cs="方正仿宋_GBK"/>
          <w:sz w:val="32"/>
          <w:szCs w:val="32"/>
          <w:lang w:val="en-US" w:eastAsia="zh-CN"/>
        </w:rPr>
        <w:t>2</w:t>
      </w:r>
      <w:r>
        <w:rPr>
          <w:rFonts w:hint="eastAsia" w:ascii="方正仿宋_GBK" w:hAnsi="Times New Roman" w:eastAsia="方正仿宋_GBK" w:cs="方正仿宋_GBK"/>
          <w:sz w:val="32"/>
          <w:szCs w:val="32"/>
        </w:rPr>
        <w:t>辆、执法执勤用车</w:t>
      </w:r>
      <w:r>
        <w:rPr>
          <w:rFonts w:hint="eastAsia" w:ascii="方正仿宋_GBK" w:hAnsi="Times New Roman" w:eastAsia="方正仿宋_GBK" w:cs="方正仿宋_GBK"/>
          <w:sz w:val="32"/>
          <w:szCs w:val="32"/>
          <w:lang w:val="en-US" w:eastAsia="zh-CN"/>
        </w:rPr>
        <w:t>1</w:t>
      </w:r>
      <w:r>
        <w:rPr>
          <w:rFonts w:hint="eastAsia" w:ascii="方正仿宋_GBK" w:hAnsi="Times New Roman" w:eastAsia="方正仿宋_GBK" w:cs="方正仿宋_GBK"/>
          <w:sz w:val="32"/>
          <w:szCs w:val="32"/>
        </w:rPr>
        <w:t>辆、其他用车</w:t>
      </w:r>
      <w:r>
        <w:rPr>
          <w:rFonts w:hint="eastAsia" w:ascii="方正仿宋_GBK" w:hAnsi="Times New Roman" w:eastAsia="方正仿宋_GBK" w:cs="方正仿宋_GBK"/>
          <w:sz w:val="32"/>
          <w:szCs w:val="32"/>
          <w:lang w:val="en-US" w:eastAsia="zh-CN"/>
        </w:rPr>
        <w:t>1</w:t>
      </w:r>
      <w:r>
        <w:rPr>
          <w:rFonts w:hint="eastAsia" w:ascii="方正仿宋_GBK" w:hAnsi="Times New Roman" w:eastAsia="方正仿宋_GBK" w:cs="方正仿宋_GBK"/>
          <w:sz w:val="32"/>
          <w:szCs w:val="32"/>
        </w:rPr>
        <w:t>辆，单位价值</w:t>
      </w:r>
      <w:r>
        <w:rPr>
          <w:rFonts w:ascii="Times New Roman" w:hAnsi="Times New Roman" w:eastAsia="方正仿宋_GBK"/>
          <w:sz w:val="32"/>
          <w:szCs w:val="32"/>
        </w:rPr>
        <w:t>100</w:t>
      </w:r>
      <w:r>
        <w:rPr>
          <w:rFonts w:hint="eastAsia" w:ascii="方正仿宋_GBK" w:hAnsi="Times New Roman" w:eastAsia="方正仿宋_GBK" w:cs="方正仿宋_GBK"/>
          <w:sz w:val="32"/>
          <w:szCs w:val="32"/>
        </w:rPr>
        <w:t>万元以上的专用设备</w:t>
      </w:r>
      <w:r>
        <w:rPr>
          <w:rFonts w:hint="eastAsia" w:ascii="方正仿宋_GBK" w:hAnsi="Times New Roman" w:eastAsia="方正仿宋_GBK" w:cs="方正仿宋_GBK"/>
          <w:sz w:val="32"/>
          <w:szCs w:val="32"/>
          <w:lang w:val="en-US" w:eastAsia="zh-CN"/>
        </w:rPr>
        <w:t>0</w:t>
      </w:r>
      <w:r>
        <w:rPr>
          <w:rFonts w:hint="eastAsia" w:ascii="方正仿宋_GBK" w:hAnsi="Times New Roman" w:eastAsia="方正仿宋_GBK" w:cs="方正仿宋_GBK"/>
          <w:sz w:val="32"/>
          <w:szCs w:val="32"/>
        </w:rPr>
        <w:t>台(套)</w:t>
      </w:r>
      <w:r>
        <w:rPr>
          <w:rFonts w:hint="default" w:ascii="Times New Roman" w:hAnsi="Times New Roman" w:eastAsia="方正仿宋_GBK" w:cs="Times New Roman"/>
          <w:sz w:val="32"/>
          <w:szCs w:val="32"/>
        </w:rPr>
        <w:t>。</w:t>
      </w:r>
    </w:p>
    <w:p w14:paraId="58C4D2A8">
      <w:pPr>
        <w:spacing w:line="560" w:lineRule="exact"/>
        <w:ind w:firstLine="640" w:firstLineChars="200"/>
        <w:jc w:val="left"/>
        <w:rPr>
          <w:rFonts w:hint="default" w:ascii="Times New Roman" w:hAnsi="Times New Roman" w:eastAsia="方正仿宋_GBK" w:cs="Times New Roman"/>
          <w:color w:val="FF0000"/>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方正仿宋_GBK" w:hAnsi="Times New Roman" w:eastAsia="方正仿宋_GBK" w:cs="方正仿宋_GBK"/>
          <w:sz w:val="32"/>
          <w:szCs w:val="32"/>
        </w:rPr>
        <w:t>年部门预算安排购置公务用车</w:t>
      </w:r>
      <w:r>
        <w:rPr>
          <w:rFonts w:hint="eastAsia" w:ascii="方正仿宋_GBK" w:hAnsi="Times New Roman" w:eastAsia="方正仿宋_GBK" w:cs="方正仿宋_GBK"/>
          <w:sz w:val="32"/>
          <w:szCs w:val="32"/>
          <w:lang w:val="en-US" w:eastAsia="zh-CN"/>
        </w:rPr>
        <w:t>0</w:t>
      </w:r>
      <w:r>
        <w:rPr>
          <w:rFonts w:hint="eastAsia" w:ascii="方正仿宋_GBK" w:hAnsi="Times New Roman" w:eastAsia="方正仿宋_GBK" w:cs="方正仿宋_GBK"/>
          <w:sz w:val="32"/>
          <w:szCs w:val="32"/>
        </w:rPr>
        <w:t>辆，购置费</w:t>
      </w:r>
      <w:r>
        <w:rPr>
          <w:rFonts w:hint="eastAsia" w:ascii="方正仿宋_GBK" w:hAnsi="Times New Roman" w:eastAsia="方正仿宋_GBK" w:cs="方正仿宋_GBK"/>
          <w:sz w:val="32"/>
          <w:szCs w:val="32"/>
          <w:lang w:val="en-US" w:eastAsia="zh-CN"/>
        </w:rPr>
        <w:t>0</w:t>
      </w:r>
      <w:r>
        <w:rPr>
          <w:rFonts w:hint="eastAsia" w:ascii="方正仿宋_GBK" w:hAnsi="Times New Roman" w:eastAsia="方正仿宋_GBK" w:cs="方正仿宋_GBK"/>
          <w:sz w:val="32"/>
          <w:szCs w:val="32"/>
        </w:rPr>
        <w:t>万元；安排购置单位价值</w:t>
      </w:r>
      <w:r>
        <w:rPr>
          <w:rFonts w:ascii="Times New Roman" w:hAnsi="Times New Roman" w:eastAsia="方正仿宋_GBK"/>
          <w:sz w:val="32"/>
          <w:szCs w:val="32"/>
        </w:rPr>
        <w:t>50</w:t>
      </w:r>
      <w:r>
        <w:rPr>
          <w:rFonts w:hint="eastAsia" w:ascii="方正仿宋_GBK" w:hAnsi="Times New Roman" w:eastAsia="方正仿宋_GBK" w:cs="方正仿宋_GBK"/>
          <w:sz w:val="32"/>
          <w:szCs w:val="32"/>
        </w:rPr>
        <w:t>万元以上的通用设备</w:t>
      </w:r>
      <w:r>
        <w:rPr>
          <w:rFonts w:hint="eastAsia" w:ascii="方正仿宋_GBK" w:hAnsi="Times New Roman" w:eastAsia="方正仿宋_GBK" w:cs="方正仿宋_GBK"/>
          <w:sz w:val="32"/>
          <w:szCs w:val="32"/>
          <w:lang w:val="en-US" w:eastAsia="zh-CN"/>
        </w:rPr>
        <w:t>0</w:t>
      </w:r>
      <w:r>
        <w:rPr>
          <w:rFonts w:hint="eastAsia" w:ascii="方正仿宋_GBK" w:hAnsi="Times New Roman" w:eastAsia="方正仿宋_GBK" w:cs="方正仿宋_GBK"/>
          <w:sz w:val="32"/>
          <w:szCs w:val="32"/>
        </w:rPr>
        <w:t>台(套)，购置费</w:t>
      </w:r>
      <w:r>
        <w:rPr>
          <w:rFonts w:hint="eastAsia" w:ascii="方正仿宋_GBK" w:hAnsi="Times New Roman" w:eastAsia="方正仿宋_GBK" w:cs="方正仿宋_GBK"/>
          <w:sz w:val="32"/>
          <w:szCs w:val="32"/>
          <w:lang w:val="en-US" w:eastAsia="zh-CN"/>
        </w:rPr>
        <w:t>0</w:t>
      </w:r>
      <w:r>
        <w:rPr>
          <w:rFonts w:hint="eastAsia" w:ascii="方正仿宋_GBK" w:hAnsi="Times New Roman" w:eastAsia="方正仿宋_GBK" w:cs="方正仿宋_GBK"/>
          <w:sz w:val="32"/>
          <w:szCs w:val="32"/>
        </w:rPr>
        <w:t>万元；安排购置单位价值</w:t>
      </w:r>
      <w:r>
        <w:rPr>
          <w:rFonts w:ascii="Times New Roman" w:hAnsi="Times New Roman" w:eastAsia="方正仿宋_GBK"/>
          <w:sz w:val="32"/>
          <w:szCs w:val="32"/>
        </w:rPr>
        <w:t>100</w:t>
      </w:r>
      <w:r>
        <w:rPr>
          <w:rFonts w:hint="eastAsia" w:ascii="方正仿宋_GBK" w:hAnsi="Times New Roman" w:eastAsia="方正仿宋_GBK" w:cs="方正仿宋_GBK"/>
          <w:sz w:val="32"/>
          <w:szCs w:val="32"/>
        </w:rPr>
        <w:t>万元以上专用设备</w:t>
      </w:r>
      <w:r>
        <w:rPr>
          <w:rFonts w:hint="eastAsia" w:ascii="方正仿宋_GBK" w:hAnsi="Times New Roman" w:eastAsia="方正仿宋_GBK" w:cs="方正仿宋_GBK"/>
          <w:sz w:val="32"/>
          <w:szCs w:val="32"/>
          <w:lang w:val="en-US" w:eastAsia="zh-CN"/>
        </w:rPr>
        <w:t>0</w:t>
      </w:r>
      <w:r>
        <w:rPr>
          <w:rFonts w:hint="eastAsia" w:ascii="方正仿宋_GBK" w:hAnsi="Times New Roman" w:eastAsia="方正仿宋_GBK" w:cs="方正仿宋_GBK"/>
          <w:sz w:val="32"/>
          <w:szCs w:val="32"/>
        </w:rPr>
        <w:t>台(套)，购置费</w:t>
      </w:r>
      <w:r>
        <w:rPr>
          <w:rFonts w:hint="eastAsia" w:ascii="方正仿宋_GBK" w:hAnsi="Times New Roman" w:eastAsia="方正仿宋_GBK" w:cs="方正仿宋_GBK"/>
          <w:sz w:val="32"/>
          <w:szCs w:val="32"/>
          <w:lang w:val="en-US" w:eastAsia="zh-CN"/>
        </w:rPr>
        <w:t>0</w:t>
      </w:r>
      <w:r>
        <w:rPr>
          <w:rFonts w:hint="eastAsia" w:ascii="方正仿宋_GBK" w:hAnsi="Times New Roman" w:eastAsia="方正仿宋_GBK" w:cs="方正仿宋_GBK"/>
          <w:sz w:val="32"/>
          <w:szCs w:val="32"/>
        </w:rPr>
        <w:t xml:space="preserve">万元。 </w:t>
      </w:r>
    </w:p>
    <w:p w14:paraId="365521EC">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rPr>
        <w:t>）绩效目标设置情况</w:t>
      </w:r>
    </w:p>
    <w:p w14:paraId="5FF79851">
      <w:pPr>
        <w:spacing w:line="560" w:lineRule="exact"/>
        <w:ind w:firstLine="640" w:firstLineChars="200"/>
        <w:jc w:val="left"/>
        <w:rPr>
          <w:rFonts w:hint="eastAsia" w:ascii="Times New Roman" w:hAnsi="Times New Roman" w:eastAsia="方正仿宋_GBK"/>
          <w:sz w:val="32"/>
          <w:szCs w:val="32"/>
          <w:lang w:val="en-US" w:eastAsia="zh-CN"/>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hint="eastAsia" w:ascii="Times New Roman" w:hAnsi="Times New Roman" w:eastAsia="方正仿宋_GBK"/>
          <w:sz w:val="32"/>
          <w:szCs w:val="32"/>
          <w:lang w:eastAsia="zh-CN"/>
        </w:rPr>
        <w:t>萧县</w:t>
      </w:r>
      <w:r>
        <w:rPr>
          <w:rFonts w:hint="eastAsia" w:ascii="Times New Roman" w:hAnsi="Times New Roman" w:eastAsia="方正仿宋_GBK"/>
          <w:sz w:val="32"/>
          <w:szCs w:val="32"/>
          <w:lang w:val="en-US" w:eastAsia="zh-CN"/>
        </w:rPr>
        <w:t>青龙集镇人民政府将按规定设置支出绩效目标，实行部门自评或第三方评价。</w:t>
      </w:r>
    </w:p>
    <w:p w14:paraId="141426AE">
      <w:pPr>
        <w:spacing w:line="560" w:lineRule="exact"/>
        <w:ind w:firstLine="640" w:firstLineChars="200"/>
        <w:jc w:val="left"/>
        <w:rPr>
          <w:rFonts w:hint="default" w:ascii="Times New Roman" w:hAnsi="Times New Roman" w:eastAsia="方正仿宋_GBK"/>
          <w:sz w:val="32"/>
          <w:szCs w:val="32"/>
        </w:rPr>
      </w:pPr>
    </w:p>
    <w:p w14:paraId="46405BFF">
      <w:pPr>
        <w:spacing w:line="560" w:lineRule="exact"/>
        <w:ind w:firstLine="640" w:firstLineChars="200"/>
        <w:jc w:val="left"/>
        <w:rPr>
          <w:rFonts w:hint="default" w:ascii="Times New Roman" w:hAnsi="Times New Roman" w:eastAsia="方正仿宋_GBK"/>
          <w:sz w:val="32"/>
          <w:szCs w:val="32"/>
        </w:rPr>
      </w:pPr>
    </w:p>
    <w:p w14:paraId="210537B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sz w:val="32"/>
          <w:szCs w:val="32"/>
        </w:rPr>
        <w:t>第四部分 名词解释</w:t>
      </w:r>
    </w:p>
    <w:p w14:paraId="04A1912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一、财政拨款收入：</w:t>
      </w:r>
      <w:r>
        <w:rPr>
          <w:rFonts w:hint="default" w:ascii="Times New Roman" w:hAnsi="Times New Roman" w:eastAsia="方正仿宋_GBK" w:cs="Times New Roman"/>
          <w:sz w:val="32"/>
          <w:szCs w:val="32"/>
        </w:rPr>
        <w:t>指部门或单位从同级财政部门取得的财政预算资金。</w:t>
      </w:r>
    </w:p>
    <w:p w14:paraId="640E669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二、事业收入：</w:t>
      </w:r>
      <w:r>
        <w:rPr>
          <w:rFonts w:hint="default" w:ascii="Times New Roman" w:hAnsi="Times New Roman" w:eastAsia="方正仿宋_GBK" w:cs="Times New Roman"/>
          <w:sz w:val="32"/>
          <w:szCs w:val="32"/>
        </w:rPr>
        <w:t>指事业单位开展专业业务活动及辅助活动所取得的收入。</w:t>
      </w:r>
    </w:p>
    <w:p w14:paraId="68B9EA8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三、财政专户管理资金：</w:t>
      </w:r>
      <w:r>
        <w:rPr>
          <w:rFonts w:hint="default" w:ascii="Times New Roman" w:hAnsi="Times New Roman" w:eastAsia="方正仿宋_GBK" w:cs="Times New Roman"/>
          <w:sz w:val="32"/>
          <w:szCs w:val="32"/>
        </w:rPr>
        <w:t>指按照非税收入管理相关规定，纳入财政专户管理的教育收费等。</w:t>
      </w:r>
    </w:p>
    <w:p w14:paraId="711C21E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四、事业单位经营收入：</w:t>
      </w:r>
      <w:r>
        <w:rPr>
          <w:rFonts w:hint="default" w:ascii="Times New Roman" w:hAnsi="Times New Roman" w:eastAsia="方正仿宋_GBK" w:cs="Times New Roman"/>
          <w:sz w:val="32"/>
          <w:szCs w:val="32"/>
        </w:rPr>
        <w:t>指事业单位在专业业务活动及其辅助活动之外开展非独立核算经营活动取得的收入。</w:t>
      </w:r>
    </w:p>
    <w:p w14:paraId="51021A2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五、附属单位上缴收入：</w:t>
      </w:r>
      <w:r>
        <w:rPr>
          <w:rFonts w:hint="default" w:ascii="Times New Roman" w:hAnsi="Times New Roman" w:eastAsia="方正仿宋_GBK" w:cs="Times New Roman"/>
          <w:sz w:val="32"/>
          <w:szCs w:val="32"/>
        </w:rPr>
        <w:t>本单位所属下级单位上缴给本单位的全部收入。</w:t>
      </w:r>
    </w:p>
    <w:p w14:paraId="7675EC9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六、上年结转：</w:t>
      </w:r>
      <w:r>
        <w:rPr>
          <w:rFonts w:hint="default" w:ascii="Times New Roman" w:hAnsi="Times New Roman" w:eastAsia="方正仿宋_GBK" w:cs="Times New Roman"/>
          <w:sz w:val="32"/>
          <w:szCs w:val="32"/>
        </w:rPr>
        <w:t>指以前年度安排、结转到本年仍按原用途继续使用的资金。</w:t>
      </w:r>
    </w:p>
    <w:p w14:paraId="169C698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七、结转下年：</w:t>
      </w:r>
      <w:r>
        <w:rPr>
          <w:rFonts w:hint="default" w:ascii="Times New Roman" w:hAnsi="Times New Roman" w:eastAsia="方正仿宋_GBK" w:cs="Times New Roman"/>
          <w:sz w:val="32"/>
          <w:szCs w:val="32"/>
        </w:rPr>
        <w:t>指以前年度预算安排、因客观条件发生变化无法按原计划实施，需以后年度按原用途继续使用的资金。</w:t>
      </w:r>
    </w:p>
    <w:p w14:paraId="50F40B6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八、基本支出：</w:t>
      </w:r>
      <w:r>
        <w:rPr>
          <w:rFonts w:hint="default" w:ascii="Times New Roman" w:hAnsi="Times New Roman" w:eastAsia="方正仿宋_GBK" w:cs="Times New Roman"/>
          <w:sz w:val="32"/>
          <w:szCs w:val="32"/>
        </w:rPr>
        <w:t>指为保障机构正常运转、完成日常工作任而发生的人员支出和公用支出。</w:t>
      </w:r>
    </w:p>
    <w:p w14:paraId="3E0CADE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九、项目支出：</w:t>
      </w:r>
      <w:r>
        <w:rPr>
          <w:rFonts w:hint="default" w:ascii="Times New Roman" w:hAnsi="Times New Roman" w:eastAsia="方正仿宋_GBK" w:cs="Times New Roman"/>
          <w:sz w:val="32"/>
          <w:szCs w:val="32"/>
        </w:rPr>
        <w:t>指在除基本支出之外的支出，主要用于完成特定的工作任务和事业发展目标。</w:t>
      </w:r>
    </w:p>
    <w:p w14:paraId="4CCC2CA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十、机关运行经费：</w:t>
      </w:r>
      <w:r>
        <w:rPr>
          <w:rFonts w:hint="default" w:ascii="Times New Roman" w:hAnsi="Times New Roman" w:eastAsia="方正仿宋_GBK"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F7BBCCB">
      <w:pPr>
        <w:spacing w:line="560" w:lineRule="exact"/>
        <w:ind w:firstLine="640" w:firstLineChars="200"/>
        <w:jc w:val="left"/>
        <w:rPr>
          <w:rFonts w:hint="default" w:ascii="Times New Roman" w:hAnsi="Times New Roman" w:eastAsia="方正仿宋_GBK" w:cs="Times New Roman"/>
          <w:color w:val="FF0000"/>
          <w:sz w:val="32"/>
          <w:szCs w:val="32"/>
        </w:rPr>
      </w:pPr>
    </w:p>
    <w:p w14:paraId="60463DF9">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2A5F">
    <w:pPr>
      <w:pStyle w:val="3"/>
      <w:jc w:val="right"/>
      <w:rPr>
        <w:rFonts w:hint="eastAsia"/>
        <w:sz w:val="28"/>
        <w:szCs w:val="28"/>
      </w:rPr>
    </w:pPr>
    <w:r>
      <w:tab/>
    </w:r>
    <w:r>
      <w:rPr>
        <w:rFonts w:hint="eastAsia"/>
      </w:rPr>
      <w:t>　　　　　　　　　　　　　　　　　　　　　　　　　　　　　　　　　　　　　　　　　　　</w:t>
    </w:r>
    <w:r>
      <w:rPr>
        <w:rFonts w:hint="eastAsia"/>
        <w:sz w:val="28"/>
        <w:szCs w:val="28"/>
      </w:rPr>
      <w:t>－</w:t>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41</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2687">
    <w:pPr>
      <w:pStyle w:val="3"/>
      <w:rPr>
        <w:rFonts w:hint="eastAsia"/>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40</w:t>
    </w:r>
    <w:r>
      <w:rPr>
        <w:sz w:val="28"/>
        <w:szCs w:val="28"/>
      </w:rPr>
      <w:fldChar w:fldCharType="end"/>
    </w:r>
    <w:r>
      <w:rPr>
        <w:sz w:val="28"/>
        <w:szCs w:val="28"/>
      </w:rPr>
      <w:t xml:space="preserve"> </w:t>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0A7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019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D6409"/>
    <w:rsid w:val="0183453D"/>
    <w:rsid w:val="026E5880"/>
    <w:rsid w:val="0550249F"/>
    <w:rsid w:val="0700720B"/>
    <w:rsid w:val="08BC3C66"/>
    <w:rsid w:val="09540C99"/>
    <w:rsid w:val="098B6A14"/>
    <w:rsid w:val="0B705B32"/>
    <w:rsid w:val="0D9C2C0E"/>
    <w:rsid w:val="0E6F3328"/>
    <w:rsid w:val="0EE553EB"/>
    <w:rsid w:val="10C370EB"/>
    <w:rsid w:val="11F87AE5"/>
    <w:rsid w:val="13A9398F"/>
    <w:rsid w:val="146A0DE6"/>
    <w:rsid w:val="153951E6"/>
    <w:rsid w:val="155A367E"/>
    <w:rsid w:val="15913D5E"/>
    <w:rsid w:val="15C66286"/>
    <w:rsid w:val="17412B7A"/>
    <w:rsid w:val="17650299"/>
    <w:rsid w:val="1B1B3647"/>
    <w:rsid w:val="20107F24"/>
    <w:rsid w:val="201C13A1"/>
    <w:rsid w:val="22617B2B"/>
    <w:rsid w:val="23301C2F"/>
    <w:rsid w:val="23B75C54"/>
    <w:rsid w:val="254E4396"/>
    <w:rsid w:val="260747F1"/>
    <w:rsid w:val="26EE4833"/>
    <w:rsid w:val="278F23BE"/>
    <w:rsid w:val="286D35FB"/>
    <w:rsid w:val="28D01566"/>
    <w:rsid w:val="298A7488"/>
    <w:rsid w:val="29C25CE3"/>
    <w:rsid w:val="2A443FBA"/>
    <w:rsid w:val="2C2D5A76"/>
    <w:rsid w:val="30D342E9"/>
    <w:rsid w:val="31271CBD"/>
    <w:rsid w:val="348F0527"/>
    <w:rsid w:val="383D34A7"/>
    <w:rsid w:val="3ADB2271"/>
    <w:rsid w:val="3B442486"/>
    <w:rsid w:val="3B493B67"/>
    <w:rsid w:val="3C057493"/>
    <w:rsid w:val="3C340332"/>
    <w:rsid w:val="3CBB0E0C"/>
    <w:rsid w:val="3CD95E90"/>
    <w:rsid w:val="3E693B97"/>
    <w:rsid w:val="3EA80B63"/>
    <w:rsid w:val="3EE913AB"/>
    <w:rsid w:val="3F890995"/>
    <w:rsid w:val="404E26FE"/>
    <w:rsid w:val="41954F8C"/>
    <w:rsid w:val="42A47892"/>
    <w:rsid w:val="42D53EF1"/>
    <w:rsid w:val="43FD3276"/>
    <w:rsid w:val="4642364B"/>
    <w:rsid w:val="46B65365"/>
    <w:rsid w:val="48A8612B"/>
    <w:rsid w:val="49482BC4"/>
    <w:rsid w:val="4A064DC7"/>
    <w:rsid w:val="4AF866A5"/>
    <w:rsid w:val="4B8F3CDD"/>
    <w:rsid w:val="4E7D47E1"/>
    <w:rsid w:val="4FB5514A"/>
    <w:rsid w:val="51C93E96"/>
    <w:rsid w:val="533B0847"/>
    <w:rsid w:val="53961379"/>
    <w:rsid w:val="55342CF9"/>
    <w:rsid w:val="553B5E36"/>
    <w:rsid w:val="57D56DAB"/>
    <w:rsid w:val="57F0234F"/>
    <w:rsid w:val="59CA5DE3"/>
    <w:rsid w:val="59DE3233"/>
    <w:rsid w:val="5C455FC2"/>
    <w:rsid w:val="5DA54794"/>
    <w:rsid w:val="5F83633E"/>
    <w:rsid w:val="62F92E8C"/>
    <w:rsid w:val="630D290F"/>
    <w:rsid w:val="641A48A0"/>
    <w:rsid w:val="655F347A"/>
    <w:rsid w:val="65613696"/>
    <w:rsid w:val="679B3874"/>
    <w:rsid w:val="69496089"/>
    <w:rsid w:val="6A8F47A3"/>
    <w:rsid w:val="6A9F07BD"/>
    <w:rsid w:val="6C316D02"/>
    <w:rsid w:val="6DB03E09"/>
    <w:rsid w:val="6DC5053A"/>
    <w:rsid w:val="72764726"/>
    <w:rsid w:val="72FF5977"/>
    <w:rsid w:val="735A15F5"/>
    <w:rsid w:val="73A029BE"/>
    <w:rsid w:val="74166092"/>
    <w:rsid w:val="750162FC"/>
    <w:rsid w:val="7513140C"/>
    <w:rsid w:val="75545A8D"/>
    <w:rsid w:val="7B3A0358"/>
    <w:rsid w:val="7DFD20AA"/>
    <w:rsid w:val="7E7A51FF"/>
    <w:rsid w:val="7E7D6409"/>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line="0" w:lineRule="atLeast"/>
      <w:ind w:firstLine="0" w:firstLineChars="0"/>
      <w:jc w:val="center"/>
      <w:outlineLvl w:val="1"/>
    </w:pPr>
    <w:rPr>
      <w:rFonts w:ascii="Times New Roman" w:hAnsi="Times New Roman"/>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2"/>
    <w:basedOn w:val="1"/>
    <w:qFormat/>
    <w:uiPriority w:val="99"/>
    <w:pPr>
      <w:spacing w:line="351" w:lineRule="atLeast"/>
      <w:ind w:firstLine="623"/>
      <w:textAlignment w:val="baseline"/>
    </w:pPr>
    <w:rPr>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5226</Words>
  <Characters>6046</Characters>
  <Lines>0</Lines>
  <Paragraphs>0</Paragraphs>
  <TotalTime>64</TotalTime>
  <ScaleCrop>false</ScaleCrop>
  <LinksUpToDate>false</LinksUpToDate>
  <CharactersWithSpaces>6174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2026-02-06T00:50:00Z</dcterms:created>
  <dc:creator>唐糖棠汤</dc:creator>
  <cp:lastModifiedBy>呵呵哒</cp:lastModifiedBy>
  <cp:lastPrinted>2026-02-24T07:14:00Z</cp:lastPrinted>
  <dcterms:modified xsi:type="dcterms:W3CDTF">2026-02-28T03:01:35Z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BE7FF2CC001E4777AC834B777386359F_11</vt:lpwstr>
  </property>
  <property fmtid="{D5CDD505-2E9C-101B-9397-08002B2CF9AE}" pid="4" name="KSOTemplateDocerSaveRecord">
    <vt:lpwstr>eyJoZGlkIjoiNDdjZjBiYjgyZDc2YzdhOTMwOTI2NTdkZTEzODdhZjgiLCJ1c2VySWQiOiIzMzYxMTc0NjUifQ==</vt:lpwstr>
  </property>
</Properties>
</file>