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7298C6">
      <w:pPr>
        <w:spacing w:beforeLines="0" w:after="0" w:afterLines="0" w:line="640" w:lineRule="exact"/>
        <w:ind w:firstLine="3520" w:firstLineChars="800"/>
        <w:jc w:val="left"/>
        <w:outlineLvl w:val="0"/>
        <w:rPr>
          <w:rFonts w:hint="eastAsia" w:ascii="方正小标宋简体" w:hAnsi="方正小标宋简体" w:eastAsia="方正小标宋简体" w:cs="方正小标宋简体"/>
          <w:sz w:val="44"/>
          <w:szCs w:val="44"/>
        </w:rPr>
      </w:pPr>
      <w:bookmarkStart w:id="11" w:name="_GoBack"/>
      <w:bookmarkEnd w:id="11"/>
      <w:r>
        <w:rPr>
          <w:rFonts w:hint="eastAsia" w:ascii="方正小标宋简体" w:hAnsi="方正小标宋简体" w:eastAsia="方正小标宋简体" w:cs="方正小标宋简体"/>
          <w:sz w:val="44"/>
          <w:szCs w:val="44"/>
        </w:rPr>
        <w:t>比选文件</w:t>
      </w:r>
    </w:p>
    <w:p w14:paraId="4564884B">
      <w:pPr>
        <w:spacing w:beforeLines="0" w:after="0" w:afterLines="0" w:line="640" w:lineRule="exact"/>
        <w:ind w:firstLine="3520" w:firstLineChars="800"/>
        <w:jc w:val="left"/>
        <w:outlineLvl w:val="0"/>
        <w:rPr>
          <w:rFonts w:hint="eastAsia" w:ascii="方正小标宋简体" w:hAnsi="方正小标宋简体" w:eastAsia="方正小标宋简体" w:cs="方正小标宋简体"/>
          <w:sz w:val="44"/>
          <w:szCs w:val="44"/>
        </w:rPr>
      </w:pPr>
    </w:p>
    <w:p w14:paraId="567A28BA">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0" w:name="heading_5"/>
      <w:r>
        <w:rPr>
          <w:rFonts w:hint="eastAsia" w:ascii="方正黑体_GBK" w:hAnsi="方正黑体_GBK" w:eastAsia="方正黑体_GBK" w:cs="方正黑体_GBK"/>
          <w:sz w:val="32"/>
          <w:szCs w:val="32"/>
        </w:rPr>
        <w:t>一、项目概况</w:t>
      </w:r>
      <w:bookmarkEnd w:id="0"/>
    </w:p>
    <w:p w14:paraId="05CAD0E6">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1.采购项目名称：萧县2026年县乡公路升级改造及农村公路养护工程设计服务项目；</w:t>
      </w:r>
    </w:p>
    <w:p w14:paraId="1BEA8D42">
      <w:pPr>
        <w:numPr>
          <w:ilvl w:val="0"/>
          <w:numId w:val="0"/>
        </w:numPr>
        <w:spacing w:beforeLines="0" w:after="0" w:afterLines="0" w:line="58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sz w:val="32"/>
          <w:szCs w:val="32"/>
        </w:rPr>
        <w:t>2.设计服务的建设项目概况：萧县2026年县乡公路升级改造项目约7.7公里，农村公路养护工程项目约203.3公里，计划总投资额约3187万元，建设地点在安徽省宿州市萧县境内；</w:t>
      </w:r>
    </w:p>
    <w:p w14:paraId="0B3C7BF5">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3.设计费计费依据：《工程勘察设计收费管理规定》（计价格﹝2002﹞10号）、安徽省农村公路建设相关收费标准；</w:t>
      </w:r>
    </w:p>
    <w:p w14:paraId="3693C9B0">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4.采购预算：本次设计服务费最高限价为人民币30万元，报价超过最高限价按无效参选处理；</w:t>
      </w:r>
    </w:p>
    <w:p w14:paraId="6FA39242">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5.采购服务内容：萧县2026年县乡公路升级改造及农村公路养护工程项目的勘察测绘、施工图设计、概算预算编制、图纸审查、专家评审、施工技术服务、竣（交）工验收配合、审计配合等全部设计工作；</w:t>
      </w:r>
    </w:p>
    <w:p w14:paraId="07D365F9">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6.服务周期：合同签订之日起至项目竣（交）工验收合格后。</w:t>
      </w:r>
    </w:p>
    <w:p w14:paraId="1013A982">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1" w:name="heading_6"/>
      <w:r>
        <w:rPr>
          <w:rFonts w:hint="eastAsia" w:ascii="方正黑体_GBK" w:hAnsi="方正黑体_GBK" w:eastAsia="方正黑体_GBK" w:cs="方正黑体_GBK"/>
          <w:sz w:val="32"/>
          <w:szCs w:val="32"/>
        </w:rPr>
        <w:t>二、参选单位须知</w:t>
      </w:r>
      <w:bookmarkEnd w:id="1"/>
    </w:p>
    <w:p w14:paraId="234E2095">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1.参选单位必须具备独立法人资格；公路设计专业乙级及以上资质；项目负责人道路相关专业中级及以上职称；近三年类似农村道路设计业绩；无重大违法失信记录；</w:t>
      </w:r>
    </w:p>
    <w:p w14:paraId="1F770DB2">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参选文件须按目录装订，正本1份、副本3份，胶装或线装成册。所有报送的参选申请文件（含正本、副本），每一页均需加盖参选单位鲜章（公章），文件必须密封完好，在密封条处加盖单位鲜章，法定代表人或授权代理人需签字或盖章，否则视为无效报送，不予受理；</w:t>
      </w:r>
    </w:p>
    <w:p w14:paraId="5EC4FBE9">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3.参选文件须在2026年3月23日17:00前送达至</w:t>
      </w:r>
      <w:r>
        <w:rPr>
          <w:rFonts w:hint="eastAsia" w:ascii="仿宋" w:hAnsi="仿宋" w:eastAsia="仿宋" w:cs="仿宋"/>
          <w:color w:val="000000"/>
          <w:sz w:val="32"/>
          <w:szCs w:val="32"/>
        </w:rPr>
        <w:t>萧县交通运输局规划建设股（萧县政务中心B栋13楼）</w:t>
      </w:r>
      <w:r>
        <w:rPr>
          <w:rFonts w:hint="eastAsia" w:ascii="仿宋" w:hAnsi="仿宋" w:eastAsia="仿宋" w:cs="仿宋"/>
          <w:sz w:val="32"/>
          <w:szCs w:val="32"/>
        </w:rPr>
        <w:t>，逾期拒收；</w:t>
      </w:r>
    </w:p>
    <w:p w14:paraId="3B86D1B9">
      <w:pPr>
        <w:numPr>
          <w:ilvl w:val="0"/>
          <w:numId w:val="0"/>
        </w:numPr>
        <w:spacing w:beforeLines="0" w:after="0" w:afterLines="0" w:line="580" w:lineRule="exact"/>
        <w:ind w:left="638" w:leftChars="304"/>
        <w:jc w:val="left"/>
        <w:rPr>
          <w:rFonts w:hint="eastAsia" w:ascii="仿宋" w:hAnsi="仿宋" w:eastAsia="仿宋" w:cs="仿宋"/>
          <w:sz w:val="32"/>
          <w:szCs w:val="32"/>
        </w:rPr>
      </w:pPr>
      <w:r>
        <w:rPr>
          <w:rFonts w:hint="eastAsia" w:ascii="仿宋" w:hAnsi="仿宋" w:eastAsia="仿宋" w:cs="仿宋"/>
          <w:sz w:val="32"/>
          <w:szCs w:val="32"/>
        </w:rPr>
        <w:t>4.参选报价为固定总价，包含所有费用，不得作任何调整；5.参选单位应保证资料真实有效，如发现弄虚作假将取消参选资格；</w:t>
      </w:r>
    </w:p>
    <w:p w14:paraId="1542B93B">
      <w:pPr>
        <w:numPr>
          <w:ilvl w:val="0"/>
          <w:numId w:val="0"/>
        </w:numPr>
        <w:spacing w:beforeLines="0" w:after="0" w:afterLines="0" w:line="580" w:lineRule="exact"/>
        <w:ind w:left="638" w:leftChars="304"/>
        <w:jc w:val="left"/>
        <w:rPr>
          <w:rFonts w:hint="eastAsia" w:ascii="仿宋" w:hAnsi="仿宋" w:eastAsia="仿宋" w:cs="仿宋"/>
          <w:sz w:val="32"/>
          <w:szCs w:val="32"/>
        </w:rPr>
      </w:pPr>
      <w:r>
        <w:rPr>
          <w:rFonts w:hint="eastAsia" w:ascii="仿宋" w:hAnsi="仿宋" w:eastAsia="仿宋" w:cs="仿宋"/>
          <w:sz w:val="32"/>
          <w:szCs w:val="32"/>
        </w:rPr>
        <w:t>6.采购人有权对参选资料进行核查，不符合要求视为无效；7.本采购项目不接受联合体参选，不得转包、分包；</w:t>
      </w:r>
    </w:p>
    <w:p w14:paraId="4C649682">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8.本次比选评审办法为综合评分法。特殊情形说明：若通过资格审查、且报价有效的参选单位仅为一家时，直接确定该单位为中选单位；</w:t>
      </w:r>
    </w:p>
    <w:p w14:paraId="6DE90512">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9.参选单位应自行踏勘现场，费用自理；</w:t>
      </w:r>
    </w:p>
    <w:p w14:paraId="54097FD5">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现场勘察联系人：许峰13955750991</w:t>
      </w:r>
    </w:p>
    <w:p w14:paraId="4DB011AD">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10.本比选文件最终解释权归采购人所有。</w:t>
      </w:r>
    </w:p>
    <w:p w14:paraId="7E445174">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2" w:name="heading_7"/>
      <w:r>
        <w:rPr>
          <w:rFonts w:hint="eastAsia" w:ascii="方正黑体_GBK" w:hAnsi="方正黑体_GBK" w:eastAsia="方正黑体_GBK" w:cs="方正黑体_GBK"/>
          <w:sz w:val="32"/>
          <w:szCs w:val="32"/>
        </w:rPr>
        <w:t>三、资格审查前置条件</w:t>
      </w:r>
      <w:bookmarkEnd w:id="2"/>
    </w:p>
    <w:p w14:paraId="1BD11232">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1.评审开始前，评审小组首先对所有参选单位进行资格审查；</w:t>
      </w:r>
    </w:p>
    <w:p w14:paraId="624293CE">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2.审查内容包括：营业执照、资质证书、项目负责人资格、业绩、信誉等；</w:t>
      </w:r>
    </w:p>
    <w:p w14:paraId="211972B3">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3.资格不符合要求的，不得进入后续综合评审环节，按无效参选处理；</w:t>
      </w:r>
    </w:p>
    <w:p w14:paraId="566643C3">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4.只有资格审查合格的单位，方可参与综合评分。</w:t>
      </w:r>
    </w:p>
    <w:p w14:paraId="0F5555B0">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3" w:name="heading_8"/>
      <w:r>
        <w:rPr>
          <w:rFonts w:hint="eastAsia" w:ascii="方正黑体_GBK" w:hAnsi="方正黑体_GBK" w:eastAsia="方正黑体_GBK" w:cs="方正黑体_GBK"/>
          <w:sz w:val="32"/>
          <w:szCs w:val="32"/>
        </w:rPr>
        <w:t>四、参选单位应提交资料目录</w:t>
      </w:r>
      <w:bookmarkEnd w:id="3"/>
    </w:p>
    <w:p w14:paraId="50223D44">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1.参选承诺函；</w:t>
      </w:r>
    </w:p>
    <w:p w14:paraId="6073665A">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2.法定代表人身份证明及授权委托书；</w:t>
      </w:r>
    </w:p>
    <w:p w14:paraId="30C6EB55">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3.营业执照复印件；</w:t>
      </w:r>
    </w:p>
    <w:p w14:paraId="31B447E1">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4.工程设计资质证书复印件；</w:t>
      </w:r>
    </w:p>
    <w:p w14:paraId="3FBCAE0D">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5.拟承担本项目负责人职称证书、身份证及近三月社保缴纳证明；</w:t>
      </w:r>
    </w:p>
    <w:p w14:paraId="47BB2D18">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6.无重大质量事故承诺书，提供无失信记录证明：单位（含不具有独立法人资格的分公司、不含具备独立法人资格的子公司）存在以下不良信用记录情形之一的，不得参加综合评审：</w:t>
      </w:r>
    </w:p>
    <w:p w14:paraId="44F27BE3">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（1）单位或法定代表人被人民法院列入失信被执行人的；</w:t>
      </w:r>
    </w:p>
    <w:p w14:paraId="5E12F78C">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（2）单位或其法定代表人或拟派项目负责人被列入行贿犯罪档案的；</w:t>
      </w:r>
    </w:p>
    <w:p w14:paraId="6172503B">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（3）单位被市场监督管管理部门列入企业经营异常名录的；</w:t>
      </w:r>
    </w:p>
    <w:p w14:paraId="451CF427">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（4）单位被税务部门列入重大税收违法案件当事人名单的；</w:t>
      </w:r>
    </w:p>
    <w:p w14:paraId="0FD2A1FC">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（5）单位被政府采购监管部门列入政府采购严重违法失信行为记录名单的；</w:t>
      </w:r>
    </w:p>
    <w:p w14:paraId="3CD5AAB3">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以上情形第（1）（3）（4）（5）以“信用中国”（http://www.creditchina.gov.cn）或其他指定媒介[国家税务总局网站（www.chinatax.gov.cn）、中国政府采购网（www.ccgp.gov.cn）、最高人民法院网站（www.court.gov.cn）、国家企业信用信息公示系统网站（www.gsxt.gov.cn）]发布的为准，需提供查询官方网站界面截图，查询截止时点为报送材料截止时间。情形（2）由参选单位提供无行贿犯罪记录承诺函。</w:t>
      </w:r>
    </w:p>
    <w:p w14:paraId="1FD45316">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7.设计服务报价表（大小写不一致时以大写为准）；</w:t>
      </w:r>
    </w:p>
    <w:p w14:paraId="0417AB16">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8.技术服务措施（含总体思路、技术措施、计划安排、质量、进度保证措施、合理化建议）；</w:t>
      </w:r>
    </w:p>
    <w:p w14:paraId="0DCE9963">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9.履约能力保障证明（含类似。业绩近三年来农村道路项目设计业绩合同复印件、信用评价等级证明提供公路设计企业信用评价结果网页截屏）；</w:t>
      </w:r>
    </w:p>
    <w:p w14:paraId="3E51F040">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10.服务保障措施。</w:t>
      </w:r>
    </w:p>
    <w:p w14:paraId="4DD4630C">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4" w:name="heading_9"/>
      <w:r>
        <w:rPr>
          <w:rFonts w:hint="eastAsia" w:ascii="方正黑体_GBK" w:hAnsi="方正黑体_GBK" w:eastAsia="方正黑体_GBK" w:cs="方正黑体_GBK"/>
          <w:sz w:val="32"/>
          <w:szCs w:val="32"/>
        </w:rPr>
        <w:t>五、分值标准及评分细则（总分100分）</w:t>
      </w:r>
      <w:bookmarkEnd w:id="4"/>
    </w:p>
    <w:p w14:paraId="62156F5B">
      <w:pPr>
        <w:spacing w:beforeLines="0" w:after="0" w:afterLines="0" w:line="580" w:lineRule="exact"/>
        <w:ind w:firstLine="643" w:firstLineChars="200"/>
        <w:jc w:val="left"/>
        <w:outlineLvl w:val="2"/>
        <w:rPr>
          <w:rFonts w:hint="eastAsia" w:ascii="方正楷体_GB2312" w:hAnsi="方正楷体_GB2312" w:eastAsia="方正楷体_GB2312" w:cs="方正楷体_GB2312"/>
          <w:sz w:val="32"/>
          <w:szCs w:val="32"/>
        </w:rPr>
      </w:pPr>
      <w:bookmarkStart w:id="5" w:name="heading_10"/>
      <w:r>
        <w:rPr>
          <w:rFonts w:hint="eastAsia" w:ascii="方正楷体_GB2312" w:hAnsi="方正楷体_GB2312" w:eastAsia="方正楷体_GB2312" w:cs="方正楷体_GB2312"/>
          <w:b/>
          <w:sz w:val="32"/>
          <w:szCs w:val="32"/>
        </w:rPr>
        <w:t>（一）报价部分（30分）</w:t>
      </w:r>
      <w:bookmarkEnd w:id="5"/>
    </w:p>
    <w:p w14:paraId="456168C0">
      <w:p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1.打分依据：以有效合理最低报价为基准价；</w:t>
      </w:r>
    </w:p>
    <w:p w14:paraId="2A4E3380">
      <w:p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2.计算公式：报价得分＝（基准价÷参选报价）×30，</w:t>
      </w:r>
    </w:p>
    <w:p w14:paraId="7A8F5A0A">
      <w:p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有效合理最低报价单位得30分；</w:t>
      </w:r>
    </w:p>
    <w:p w14:paraId="51CE6A4B">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3.高于最低报价计分方式：按上述公式计算结果小数点后保留两位数计分；</w:t>
      </w:r>
    </w:p>
    <w:p w14:paraId="6412F032">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4.报价高于30万元，按无效参选处理；</w:t>
      </w:r>
    </w:p>
    <w:p w14:paraId="1388C28D">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5.报价过低时需提供成本核算情况说明，如报价明显低于成本价，经评审小组集体认定后按无效参选处理。</w:t>
      </w:r>
    </w:p>
    <w:p w14:paraId="0A400642">
      <w:pPr>
        <w:spacing w:beforeLines="0" w:after="0" w:afterLines="0" w:line="580" w:lineRule="exact"/>
        <w:ind w:firstLine="643" w:firstLineChars="200"/>
        <w:jc w:val="left"/>
        <w:outlineLvl w:val="2"/>
        <w:rPr>
          <w:rFonts w:hint="eastAsia" w:ascii="方正楷体_GB2312" w:hAnsi="方正楷体_GB2312" w:eastAsia="方正楷体_GB2312" w:cs="方正楷体_GB2312"/>
          <w:b/>
          <w:sz w:val="32"/>
          <w:szCs w:val="32"/>
        </w:rPr>
      </w:pPr>
      <w:bookmarkStart w:id="6" w:name="heading_11"/>
      <w:r>
        <w:rPr>
          <w:rFonts w:hint="eastAsia" w:ascii="方正楷体_GB2312" w:hAnsi="方正楷体_GB2312" w:eastAsia="方正楷体_GB2312" w:cs="方正楷体_GB2312"/>
          <w:b/>
          <w:sz w:val="32"/>
          <w:szCs w:val="32"/>
        </w:rPr>
        <w:t>（二）技术服务部分（40分）</w:t>
      </w:r>
      <w:bookmarkEnd w:id="6"/>
    </w:p>
    <w:p w14:paraId="46813AD8">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1.总体思路：根据参选单位对本项目的理解和总体设计思路，酌情评分：优的得6（含）-8分，良的得3（含）-6（不含）分，差的得0-3（不含）分；</w:t>
      </w:r>
    </w:p>
    <w:p w14:paraId="41709C0A">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2.技术措施：根据参选单位对本项目的设计特点、关键技术问题的认识及其对策措施，酌情评分：优的得6（含）-8分，良的得3（含）-6（不含）分，差的得0-3（不含）分；</w:t>
      </w:r>
    </w:p>
    <w:p w14:paraId="2F647ED5">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3.计划安排：根据参选单位对本项目的设计工作量及计划安排，酌情评分：优的得6（含）-8分，良的得3（含）-6（不含）分，差的得0-3（不含）分；</w:t>
      </w:r>
    </w:p>
    <w:p w14:paraId="1B62C6FE">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4.质量、进度保证措施:根据参选单位对本项目的设计的质量保证措施、进度保证措施，酌情评分：优的得6（含）-8分，良的得3（含）-6（不含）分，差的得0-3（不含）分；</w:t>
      </w:r>
    </w:p>
    <w:p w14:paraId="1E7B8451">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5.合理化建议:根据参选单位结合本项目现场情况和项目概况提出的合理化建议，酌情评分：优的得6（含）-8分，良的得3（含）-6（不含）分，差的得0-3（不含）分。</w:t>
      </w:r>
    </w:p>
    <w:p w14:paraId="5BE9A770">
      <w:pPr>
        <w:spacing w:beforeLines="0" w:after="0" w:afterLines="0" w:line="580" w:lineRule="exact"/>
        <w:ind w:firstLine="643" w:firstLineChars="200"/>
        <w:jc w:val="left"/>
        <w:outlineLvl w:val="2"/>
        <w:rPr>
          <w:rFonts w:hint="eastAsia" w:ascii="方正楷体_GB2312" w:hAnsi="方正楷体_GB2312" w:eastAsia="方正楷体_GB2312" w:cs="方正楷体_GB2312"/>
          <w:b/>
          <w:sz w:val="32"/>
          <w:szCs w:val="32"/>
        </w:rPr>
      </w:pPr>
      <w:r>
        <w:rPr>
          <w:rFonts w:hint="eastAsia" w:ascii="方正楷体_GB2312" w:hAnsi="方正楷体_GB2312" w:eastAsia="方正楷体_GB2312" w:cs="方正楷体_GB2312"/>
          <w:b/>
          <w:sz w:val="32"/>
          <w:szCs w:val="32"/>
        </w:rPr>
        <w:t>（三）履约能力部分（20分）</w:t>
      </w:r>
    </w:p>
    <w:p w14:paraId="7F6C7DAA">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1.参选单位自2022年3月1日以来，每具有1个类似业绩（类似业绩指合同金额不少于10万元的公路工程设计业绩）得5分，最多得15分，没有的不得分。提供合同影印件，时间以合同签订日期为准；</w:t>
      </w:r>
    </w:p>
    <w:p w14:paraId="6355313F">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2.2022年3月1日后在交通运输部或省交通运输厅公路设计企业信用评价等级为AA的加5分，A的得3分，没有等级的不得分。需提供公路设计企业信用评价结果网页截屏，否则不予认可。</w:t>
      </w:r>
    </w:p>
    <w:p w14:paraId="586E74EC">
      <w:pPr>
        <w:spacing w:beforeLines="0" w:after="0" w:afterLines="0" w:line="580" w:lineRule="exact"/>
        <w:ind w:firstLine="643" w:firstLineChars="200"/>
        <w:jc w:val="left"/>
        <w:outlineLvl w:val="2"/>
        <w:rPr>
          <w:rFonts w:hint="eastAsia" w:ascii="方正楷体_GB2312" w:hAnsi="方正楷体_GB2312" w:eastAsia="方正楷体_GB2312" w:cs="方正楷体_GB2312"/>
          <w:b/>
          <w:sz w:val="32"/>
          <w:szCs w:val="32"/>
        </w:rPr>
      </w:pPr>
      <w:r>
        <w:rPr>
          <w:rFonts w:hint="eastAsia" w:ascii="方正楷体_GB2312" w:hAnsi="方正楷体_GB2312" w:eastAsia="方正楷体_GB2312" w:cs="方正楷体_GB2312"/>
          <w:b/>
          <w:sz w:val="32"/>
          <w:szCs w:val="32"/>
        </w:rPr>
        <w:t>（四）服务保障部分（10分）</w:t>
      </w:r>
    </w:p>
    <w:p w14:paraId="2C364E8A">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根据参选单位对本项目的全过程服务承诺（包括项目实施期间的跟踪配合措施、现场配合服务等内容）酌情评分：优的得7（含）-10分，良的得4（含）-7（不含）分，差的得0-4（不含）分。</w:t>
      </w:r>
    </w:p>
    <w:p w14:paraId="6F565053">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7" w:name="heading_13"/>
      <w:r>
        <w:rPr>
          <w:rFonts w:hint="eastAsia" w:ascii="方正黑体_GBK" w:hAnsi="方正黑体_GBK" w:eastAsia="方正黑体_GBK" w:cs="方正黑体_GBK"/>
          <w:sz w:val="32"/>
          <w:szCs w:val="32"/>
        </w:rPr>
        <w:t>六、并列第一确定规则</w:t>
      </w:r>
      <w:bookmarkEnd w:id="7"/>
    </w:p>
    <w:p w14:paraId="6503FD4B">
      <w:p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参选单位综合总分并列第一时，按以下顺序依次确定：</w:t>
      </w:r>
    </w:p>
    <w:p w14:paraId="0B138593">
      <w:p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1.报价最低者优先；</w:t>
      </w:r>
    </w:p>
    <w:p w14:paraId="5457FD48">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2.报价相同，技术服务得分高者优先；</w:t>
      </w:r>
    </w:p>
    <w:p w14:paraId="214C4B28">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3.技术服务得分相同，履约能力得分高者优先；</w:t>
      </w:r>
    </w:p>
    <w:p w14:paraId="742770DE">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4.履约能力得分相同，售后服务得分高者优先;</w:t>
      </w:r>
    </w:p>
    <w:p w14:paraId="5838A5FC">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5.仍无法确定的，由评审小组记名投票，按少数服从多数确定第一中选候选人。</w:t>
      </w:r>
    </w:p>
    <w:p w14:paraId="44F26E16">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8" w:name="heading_14"/>
      <w:r>
        <w:rPr>
          <w:rFonts w:hint="eastAsia" w:ascii="方正黑体_GBK" w:hAnsi="方正黑体_GBK" w:eastAsia="方正黑体_GBK" w:cs="方正黑体_GBK"/>
          <w:sz w:val="32"/>
          <w:szCs w:val="32"/>
        </w:rPr>
        <w:t>七、合同主要条款</w:t>
      </w:r>
      <w:bookmarkEnd w:id="8"/>
    </w:p>
    <w:p w14:paraId="1356CBD8">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1.合同价款：固定总价，最高限价30万元，以中选报价为准；</w:t>
      </w:r>
    </w:p>
    <w:p w14:paraId="71FEBE89">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2.付款方式：竣（交）工验收合格后，一次性付100%；</w:t>
      </w:r>
    </w:p>
    <w:p w14:paraId="220C3F5D">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3.设计成果：纸质文件6套、电子版1套；</w:t>
      </w:r>
    </w:p>
    <w:p w14:paraId="1CF42033">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4.双方责任：甲方按时付款、乙方确保设计质量、全程技术服务、设计不合格无偿修改；</w:t>
      </w:r>
    </w:p>
    <w:p w14:paraId="2FC35B14">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5.争议解决：向项目所在地人民法院提起诉讼；</w:t>
      </w:r>
    </w:p>
    <w:p w14:paraId="373F949B">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6.比选文件、参选文件、中选通知书为合同组成部分，具有同等法律效力。</w:t>
      </w:r>
    </w:p>
    <w:p w14:paraId="652A87A4">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9" w:name="heading_15"/>
      <w:r>
        <w:rPr>
          <w:rFonts w:hint="eastAsia" w:ascii="方正黑体_GBK" w:hAnsi="方正黑体_GBK" w:eastAsia="方正黑体_GBK" w:cs="方正黑体_GBK"/>
          <w:sz w:val="32"/>
          <w:szCs w:val="32"/>
        </w:rPr>
        <w:t>八、异议处理方法</w:t>
      </w:r>
      <w:bookmarkEnd w:id="9"/>
    </w:p>
    <w:p w14:paraId="12543D64">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1.参选单位对评审结果有异议的，须在中选候选人公示期内以书面形式提出；</w:t>
      </w:r>
    </w:p>
    <w:p w14:paraId="0054B46C">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2.书面异议须加盖单位公章、法定代表人签字，并附证明材料；</w:t>
      </w:r>
    </w:p>
    <w:p w14:paraId="1C3DCACF">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3.采购人在收到异议后3个工作日内予以答复；</w:t>
      </w:r>
    </w:p>
    <w:p w14:paraId="119E2815">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4.异议处理期间，不停止评审工作正常进行；</w:t>
      </w:r>
    </w:p>
    <w:p w14:paraId="25BA1690">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5.恶意异议、扰乱比选秩序的，列入不良行为记录。</w:t>
      </w:r>
    </w:p>
    <w:p w14:paraId="4F65C379">
      <w:pPr>
        <w:spacing w:beforeLines="0" w:after="0" w:afterLines="0" w:line="580" w:lineRule="exact"/>
        <w:ind w:firstLine="640" w:firstLineChars="200"/>
        <w:jc w:val="left"/>
        <w:outlineLvl w:val="1"/>
        <w:rPr>
          <w:rFonts w:hint="eastAsia" w:ascii="方正黑体_GBK" w:hAnsi="方正黑体_GBK" w:eastAsia="方正黑体_GBK" w:cs="方正黑体_GBK"/>
          <w:sz w:val="32"/>
          <w:szCs w:val="32"/>
        </w:rPr>
      </w:pPr>
      <w:bookmarkStart w:id="10" w:name="heading_16"/>
      <w:r>
        <w:rPr>
          <w:rFonts w:hint="eastAsia" w:ascii="方正黑体_GBK" w:hAnsi="方正黑体_GBK" w:eastAsia="方正黑体_GBK" w:cs="方正黑体_GBK"/>
          <w:sz w:val="32"/>
          <w:szCs w:val="32"/>
        </w:rPr>
        <w:t>九、纪律要求与提醒</w:t>
      </w:r>
      <w:bookmarkEnd w:id="10"/>
    </w:p>
    <w:p w14:paraId="2568B7CF">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1.严禁参选单位提供虚假资料、围标、串标，一经发现取消资格并列入黑名单。三年内不得参与采购人的设计项目；</w:t>
      </w:r>
    </w:p>
    <w:p w14:paraId="6F84F4C6">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2.严禁任何单位和个人干扰评审工作，违者追究责任；</w:t>
      </w:r>
    </w:p>
    <w:p w14:paraId="512855BA">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3评审小组须坚持公平、公正、客观、保密原则；</w:t>
      </w:r>
    </w:p>
    <w:p w14:paraId="77A44E6B">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4.参选文件一经递交，不予退还；</w:t>
      </w:r>
    </w:p>
    <w:p w14:paraId="3488A24A">
      <w:pPr>
        <w:numPr>
          <w:ilvl w:val="0"/>
          <w:numId w:val="0"/>
        </w:numPr>
        <w:spacing w:beforeLines="0" w:after="0" w:afterLines="0"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5.中选单位须在中选通知书规定时间内签订合同，逾期视为自动放弃。</w:t>
      </w:r>
    </w:p>
    <w:p w14:paraId="3EE4263B">
      <w:pPr>
        <w:numPr>
          <w:ilvl w:val="0"/>
          <w:numId w:val="0"/>
        </w:numPr>
        <w:wordWrap w:val="0"/>
        <w:spacing w:beforeLines="0" w:after="0" w:afterLines="0" w:line="580" w:lineRule="exact"/>
        <w:ind w:firstLine="640" w:firstLineChars="200"/>
        <w:jc w:val="right"/>
        <w:rPr>
          <w:rFonts w:hint="eastAsia" w:ascii="仿宋" w:hAnsi="仿宋" w:eastAsia="仿宋" w:cs="仿宋"/>
          <w:sz w:val="32"/>
          <w:szCs w:val="32"/>
        </w:rPr>
      </w:pPr>
    </w:p>
    <w:p w14:paraId="61D6D614">
      <w:pPr>
        <w:numPr>
          <w:ilvl w:val="0"/>
          <w:numId w:val="0"/>
        </w:numPr>
        <w:wordWrap w:val="0"/>
        <w:spacing w:beforeLines="0" w:after="0" w:afterLines="0" w:line="580" w:lineRule="exact"/>
        <w:ind w:firstLine="640" w:firstLineChars="200"/>
        <w:jc w:val="right"/>
        <w:rPr>
          <w:rFonts w:hint="eastAsia" w:ascii="仿宋" w:hAnsi="仿宋" w:eastAsia="仿宋" w:cs="仿宋"/>
          <w:sz w:val="32"/>
          <w:szCs w:val="32"/>
        </w:rPr>
      </w:pPr>
    </w:p>
    <w:p w14:paraId="2AF268EF">
      <w:pPr>
        <w:numPr>
          <w:ilvl w:val="0"/>
          <w:numId w:val="0"/>
        </w:numPr>
        <w:wordWrap w:val="0"/>
        <w:spacing w:beforeLines="0" w:after="0" w:afterLines="0" w:line="58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 xml:space="preserve">萧县交通运输局    </w:t>
      </w:r>
    </w:p>
    <w:p w14:paraId="374826B6">
      <w:pPr>
        <w:numPr>
          <w:ilvl w:val="0"/>
          <w:numId w:val="0"/>
        </w:numPr>
        <w:wordWrap w:val="0"/>
        <w:spacing w:beforeLines="0" w:after="0" w:afterLines="0" w:line="58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 xml:space="preserve">2026年3月16日   </w:t>
      </w:r>
    </w:p>
    <w:p w14:paraId="2AAF0E9E">
      <w:pPr>
        <w:spacing w:before="320" w:beforeLines="0" w:after="120"/>
        <w:jc w:val="right"/>
        <w:outlineLvl w:val="1"/>
        <w:rPr>
          <w:rFonts w:hint="eastAsia" w:ascii="仿宋" w:hAnsi="仿宋" w:eastAsia="仿宋" w:cs="仿宋"/>
          <w:b/>
          <w:sz w:val="32"/>
          <w:szCs w:val="32"/>
        </w:rPr>
      </w:pPr>
    </w:p>
    <w:sectPr>
      <w:footerReference r:id="rId5" w:type="default"/>
      <w:pgSz w:w="11906" w:h="16838"/>
      <w:pgMar w:top="1270" w:right="1576" w:bottom="1213" w:left="1519" w:header="851" w:footer="992"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EB2A075C-7CF0-459D-B226-2E3FA91AF992}"/>
  </w:font>
  <w:font w:name="方正黑体_GBK">
    <w:panose1 w:val="03000509000000000000"/>
    <w:charset w:val="86"/>
    <w:family w:val="auto"/>
    <w:pitch w:val="default"/>
    <w:sig w:usb0="00000001" w:usb1="080E0000" w:usb2="00000000" w:usb3="00000000" w:csb0="00040000" w:csb1="00000000"/>
    <w:embedRegular r:id="rId2" w:fontKey="{71A1119E-BAE8-4E32-86D0-B3C1F803A6E8}"/>
  </w:font>
  <w:font w:name="仿宋">
    <w:panose1 w:val="02010609060101010101"/>
    <w:charset w:val="86"/>
    <w:family w:val="auto"/>
    <w:pitch w:val="default"/>
    <w:sig w:usb0="800002BF" w:usb1="38CF7CFA" w:usb2="00000016" w:usb3="00000000" w:csb0="00040001" w:csb1="00000000"/>
    <w:embedRegular r:id="rId3" w:fontKey="{87BB57C3-D9D7-4623-9114-14FF9D5D172A}"/>
  </w:font>
  <w:font w:name="方正楷体_GB2312">
    <w:panose1 w:val="02000000000000000000"/>
    <w:charset w:val="86"/>
    <w:family w:val="auto"/>
    <w:pitch w:val="default"/>
    <w:sig w:usb0="A00002BF" w:usb1="184F6CFA" w:usb2="00000012" w:usb3="00000000" w:csb0="00040001" w:csb1="00000000"/>
    <w:embedRegular r:id="rId4" w:fontKey="{395BDF7D-A70A-4380-86F3-2A95C8D63E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F7069">
    <w:pPr>
      <w:pStyle w:val="19"/>
      <w:spacing w:beforeLines="0"/>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6FC80C">
                          <w:pPr>
                            <w:pStyle w:val="19"/>
                            <w:spacing w:before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14:paraId="646FC80C">
                    <w:pPr>
                      <w:pStyle w:val="19"/>
                      <w:spacing w:before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07402"/>
    <w:multiLevelType w:val="multilevel"/>
    <w:tmpl w:val="A6D07402"/>
    <w:lvl w:ilvl="0" w:tentative="0">
      <w:start w:val="1"/>
      <w:numFmt w:val="chineseCounting"/>
      <w:pStyle w:val="2"/>
      <w:suff w:val="nothing"/>
      <w:lvlText w:val="%1、"/>
      <w:lvlJc w:val="left"/>
      <w:pPr>
        <w:tabs>
          <w:tab w:val="left" w:pos="0"/>
        </w:tabs>
        <w:ind w:left="0" w:firstLine="0"/>
      </w:pPr>
      <w:rPr>
        <w:rFonts w:hint="eastAsia" w:ascii="黑体" w:hAnsi="黑体" w:eastAsia="黑体"/>
        <w:u w:val="none" w:color="auto"/>
      </w:rPr>
    </w:lvl>
    <w:lvl w:ilvl="1" w:tentative="0">
      <w:start w:val="1"/>
      <w:numFmt w:val="chineseCounting"/>
      <w:pStyle w:val="4"/>
      <w:suff w:val="nothing"/>
      <w:lvlText w:val="（%2）"/>
      <w:lvlJc w:val="left"/>
      <w:pPr>
        <w:tabs>
          <w:tab w:val="left" w:pos="0"/>
        </w:tabs>
        <w:ind w:left="0" w:firstLine="0"/>
      </w:pPr>
      <w:rPr>
        <w:rFonts w:hint="eastAsia" w:ascii="黑体" w:hAnsi="黑体" w:eastAsia="黑体"/>
        <w:u w:val="none" w:color="auto"/>
      </w:rPr>
    </w:lvl>
    <w:lvl w:ilvl="2" w:tentative="0">
      <w:start w:val="1"/>
      <w:numFmt w:val="decimal"/>
      <w:pStyle w:val="5"/>
      <w:suff w:val="nothing"/>
      <w:lvlText w:val="%3．"/>
      <w:lvlJc w:val="left"/>
      <w:pPr>
        <w:tabs>
          <w:tab w:val="left" w:pos="0"/>
        </w:tabs>
        <w:ind w:left="0" w:firstLine="0"/>
      </w:pPr>
      <w:rPr>
        <w:rFonts w:hint="eastAsia" w:ascii="黑体" w:hAnsi="黑体" w:eastAsia="黑体"/>
        <w:u w:val="none" w:color="auto"/>
      </w:rPr>
    </w:lvl>
    <w:lvl w:ilvl="3" w:tentative="0">
      <w:start w:val="1"/>
      <w:numFmt w:val="decimal"/>
      <w:pStyle w:val="6"/>
      <w:suff w:val="nothing"/>
      <w:lvlText w:val="（%4）"/>
      <w:lvlJc w:val="left"/>
      <w:pPr>
        <w:tabs>
          <w:tab w:val="left" w:pos="0"/>
        </w:tabs>
        <w:ind w:left="0" w:firstLine="0"/>
      </w:pPr>
      <w:rPr>
        <w:rFonts w:hint="eastAsia" w:ascii="黑体" w:hAnsi="黑体" w:eastAsia="黑体"/>
        <w:u w:val="none" w:color="auto"/>
      </w:rPr>
    </w:lvl>
    <w:lvl w:ilvl="4" w:tentative="0">
      <w:start w:val="1"/>
      <w:numFmt w:val="decimalEnclosedCircleChinese"/>
      <w:pStyle w:val="7"/>
      <w:suff w:val="space"/>
      <w:lvlText w:val="%5"/>
      <w:lvlJc w:val="left"/>
      <w:pPr>
        <w:ind w:left="0" w:firstLine="0"/>
      </w:pPr>
      <w:rPr>
        <w:rFonts w:hint="eastAsia" w:ascii="黑体" w:hAnsi="黑体" w:eastAsia="黑体"/>
        <w:u w:val="none" w:color="auto"/>
      </w:rPr>
    </w:lvl>
    <w:lvl w:ilvl="5" w:tentative="0">
      <w:start w:val="1"/>
      <w:numFmt w:val="decimal"/>
      <w:pStyle w:val="8"/>
      <w:suff w:val="nothing"/>
      <w:lvlText w:val="%6）"/>
      <w:lvlJc w:val="left"/>
      <w:pPr>
        <w:ind w:left="0" w:firstLine="0"/>
      </w:pPr>
      <w:rPr>
        <w:rFonts w:hint="default"/>
        <w:u w:val="none" w:color="auto"/>
      </w:rPr>
    </w:lvl>
    <w:lvl w:ilvl="6" w:tentative="0">
      <w:start w:val="1"/>
      <w:numFmt w:val="lowerLetter"/>
      <w:pStyle w:val="9"/>
      <w:suff w:val="nothing"/>
      <w:lvlText w:val="%7．"/>
      <w:lvlJc w:val="left"/>
      <w:pPr>
        <w:ind w:left="0" w:firstLine="0"/>
      </w:pPr>
      <w:rPr>
        <w:rFonts w:hint="default"/>
        <w:u w:val="none" w:color="auto"/>
      </w:rPr>
    </w:lvl>
    <w:lvl w:ilvl="7" w:tentative="0">
      <w:start w:val="1"/>
      <w:numFmt w:val="lowerLetter"/>
      <w:pStyle w:val="10"/>
      <w:suff w:val="nothing"/>
      <w:lvlText w:val="%8）"/>
      <w:lvlJc w:val="left"/>
      <w:pPr>
        <w:ind w:left="0" w:firstLine="0"/>
      </w:pPr>
      <w:rPr>
        <w:rFonts w:hint="default"/>
        <w:u w:val="none" w:color="auto"/>
      </w:rPr>
    </w:lvl>
    <w:lvl w:ilvl="8" w:tentative="0">
      <w:start w:val="1"/>
      <w:numFmt w:val="lowerRoman"/>
      <w:pStyle w:val="11"/>
      <w:suff w:val="nothing"/>
      <w:lvlText w:val="%9 "/>
      <w:lvlJc w:val="left"/>
      <w:pPr>
        <w:ind w:left="0" w:firstLine="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B876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0" w:semiHidden="0" w:name="footnote reference"/>
    <w:lsdException w:qFormat="1" w:uiPriority="0" w:semiHidden="0" w:name="annotation reference"/>
    <w:lsdException w:qFormat="1" w:unhideWhenUsed="0" w:uiPriority="0" w:semiHidden="0" w:name="line number"/>
    <w:lsdException w:qFormat="1" w:uiPriority="0"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iPriority="10" w:semiHidden="0" w:name="Title"/>
    <w:lsdException w:qFormat="1" w:unhideWhenUsed="0" w:uiPriority="0" w:semiHidden="0" w:name="Closing"/>
    <w:lsdException w:qFormat="1" w:uiPriority="0" w:semiHidden="0" w:name="Signature"/>
    <w:lsdException w:qFormat="1" w:uiPriority="0"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iPriority="0" w:semiHidden="0" w:name="Subtitle"/>
    <w:lsdException w:qFormat="1"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iPriority="0" w:semiHidden="0" w:name="FollowedHyperlink"/>
    <w:lsdException w:qFormat="1" w:uiPriority="22" w:semiHidden="0" w:name="Strong"/>
    <w:lsdException w:qFormat="1"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spacing w:beforeLines="0" w:after="20" w:afterLines="20" w:line="288" w:lineRule="auto"/>
      <w:jc w:val="both"/>
    </w:pPr>
    <w:rPr>
      <w:rFonts w:hint="eastAsia" w:ascii="黑体" w:hAnsi="黑体" w:eastAsia="黑体" w:cs="Times New Roman"/>
      <w:kern w:val="2"/>
      <w:sz w:val="21"/>
      <w:szCs w:val="21"/>
      <w:lang w:val="en-US" w:eastAsia="zh-CN" w:bidi="ar-SA"/>
    </w:rPr>
  </w:style>
  <w:style w:type="paragraph" w:styleId="2">
    <w:name w:val="heading 1"/>
    <w:next w:val="3"/>
    <w:unhideWhenUsed/>
    <w:qFormat/>
    <w:uiPriority w:val="9"/>
    <w:pPr>
      <w:keepNext/>
      <w:keepLines/>
      <w:numPr>
        <w:ilvl w:val="0"/>
        <w:numId w:val="1"/>
      </w:numPr>
      <w:adjustRightInd w:val="0"/>
      <w:snapToGrid w:val="0"/>
      <w:spacing w:before="100" w:beforeLines="100" w:after="50" w:afterLines="50" w:line="288" w:lineRule="auto"/>
      <w:outlineLvl w:val="0"/>
    </w:pPr>
    <w:rPr>
      <w:rFonts w:hint="eastAsia" w:ascii="黑体" w:hAnsi="黑体" w:eastAsia="黑体" w:cs="Times New Roman"/>
      <w:b/>
      <w:kern w:val="44"/>
      <w:sz w:val="36"/>
      <w:szCs w:val="36"/>
      <w:lang w:val="en-US" w:eastAsia="zh-CN" w:bidi="ar-SA"/>
    </w:rPr>
  </w:style>
  <w:style w:type="paragraph" w:styleId="4">
    <w:name w:val="heading 2"/>
    <w:next w:val="3"/>
    <w:unhideWhenUsed/>
    <w:qFormat/>
    <w:uiPriority w:val="9"/>
    <w:pPr>
      <w:numPr>
        <w:ilvl w:val="1"/>
        <w:numId w:val="1"/>
      </w:numPr>
      <w:adjustRightInd w:val="0"/>
      <w:snapToGrid w:val="0"/>
      <w:spacing w:before="100" w:beforeLines="100" w:after="50" w:afterLines="50" w:line="288" w:lineRule="auto"/>
      <w:outlineLvl w:val="1"/>
    </w:pPr>
    <w:rPr>
      <w:rFonts w:hint="eastAsia" w:ascii="黑体" w:hAnsi="黑体" w:eastAsia="黑体" w:cs="Times New Roman"/>
      <w:b/>
      <w:kern w:val="2"/>
      <w:sz w:val="32"/>
      <w:szCs w:val="32"/>
      <w:lang w:val="en-US" w:eastAsia="zh-CN" w:bidi="ar-SA"/>
    </w:rPr>
  </w:style>
  <w:style w:type="paragraph" w:styleId="5">
    <w:name w:val="heading 3"/>
    <w:next w:val="3"/>
    <w:unhideWhenUsed/>
    <w:qFormat/>
    <w:uiPriority w:val="9"/>
    <w:pPr>
      <w:numPr>
        <w:ilvl w:val="2"/>
        <w:numId w:val="1"/>
      </w:numPr>
      <w:tabs>
        <w:tab w:val="left" w:pos="312"/>
      </w:tabs>
      <w:adjustRightInd w:val="0"/>
      <w:snapToGrid w:val="0"/>
      <w:spacing w:before="100" w:beforeLines="100" w:after="50" w:afterLines="50" w:line="288" w:lineRule="auto"/>
      <w:outlineLvl w:val="2"/>
    </w:pPr>
    <w:rPr>
      <w:rFonts w:hint="eastAsia" w:ascii="黑体" w:hAnsi="黑体" w:eastAsia="黑体" w:cs="Times New Roman"/>
      <w:b/>
      <w:kern w:val="2"/>
      <w:sz w:val="30"/>
      <w:szCs w:val="30"/>
      <w:lang w:val="en-US" w:eastAsia="zh-CN" w:bidi="ar-SA"/>
    </w:rPr>
  </w:style>
  <w:style w:type="paragraph" w:styleId="6">
    <w:name w:val="heading 4"/>
    <w:next w:val="3"/>
    <w:unhideWhenUsed/>
    <w:qFormat/>
    <w:uiPriority w:val="9"/>
    <w:pPr>
      <w:numPr>
        <w:ilvl w:val="3"/>
        <w:numId w:val="1"/>
      </w:numPr>
      <w:adjustRightInd w:val="0"/>
      <w:snapToGrid w:val="0"/>
      <w:spacing w:before="100" w:beforeLines="100" w:after="50" w:afterLines="50" w:line="288" w:lineRule="auto"/>
      <w:outlineLvl w:val="3"/>
    </w:pPr>
    <w:rPr>
      <w:rFonts w:hint="eastAsia" w:ascii="黑体" w:hAnsi="黑体" w:eastAsia="黑体" w:cs="Times New Roman"/>
      <w:b/>
      <w:sz w:val="28"/>
      <w:szCs w:val="28"/>
      <w:lang w:val="en-US" w:eastAsia="zh-CN" w:bidi="ar-SA"/>
    </w:rPr>
  </w:style>
  <w:style w:type="paragraph" w:styleId="7">
    <w:name w:val="heading 5"/>
    <w:basedOn w:val="1"/>
    <w:next w:val="3"/>
    <w:unhideWhenUsed/>
    <w:qFormat/>
    <w:uiPriority w:val="9"/>
    <w:pPr>
      <w:numPr>
        <w:ilvl w:val="4"/>
        <w:numId w:val="1"/>
      </w:numPr>
      <w:tabs>
        <w:tab w:val="left" w:pos="312"/>
      </w:tabs>
      <w:adjustRightInd w:val="0"/>
      <w:snapToGrid w:val="0"/>
      <w:spacing w:before="100" w:beforeLines="100" w:after="50" w:afterLines="50"/>
      <w:outlineLvl w:val="4"/>
    </w:pPr>
    <w:rPr>
      <w:rFonts w:hint="eastAsia"/>
      <w:b/>
      <w:sz w:val="24"/>
      <w:szCs w:val="24"/>
    </w:rPr>
  </w:style>
  <w:style w:type="paragraph" w:styleId="8">
    <w:name w:val="heading 6"/>
    <w:basedOn w:val="1"/>
    <w:next w:val="3"/>
    <w:unhideWhenUsed/>
    <w:qFormat/>
    <w:uiPriority w:val="0"/>
    <w:pPr>
      <w:numPr>
        <w:ilvl w:val="5"/>
        <w:numId w:val="1"/>
      </w:numPr>
      <w:spacing w:before="30" w:beforeLines="30" w:after="30" w:afterLines="30" w:line="312" w:lineRule="auto"/>
      <w:outlineLvl w:val="5"/>
    </w:pPr>
    <w:rPr>
      <w:rFonts w:hint="eastAsia"/>
      <w:b/>
      <w:sz w:val="24"/>
      <w:szCs w:val="24"/>
    </w:rPr>
  </w:style>
  <w:style w:type="paragraph" w:styleId="9">
    <w:name w:val="heading 7"/>
    <w:basedOn w:val="1"/>
    <w:next w:val="3"/>
    <w:unhideWhenUsed/>
    <w:qFormat/>
    <w:uiPriority w:val="0"/>
    <w:pPr>
      <w:numPr>
        <w:ilvl w:val="6"/>
        <w:numId w:val="1"/>
      </w:numPr>
      <w:spacing w:before="30" w:beforeLines="30" w:after="30" w:afterLines="30" w:line="312" w:lineRule="auto"/>
      <w:outlineLvl w:val="6"/>
    </w:pPr>
    <w:rPr>
      <w:rFonts w:hint="eastAsia"/>
      <w:b/>
      <w:sz w:val="24"/>
      <w:szCs w:val="24"/>
    </w:rPr>
  </w:style>
  <w:style w:type="paragraph" w:styleId="10">
    <w:name w:val="heading 8"/>
    <w:basedOn w:val="1"/>
    <w:next w:val="3"/>
    <w:unhideWhenUsed/>
    <w:qFormat/>
    <w:uiPriority w:val="0"/>
    <w:pPr>
      <w:numPr>
        <w:ilvl w:val="7"/>
        <w:numId w:val="1"/>
      </w:numPr>
      <w:spacing w:before="30" w:beforeLines="30" w:after="30" w:afterLines="30" w:line="312" w:lineRule="auto"/>
      <w:outlineLvl w:val="7"/>
    </w:pPr>
    <w:rPr>
      <w:rFonts w:hint="eastAsia"/>
      <w:b/>
      <w:sz w:val="24"/>
      <w:szCs w:val="24"/>
    </w:rPr>
  </w:style>
  <w:style w:type="paragraph" w:styleId="11">
    <w:name w:val="heading 9"/>
    <w:basedOn w:val="1"/>
    <w:next w:val="3"/>
    <w:unhideWhenUsed/>
    <w:qFormat/>
    <w:uiPriority w:val="0"/>
    <w:pPr>
      <w:numPr>
        <w:ilvl w:val="8"/>
        <w:numId w:val="1"/>
      </w:numPr>
      <w:spacing w:before="30" w:beforeLines="30" w:after="30" w:afterLines="30" w:line="312" w:lineRule="auto"/>
      <w:outlineLvl w:val="8"/>
    </w:pPr>
    <w:rPr>
      <w:rFonts w:hint="eastAsia"/>
      <w:b/>
      <w:sz w:val="24"/>
      <w:szCs w:val="24"/>
    </w:rPr>
  </w:style>
  <w:style w:type="character" w:default="1" w:styleId="31">
    <w:name w:val="Default Paragraph Font"/>
    <w:unhideWhenUsed/>
    <w:qFormat/>
    <w:uiPriority w:val="0"/>
    <w:rPr>
      <w:rFonts w:hint="default"/>
      <w:sz w:val="24"/>
      <w:szCs w:val="24"/>
    </w:rPr>
  </w:style>
  <w:style w:type="table" w:default="1" w:styleId="30">
    <w:name w:val="Normal Table"/>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before="100" w:beforeLines="0" w:after="100" w:afterLines="0" w:line="300" w:lineRule="auto"/>
      <w:ind w:firstLine="1124" w:firstLineChars="200"/>
    </w:pPr>
    <w:rPr>
      <w:rFonts w:hint="eastAsia"/>
      <w:sz w:val="21"/>
      <w:szCs w:val="21"/>
    </w:rPr>
  </w:style>
  <w:style w:type="paragraph" w:styleId="12">
    <w:name w:val="caption"/>
    <w:basedOn w:val="1"/>
    <w:next w:val="1"/>
    <w:unhideWhenUsed/>
    <w:qFormat/>
    <w:uiPriority w:val="0"/>
    <w:pPr>
      <w:spacing w:beforeLines="0"/>
    </w:pPr>
    <w:rPr>
      <w:rFonts w:hint="eastAsia"/>
      <w:sz w:val="20"/>
      <w:szCs w:val="20"/>
    </w:rPr>
  </w:style>
  <w:style w:type="paragraph" w:styleId="13">
    <w:name w:val="annotation text"/>
    <w:basedOn w:val="1"/>
    <w:unhideWhenUsed/>
    <w:qFormat/>
    <w:uiPriority w:val="0"/>
    <w:pPr>
      <w:spacing w:beforeLines="0"/>
      <w:jc w:val="left"/>
    </w:pPr>
    <w:rPr>
      <w:rFonts w:hint="eastAsia"/>
      <w:color w:val="auto"/>
      <w:sz w:val="21"/>
      <w:szCs w:val="21"/>
    </w:rPr>
  </w:style>
  <w:style w:type="paragraph" w:styleId="14">
    <w:name w:val="Salutation"/>
    <w:basedOn w:val="1"/>
    <w:next w:val="1"/>
    <w:unhideWhenUsed/>
    <w:qFormat/>
    <w:uiPriority w:val="0"/>
    <w:pPr>
      <w:adjustRightInd w:val="0"/>
      <w:snapToGrid w:val="0"/>
      <w:spacing w:beforeLines="0"/>
    </w:pPr>
    <w:rPr>
      <w:rFonts w:hint="eastAsia"/>
      <w:sz w:val="21"/>
      <w:szCs w:val="21"/>
    </w:rPr>
  </w:style>
  <w:style w:type="paragraph" w:styleId="15">
    <w:name w:val="toc 3"/>
    <w:basedOn w:val="1"/>
    <w:next w:val="1"/>
    <w:unhideWhenUsed/>
    <w:qFormat/>
    <w:uiPriority w:val="0"/>
    <w:pPr>
      <w:spacing w:beforeLines="0"/>
      <w:ind w:left="840" w:leftChars="400"/>
    </w:pPr>
    <w:rPr>
      <w:rFonts w:hint="eastAsia"/>
      <w:sz w:val="21"/>
      <w:szCs w:val="21"/>
    </w:rPr>
  </w:style>
  <w:style w:type="paragraph" w:styleId="16">
    <w:name w:val="Date"/>
    <w:basedOn w:val="1"/>
    <w:next w:val="1"/>
    <w:unhideWhenUsed/>
    <w:qFormat/>
    <w:uiPriority w:val="0"/>
    <w:pPr>
      <w:spacing w:beforeLines="0"/>
      <w:jc w:val="right"/>
    </w:pPr>
    <w:rPr>
      <w:rFonts w:hint="eastAsia"/>
      <w:color w:val="auto"/>
      <w:sz w:val="21"/>
      <w:szCs w:val="21"/>
    </w:rPr>
  </w:style>
  <w:style w:type="paragraph" w:styleId="17">
    <w:name w:val="endnote text"/>
    <w:basedOn w:val="1"/>
    <w:unhideWhenUsed/>
    <w:qFormat/>
    <w:uiPriority w:val="0"/>
    <w:pPr>
      <w:spacing w:beforeLines="0"/>
      <w:jc w:val="left"/>
    </w:pPr>
    <w:rPr>
      <w:rFonts w:hint="eastAsia"/>
      <w:color w:val="auto"/>
      <w:sz w:val="21"/>
      <w:szCs w:val="21"/>
    </w:rPr>
  </w:style>
  <w:style w:type="paragraph" w:styleId="18">
    <w:name w:val="Balloon Text"/>
    <w:basedOn w:val="1"/>
    <w:unhideWhenUsed/>
    <w:qFormat/>
    <w:uiPriority w:val="0"/>
    <w:pPr>
      <w:spacing w:beforeLines="0"/>
    </w:pPr>
    <w:rPr>
      <w:rFonts w:hint="eastAsia"/>
      <w:sz w:val="18"/>
      <w:szCs w:val="18"/>
    </w:rPr>
  </w:style>
  <w:style w:type="paragraph" w:styleId="19">
    <w:name w:val="footer"/>
    <w:basedOn w:val="1"/>
    <w:unhideWhenUsed/>
    <w:qFormat/>
    <w:uiPriority w:val="0"/>
    <w:pPr>
      <w:tabs>
        <w:tab w:val="center" w:pos="4153"/>
        <w:tab w:val="right" w:pos="8306"/>
      </w:tabs>
      <w:spacing w:beforeLines="0"/>
      <w:jc w:val="left"/>
    </w:pPr>
    <w:rPr>
      <w:rFonts w:hint="eastAsia"/>
      <w:sz w:val="18"/>
      <w:szCs w:val="18"/>
    </w:rPr>
  </w:style>
  <w:style w:type="paragraph" w:styleId="20">
    <w:name w:val="header"/>
    <w:basedOn w:val="1"/>
    <w:unhideWhenUsed/>
    <w:qFormat/>
    <w:uiPriority w:val="0"/>
    <w:pPr>
      <w:tabs>
        <w:tab w:val="center" w:pos="4153"/>
        <w:tab w:val="right" w:pos="8306"/>
      </w:tabs>
      <w:spacing w:beforeLines="0" w:line="240" w:lineRule="auto"/>
    </w:pPr>
    <w:rPr>
      <w:rFonts w:hint="eastAsia"/>
      <w:sz w:val="18"/>
      <w:szCs w:val="18"/>
    </w:rPr>
  </w:style>
  <w:style w:type="paragraph" w:styleId="21">
    <w:name w:val="Signature"/>
    <w:basedOn w:val="1"/>
    <w:unhideWhenUsed/>
    <w:qFormat/>
    <w:uiPriority w:val="0"/>
    <w:pPr>
      <w:spacing w:beforeLines="0"/>
      <w:jc w:val="right"/>
    </w:pPr>
    <w:rPr>
      <w:rFonts w:hint="eastAsia"/>
      <w:color w:val="auto"/>
      <w:sz w:val="21"/>
      <w:szCs w:val="21"/>
    </w:rPr>
  </w:style>
  <w:style w:type="paragraph" w:styleId="22">
    <w:name w:val="toc 1"/>
    <w:basedOn w:val="1"/>
    <w:next w:val="1"/>
    <w:unhideWhenUsed/>
    <w:qFormat/>
    <w:uiPriority w:val="0"/>
    <w:pPr>
      <w:spacing w:beforeLines="0"/>
    </w:pPr>
    <w:rPr>
      <w:rFonts w:hint="eastAsia"/>
      <w:sz w:val="21"/>
      <w:szCs w:val="21"/>
    </w:rPr>
  </w:style>
  <w:style w:type="paragraph" w:styleId="23">
    <w:name w:val="Subtitle"/>
    <w:basedOn w:val="1"/>
    <w:next w:val="3"/>
    <w:unhideWhenUsed/>
    <w:qFormat/>
    <w:uiPriority w:val="0"/>
    <w:pPr>
      <w:adjustRightInd w:val="0"/>
      <w:snapToGrid w:val="0"/>
      <w:spacing w:after="100" w:afterLines="100"/>
      <w:jc w:val="center"/>
    </w:pPr>
    <w:rPr>
      <w:rFonts w:hint="eastAsia"/>
      <w:b/>
      <w:kern w:val="28"/>
      <w:sz w:val="32"/>
      <w:szCs w:val="32"/>
    </w:rPr>
  </w:style>
  <w:style w:type="paragraph" w:styleId="24">
    <w:name w:val="footnote text"/>
    <w:basedOn w:val="1"/>
    <w:unhideWhenUsed/>
    <w:qFormat/>
    <w:uiPriority w:val="0"/>
    <w:pPr>
      <w:spacing w:beforeLines="0"/>
      <w:jc w:val="left"/>
    </w:pPr>
    <w:rPr>
      <w:rFonts w:hint="eastAsia"/>
      <w:sz w:val="24"/>
      <w:szCs w:val="24"/>
    </w:rPr>
  </w:style>
  <w:style w:type="paragraph" w:styleId="25">
    <w:name w:val="toc 2"/>
    <w:basedOn w:val="1"/>
    <w:next w:val="1"/>
    <w:unhideWhenUsed/>
    <w:qFormat/>
    <w:uiPriority w:val="0"/>
    <w:pPr>
      <w:spacing w:beforeLines="0"/>
      <w:ind w:left="420" w:leftChars="200"/>
    </w:pPr>
    <w:rPr>
      <w:rFonts w:hint="eastAsia"/>
      <w:sz w:val="21"/>
      <w:szCs w:val="21"/>
    </w:rPr>
  </w:style>
  <w:style w:type="paragraph" w:styleId="26">
    <w:name w:val="HTML Preformatted"/>
    <w:basedOn w:val="1"/>
    <w:unhideWhenUsed/>
    <w:qFormat/>
    <w:uiPriority w:val="0"/>
    <w:pPr>
      <w:spacing w:beforeLines="0"/>
    </w:pPr>
    <w:rPr>
      <w:rFonts w:hint="default" w:ascii="Courier New" w:hAnsi="Courier New"/>
      <w:sz w:val="20"/>
      <w:szCs w:val="21"/>
    </w:rPr>
  </w:style>
  <w:style w:type="paragraph" w:styleId="27">
    <w:name w:val="Normal (Web)"/>
    <w:basedOn w:val="1"/>
    <w:unhideWhenUsed/>
    <w:qFormat/>
    <w:uiPriority w:val="0"/>
    <w:pPr>
      <w:spacing w:beforeLines="0"/>
    </w:pPr>
    <w:rPr>
      <w:rFonts w:hint="eastAsia"/>
      <w:sz w:val="24"/>
      <w:szCs w:val="24"/>
    </w:rPr>
  </w:style>
  <w:style w:type="paragraph" w:styleId="28">
    <w:name w:val="Title"/>
    <w:basedOn w:val="1"/>
    <w:next w:val="3"/>
    <w:unhideWhenUsed/>
    <w:qFormat/>
    <w:uiPriority w:val="10"/>
    <w:pPr>
      <w:adjustRightInd w:val="0"/>
      <w:snapToGrid w:val="0"/>
      <w:spacing w:beforeLines="0" w:after="80" w:afterLines="80"/>
      <w:jc w:val="center"/>
    </w:pPr>
    <w:rPr>
      <w:rFonts w:hint="eastAsia"/>
      <w:b/>
      <w:sz w:val="48"/>
      <w:szCs w:val="48"/>
    </w:rPr>
  </w:style>
  <w:style w:type="paragraph" w:styleId="29">
    <w:name w:val="annotation subject"/>
    <w:basedOn w:val="13"/>
    <w:next w:val="13"/>
    <w:unhideWhenUsed/>
    <w:qFormat/>
    <w:uiPriority w:val="0"/>
    <w:pPr>
      <w:spacing w:beforeLines="0"/>
    </w:pPr>
    <w:rPr>
      <w:rFonts w:hint="eastAsia"/>
      <w:b/>
      <w:color w:val="auto"/>
      <w:sz w:val="21"/>
      <w:szCs w:val="21"/>
    </w:rPr>
  </w:style>
  <w:style w:type="character" w:styleId="32">
    <w:name w:val="Strong"/>
    <w:basedOn w:val="31"/>
    <w:unhideWhenUsed/>
    <w:qFormat/>
    <w:uiPriority w:val="22"/>
    <w:rPr>
      <w:rFonts w:hint="eastAsia" w:ascii="黑体" w:hAnsi="黑体" w:eastAsia="黑体"/>
      <w:b/>
      <w:color w:val="auto"/>
      <w:sz w:val="24"/>
      <w:szCs w:val="24"/>
      <w:u w:val="single"/>
    </w:rPr>
  </w:style>
  <w:style w:type="character" w:styleId="33">
    <w:name w:val="endnote reference"/>
    <w:basedOn w:val="31"/>
    <w:unhideWhenUsed/>
    <w:qFormat/>
    <w:uiPriority w:val="0"/>
    <w:rPr>
      <w:rFonts w:hint="eastAsia" w:ascii="黑体" w:hAnsi="黑体" w:eastAsia="黑体"/>
      <w:color w:val="auto"/>
      <w:sz w:val="24"/>
      <w:szCs w:val="24"/>
      <w:vertAlign w:val="superscript"/>
    </w:rPr>
  </w:style>
  <w:style w:type="character" w:styleId="34">
    <w:name w:val="page number"/>
    <w:unhideWhenUsed/>
    <w:qFormat/>
    <w:uiPriority w:val="0"/>
    <w:rPr>
      <w:rFonts w:hint="eastAsia" w:ascii="黑体" w:hAnsi="黑体" w:eastAsia="黑体" w:cs="Times New Roman"/>
      <w:color w:val="auto"/>
      <w:spacing w:val="-6"/>
      <w:kern w:val="2"/>
      <w:sz w:val="28"/>
      <w:szCs w:val="28"/>
      <w:lang w:val="en-US" w:eastAsia="zh-CN" w:bidi="ar-SA"/>
    </w:rPr>
  </w:style>
  <w:style w:type="character" w:styleId="35">
    <w:name w:val="FollowedHyperlink"/>
    <w:basedOn w:val="31"/>
    <w:unhideWhenUsed/>
    <w:qFormat/>
    <w:uiPriority w:val="0"/>
    <w:rPr>
      <w:rFonts w:hint="eastAsia" w:ascii="黑体" w:hAnsi="黑体" w:eastAsia="黑体" w:cs="Times New Roman"/>
      <w:color w:val="800080"/>
      <w:spacing w:val="-6"/>
      <w:kern w:val="2"/>
      <w:sz w:val="24"/>
      <w:szCs w:val="24"/>
      <w:u w:val="single"/>
      <w:lang w:val="en-US" w:eastAsia="zh-CN" w:bidi="ar-SA"/>
    </w:rPr>
  </w:style>
  <w:style w:type="character" w:styleId="36">
    <w:name w:val="Emphasis"/>
    <w:basedOn w:val="31"/>
    <w:unhideWhenUsed/>
    <w:qFormat/>
    <w:uiPriority w:val="20"/>
    <w:rPr>
      <w:rFonts w:hint="default" w:ascii="Arial" w:hAnsi="Arial" w:eastAsia="黑体"/>
      <w:b/>
      <w:i/>
      <w:color w:val="auto"/>
      <w:sz w:val="24"/>
      <w:szCs w:val="24"/>
    </w:rPr>
  </w:style>
  <w:style w:type="character" w:styleId="37">
    <w:name w:val="Hyperlink"/>
    <w:basedOn w:val="31"/>
    <w:unhideWhenUsed/>
    <w:qFormat/>
    <w:uiPriority w:val="0"/>
    <w:rPr>
      <w:rFonts w:hint="eastAsia" w:ascii="黑体" w:hAnsi="黑体" w:eastAsia="黑体" w:cs="Times New Roman"/>
      <w:caps/>
      <w:color w:val="0000FF"/>
      <w:spacing w:val="-6"/>
      <w:kern w:val="2"/>
      <w:sz w:val="24"/>
      <w:szCs w:val="24"/>
      <w:u w:val="single"/>
      <w:lang w:val="en-US" w:eastAsia="zh-CN" w:bidi="ar-SA"/>
    </w:rPr>
  </w:style>
  <w:style w:type="character" w:styleId="38">
    <w:name w:val="annotation reference"/>
    <w:basedOn w:val="31"/>
    <w:unhideWhenUsed/>
    <w:qFormat/>
    <w:uiPriority w:val="0"/>
    <w:rPr>
      <w:rFonts w:hint="eastAsia" w:ascii="黑体" w:hAnsi="黑体" w:eastAsia="黑体"/>
      <w:color w:val="auto"/>
      <w:sz w:val="21"/>
      <w:szCs w:val="24"/>
    </w:rPr>
  </w:style>
  <w:style w:type="character" w:styleId="39">
    <w:name w:val="footnote reference"/>
    <w:basedOn w:val="31"/>
    <w:unhideWhenUsed/>
    <w:qFormat/>
    <w:uiPriority w:val="0"/>
    <w:rPr>
      <w:rFonts w:hint="eastAsia" w:ascii="黑体" w:hAnsi="黑体" w:eastAsia="黑体"/>
      <w:color w:val="auto"/>
      <w:sz w:val="24"/>
      <w:szCs w:val="24"/>
      <w:vertAlign w:val="superscript"/>
    </w:rPr>
  </w:style>
  <w:style w:type="paragraph" w:customStyle="1" w:styleId="40">
    <w:name w:val="章标题"/>
    <w:next w:val="1"/>
    <w:unhideWhenUsed/>
    <w:qFormat/>
    <w:uiPriority w:val="0"/>
    <w:pPr>
      <w:tabs>
        <w:tab w:val="left" w:pos="0"/>
      </w:tabs>
      <w:adjustRightInd w:val="0"/>
      <w:snapToGrid w:val="0"/>
      <w:spacing w:before="50" w:beforeLines="50" w:after="100" w:afterLines="100" w:line="288" w:lineRule="auto"/>
      <w:jc w:val="center"/>
      <w:outlineLvl w:val="0"/>
    </w:pPr>
    <w:rPr>
      <w:rFonts w:hint="eastAsia" w:ascii="黑体" w:hAnsi="黑体" w:eastAsia="黑体" w:cs="Times New Roman"/>
      <w:b/>
      <w:sz w:val="36"/>
      <w:szCs w:val="36"/>
    </w:rPr>
  </w:style>
  <w:style w:type="paragraph" w:customStyle="1" w:styleId="41">
    <w:name w:val="主送对象"/>
    <w:next w:val="3"/>
    <w:unhideWhenUsed/>
    <w:qFormat/>
    <w:uiPriority w:val="0"/>
    <w:pPr>
      <w:adjustRightInd w:val="0"/>
      <w:snapToGrid w:val="0"/>
      <w:spacing w:beforeLines="0" w:afterLines="0" w:line="576" w:lineRule="exact"/>
    </w:pPr>
    <w:rPr>
      <w:rFonts w:hint="eastAsia" w:ascii="黑体" w:hAnsi="黑体" w:eastAsia="黑体" w:cs="Times New Roman"/>
      <w:color w:val="auto"/>
      <w:sz w:val="24"/>
      <w:szCs w:val="24"/>
      <w:lang w:val="en-US" w:eastAsia="zh-CN" w:bidi="ar-SA"/>
    </w:rPr>
  </w:style>
  <w:style w:type="paragraph" w:customStyle="1" w:styleId="42">
    <w:name w:val="致谢标题"/>
    <w:unhideWhenUsed/>
    <w:qFormat/>
    <w:uiPriority w:val="0"/>
    <w:pPr>
      <w:adjustRightInd w:val="0"/>
      <w:snapToGrid w:val="0"/>
      <w:spacing w:before="50" w:beforeLines="50" w:after="100" w:afterLines="100"/>
      <w:jc w:val="center"/>
      <w:outlineLvl w:val="0"/>
    </w:pPr>
    <w:rPr>
      <w:rFonts w:hint="eastAsia" w:ascii="黑体" w:hAnsi="黑体" w:eastAsia="黑体" w:cs="Times New Roman"/>
      <w:b/>
      <w:sz w:val="36"/>
      <w:szCs w:val="36"/>
    </w:rPr>
  </w:style>
  <w:style w:type="paragraph" w:customStyle="1" w:styleId="43">
    <w:name w:val="参考文献标题"/>
    <w:unhideWhenUsed/>
    <w:qFormat/>
    <w:uiPriority w:val="0"/>
    <w:pPr>
      <w:tabs>
        <w:tab w:val="left" w:pos="0"/>
      </w:tabs>
      <w:adjustRightInd w:val="0"/>
      <w:snapToGrid w:val="0"/>
      <w:spacing w:before="50" w:beforeLines="50" w:after="100" w:afterLines="100"/>
      <w:jc w:val="center"/>
      <w:outlineLvl w:val="0"/>
    </w:pPr>
    <w:rPr>
      <w:rFonts w:hint="eastAsia" w:ascii="黑体" w:hAnsi="黑体" w:eastAsia="黑体" w:cs="Times New Roman"/>
      <w:b/>
      <w:sz w:val="36"/>
      <w:szCs w:val="36"/>
    </w:rPr>
  </w:style>
  <w:style w:type="paragraph" w:customStyle="1" w:styleId="44">
    <w:name w:val="节标题"/>
    <w:basedOn w:val="1"/>
    <w:next w:val="1"/>
    <w:unhideWhenUsed/>
    <w:qFormat/>
    <w:uiPriority w:val="0"/>
    <w:pPr>
      <w:adjustRightInd w:val="0"/>
      <w:snapToGrid w:val="0"/>
      <w:spacing w:before="50" w:beforeLines="50" w:after="100" w:afterLines="100"/>
      <w:jc w:val="center"/>
      <w:outlineLvl w:val="0"/>
    </w:pPr>
    <w:rPr>
      <w:rFonts w:hint="eastAsia"/>
      <w:b/>
      <w:kern w:val="28"/>
      <w:sz w:val="32"/>
      <w:szCs w:val="32"/>
    </w:rPr>
  </w:style>
  <w:style w:type="paragraph" w:customStyle="1" w:styleId="45">
    <w:name w:val="附录标题"/>
    <w:basedOn w:val="1"/>
    <w:next w:val="3"/>
    <w:unhideWhenUsed/>
    <w:qFormat/>
    <w:uiPriority w:val="0"/>
    <w:pPr>
      <w:adjustRightInd w:val="0"/>
      <w:snapToGrid w:val="0"/>
      <w:spacing w:before="50" w:beforeLines="50" w:after="100" w:afterLines="100"/>
      <w:jc w:val="center"/>
      <w:outlineLvl w:val="0"/>
    </w:pPr>
    <w:rPr>
      <w:rFonts w:hint="eastAsia"/>
      <w:b/>
      <w:kern w:val="28"/>
      <w:sz w:val="32"/>
      <w:szCs w:val="32"/>
    </w:rPr>
  </w:style>
  <w:style w:type="paragraph" w:customStyle="1" w:styleId="46">
    <w:name w:val="题注1"/>
    <w:basedOn w:val="1"/>
    <w:unhideWhenUsed/>
    <w:qFormat/>
    <w:uiPriority w:val="0"/>
    <w:pPr>
      <w:spacing w:beforeLines="0"/>
      <w:jc w:val="center"/>
    </w:pPr>
    <w:rPr>
      <w:rFonts w:hint="eastAsia"/>
      <w:sz w:val="21"/>
      <w:szCs w:val="21"/>
    </w:rPr>
  </w:style>
  <w:style w:type="paragraph" w:customStyle="1" w:styleId="47">
    <w:name w:val="文档说明标题"/>
    <w:basedOn w:val="1"/>
    <w:next w:val="1"/>
    <w:unhideWhenUsed/>
    <w:qFormat/>
    <w:uiPriority w:val="0"/>
    <w:pPr>
      <w:adjustRightInd w:val="0"/>
      <w:snapToGrid w:val="0"/>
      <w:spacing w:beforeLines="0" w:after="100" w:afterLines="100"/>
      <w:jc w:val="center"/>
    </w:pPr>
    <w:rPr>
      <w:rFonts w:hint="eastAsia"/>
      <w:b/>
      <w:sz w:val="36"/>
      <w:szCs w:val="36"/>
    </w:rPr>
  </w:style>
  <w:style w:type="paragraph" w:customStyle="1" w:styleId="48">
    <w:name w:val="目录标题"/>
    <w:basedOn w:val="1"/>
    <w:unhideWhenUsed/>
    <w:qFormat/>
    <w:uiPriority w:val="0"/>
    <w:pPr>
      <w:spacing w:afterLines="0" w:line="240" w:lineRule="auto"/>
      <w:jc w:val="center"/>
    </w:pPr>
    <w:rPr>
      <w:rFonts w:hint="eastAsia"/>
      <w:b/>
      <w:sz w:val="28"/>
      <w:szCs w:val="28"/>
    </w:rPr>
  </w:style>
  <w:style w:type="paragraph" w:customStyle="1" w:styleId="49">
    <w:name w:val="声明标题"/>
    <w:unhideWhenUsed/>
    <w:qFormat/>
    <w:uiPriority w:val="0"/>
    <w:pPr>
      <w:tabs>
        <w:tab w:val="left" w:pos="0"/>
      </w:tabs>
      <w:adjustRightInd w:val="0"/>
      <w:snapToGrid w:val="0"/>
      <w:spacing w:before="50" w:beforeLines="50" w:after="100" w:afterLines="100"/>
      <w:jc w:val="center"/>
      <w:outlineLvl w:val="0"/>
    </w:pPr>
    <w:rPr>
      <w:rFonts w:hint="eastAsia" w:ascii="黑体" w:hAnsi="黑体" w:eastAsia="黑体" w:cs="Times New Roman"/>
      <w:b/>
      <w:sz w:val="36"/>
      <w:szCs w:val="36"/>
    </w:rPr>
  </w:style>
  <w:style w:type="character" w:customStyle="1" w:styleId="50">
    <w:name w:val="摘要"/>
    <w:basedOn w:val="31"/>
    <w:unhideWhenUsed/>
    <w:qFormat/>
    <w:uiPriority w:val="0"/>
    <w:rPr>
      <w:rFonts w:hint="eastAsia" w:ascii="Arial" w:hAnsi="Arial" w:eastAsia="宋体"/>
      <w:b/>
      <w:sz w:val="24"/>
      <w:szCs w:val="24"/>
      <w:lang w:val="en-US" w:eastAsia="zh-CN"/>
    </w:rPr>
  </w:style>
  <w:style w:type="character" w:customStyle="1" w:styleId="51">
    <w:name w:val="关键词"/>
    <w:basedOn w:val="31"/>
    <w:unhideWhenUsed/>
    <w:qFormat/>
    <w:uiPriority w:val="0"/>
    <w:rPr>
      <w:rFonts w:hint="eastAsia" w:ascii="Arial" w:hAnsi="Arial" w:eastAsia="宋体"/>
      <w:b/>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2951</Words>
  <Characters>3198</Characters>
  <TotalTime>0</TotalTime>
  <ScaleCrop>false</ScaleCrop>
  <LinksUpToDate>false</LinksUpToDate>
  <CharactersWithSpaces>3205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2026-03-16T03:10:13Z</dcterms:created>
  <dc:creator>happy</dc:creator>
  <cp:lastModifiedBy>孤光&amp;普照</cp:lastModifiedBy>
  <dcterms:modified xsi:type="dcterms:W3CDTF">2026-03-16T03:11:01Z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96F4ADBDB87342D0B1DC6EB44A6EA5ED_13</vt:lpwstr>
  </property>
</Properties>
</file>