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b/>
        </w:rPr>
        <w:t xml:space="preserve">  </w:t>
      </w: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b/>
        </w:rPr>
        <w:pict>
          <v:shape id="_x0000_i1025" o:spt="136" type="#_x0000_t136" style="height:74.25pt;width:417pt;" fillcolor="#FF0000" filled="t" stroked="t" coordsize="21600,21600">
            <v:path/>
            <v:fill on="t" focussize="0,0"/>
            <v:stroke color="#FF0000"/>
            <v:imagedata o:title=""/>
            <o:lock v:ext="edit"/>
            <v:textpath on="t" fitshape="t" fitpath="t" trim="t" xscale="f" string="萧县人民政府文件" style="font-family:宋体;font-size:36pt;font-weight:bold;v-text-align:center;"/>
            <w10:wrap type="none"/>
            <w10:anchorlock/>
          </v:shape>
        </w:pict>
      </w:r>
    </w:p>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萧政发〔2020〕5号</w:t>
      </w:r>
    </w:p>
    <w:p>
      <w:pPr>
        <w:spacing w:line="640" w:lineRule="exact"/>
        <w:jc w:val="center"/>
        <w:rPr>
          <w:rFonts w:hint="eastAsia" w:ascii="方正小标宋简体" w:hAnsi="方正小标宋简体" w:eastAsia="方正小标宋简体" w:cs="方正小标宋简体"/>
          <w:sz w:val="44"/>
          <w:szCs w:val="44"/>
        </w:rPr>
      </w:pPr>
      <w:r>
        <w:rPr>
          <w:rFonts w:hint="eastAsia"/>
          <w:b/>
        </w:rPr>
        <w:pict>
          <v:shape id="_x0000_s1026" o:spid="_x0000_s1026" o:spt="32" type="#_x0000_t32" style="position:absolute;left:0pt;margin-left:0pt;margin-top:13.75pt;height:0pt;width:425.2pt;z-index:251660288;mso-width-relative:page;mso-height-relative:page;" o:connectortype="straight" filled="f" stroked="t" coordsize="21600,21600">
            <v:path arrowok="t"/>
            <v:fill on="f" focussize="0,0"/>
            <v:stroke weight="2.25pt" color="#FF0000"/>
            <v:imagedata o:title=""/>
            <o:lock v:ext="edit"/>
          </v:shape>
        </w:pict>
      </w: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萧县人民政府关于印发萧县国有土地上</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房屋征收与补偿办法的通知</w:t>
      </w:r>
    </w:p>
    <w:p>
      <w:pPr>
        <w:spacing w:line="640" w:lineRule="exact"/>
        <w:jc w:val="center"/>
        <w:rPr>
          <w:rFonts w:ascii="方正小标宋简体" w:hAnsi="方正小标宋简体" w:eastAsia="方正小标宋简体" w:cs="方正小标宋简体"/>
          <w:sz w:val="44"/>
          <w:szCs w:val="44"/>
        </w:rPr>
      </w:pPr>
    </w:p>
    <w:p>
      <w:pPr>
        <w:spacing w:line="640" w:lineRule="exact"/>
        <w:ind w:left="640" w:hanging="640" w:hanging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各乡、镇人民政府，县政府各部门、各直属单位:</w:t>
      </w:r>
    </w:p>
    <w:p>
      <w:pPr>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《萧县国有土地上房屋征收与补偿办法》已经2020年4月7日县政府第82次常务会议审议通过，现印发给你们，请遵照执行。</w:t>
      </w:r>
      <w:r>
        <w:rPr>
          <w:rFonts w:hint="eastAsia" w:ascii="仿宋_GB2312" w:hAnsi="仿宋_GB2312" w:eastAsia="仿宋_GB2312" w:cs="仿宋_GB2312"/>
          <w:sz w:val="32"/>
          <w:szCs w:val="32"/>
        </w:rPr>
        <w:br w:type="textWrapping"/>
      </w:r>
    </w:p>
    <w:p>
      <w:pPr>
        <w:spacing w:line="640" w:lineRule="exact"/>
        <w:ind w:firstLine="640" w:firstLineChars="200"/>
        <w:jc w:val="left"/>
        <w:rPr>
          <w:rFonts w:ascii="仿宋_GB2312" w:hAnsi="仿宋_GB2312" w:eastAsia="仿宋_GB2312" w:cs="仿宋_GB2312"/>
          <w:sz w:val="32"/>
          <w:szCs w:val="32"/>
        </w:rPr>
      </w:pPr>
    </w:p>
    <w:p>
      <w:pPr>
        <w:spacing w:line="640" w:lineRule="exact"/>
        <w:ind w:firstLine="640" w:firstLineChars="200"/>
        <w:jc w:val="left"/>
        <w:rPr>
          <w:rFonts w:ascii="仿宋_GB2312" w:hAnsi="仿宋_GB2312" w:eastAsia="仿宋_GB2312" w:cs="仿宋_GB2312"/>
          <w:sz w:val="32"/>
          <w:szCs w:val="32"/>
        </w:rPr>
      </w:pPr>
    </w:p>
    <w:p>
      <w:pPr>
        <w:tabs>
          <w:tab w:val="left" w:pos="7230"/>
        </w:tabs>
        <w:spacing w:line="640" w:lineRule="exact"/>
        <w:ind w:firstLine="4694" w:firstLineChars="1467"/>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2020年5月6日</w:t>
      </w: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萧县国有土地上房屋征收与补偿办法</w:t>
      </w:r>
    </w:p>
    <w:p>
      <w:pPr>
        <w:spacing w:line="580" w:lineRule="exact"/>
        <w:rPr>
          <w:rFonts w:ascii="仿宋" w:hAnsi="仿宋" w:eastAsia="仿宋"/>
          <w:sz w:val="32"/>
          <w:szCs w:val="32"/>
        </w:rPr>
      </w:pPr>
      <w:r>
        <w:rPr>
          <w:rFonts w:hint="eastAsia" w:ascii="仿宋" w:hAnsi="仿宋" w:eastAsia="仿宋"/>
          <w:sz w:val="28"/>
          <w:szCs w:val="28"/>
        </w:rPr>
        <w:t xml:space="preserve"> </w:t>
      </w:r>
      <w:r>
        <w:rPr>
          <w:rFonts w:hint="eastAsia" w:ascii="仿宋" w:hAnsi="仿宋" w:eastAsia="仿宋"/>
          <w:sz w:val="32"/>
          <w:szCs w:val="32"/>
        </w:rPr>
        <w:t xml:space="preserve"> </w:t>
      </w:r>
    </w:p>
    <w:p>
      <w:pPr>
        <w:pStyle w:val="19"/>
        <w:numPr>
          <w:ilvl w:val="0"/>
          <w:numId w:val="1"/>
        </w:numPr>
        <w:spacing w:line="580" w:lineRule="exact"/>
        <w:jc w:val="center"/>
        <w:rPr>
          <w:rFonts w:ascii="黑体" w:hAnsi="仿宋_GB2312" w:eastAsia="黑体"/>
          <w:sz w:val="32"/>
          <w:szCs w:val="32"/>
        </w:rPr>
      </w:pPr>
      <w:r>
        <w:rPr>
          <w:rFonts w:hint="eastAsia" w:ascii="黑体" w:hAnsi="黑体" w:eastAsia="黑体"/>
          <w:sz w:val="32"/>
          <w:szCs w:val="32"/>
        </w:rPr>
        <w:t>总</w:t>
      </w:r>
      <w:r>
        <w:rPr>
          <w:rFonts w:hint="eastAsia" w:ascii="黑体" w:hAnsi="仿宋_GB2312" w:eastAsia="黑体"/>
          <w:sz w:val="32"/>
          <w:szCs w:val="32"/>
        </w:rPr>
        <w:t xml:space="preserve">  </w:t>
      </w:r>
      <w:r>
        <w:rPr>
          <w:rFonts w:hint="eastAsia" w:ascii="黑体" w:hAnsi="黑体" w:eastAsia="黑体"/>
          <w:sz w:val="32"/>
          <w:szCs w:val="32"/>
        </w:rPr>
        <w:t>则</w:t>
      </w:r>
    </w:p>
    <w:p>
      <w:pPr>
        <w:pStyle w:val="19"/>
        <w:spacing w:line="580" w:lineRule="exact"/>
        <w:ind w:right="79" w:rightChars="38" w:firstLine="640" w:firstLineChars="200"/>
        <w:jc w:val="both"/>
        <w:rPr>
          <w:rFonts w:hint="eastAsia" w:ascii="仿宋_GB2312" w:eastAsia="仿宋_GB2312"/>
          <w:sz w:val="32"/>
          <w:szCs w:val="32"/>
        </w:rPr>
      </w:pPr>
      <w:r>
        <w:rPr>
          <w:rFonts w:hint="eastAsia" w:ascii="仿宋_GB2312" w:eastAsia="仿宋_GB2312"/>
          <w:sz w:val="32"/>
          <w:szCs w:val="32"/>
        </w:rPr>
        <w:t>第一条  为规范全县国有土地上房屋征收与补偿活动，维护公共利益，保障被征收房屋所有权人的合法权益，根据国务院《国有土地上房屋征收与补偿条例》和《宿州市国有土地上房屋征收与补偿暂行办法》等法律法规和相关文件精神，结合实际，制定本办法。</w:t>
      </w:r>
    </w:p>
    <w:p>
      <w:pPr>
        <w:pStyle w:val="19"/>
        <w:spacing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第二条  本办法适用于全县范围内国有土地上房屋征收与补偿工作。</w:t>
      </w:r>
    </w:p>
    <w:p>
      <w:pPr>
        <w:pStyle w:val="19"/>
        <w:spacing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第三条  房屋征收与补偿工作遵循决策民主、程序正当、结果公开的原则。</w:t>
      </w:r>
    </w:p>
    <w:p>
      <w:pPr>
        <w:pStyle w:val="19"/>
        <w:spacing w:line="580" w:lineRule="exact"/>
        <w:ind w:firstLine="616" w:firstLineChars="200"/>
        <w:jc w:val="both"/>
        <w:rPr>
          <w:rFonts w:hint="eastAsia" w:ascii="仿宋_GB2312" w:eastAsia="仿宋_GB2312"/>
          <w:spacing w:val="-6"/>
          <w:sz w:val="32"/>
          <w:szCs w:val="32"/>
        </w:rPr>
      </w:pPr>
      <w:r>
        <w:rPr>
          <w:rFonts w:hint="eastAsia" w:ascii="仿宋_GB2312" w:eastAsia="仿宋_GB2312"/>
          <w:spacing w:val="-6"/>
          <w:sz w:val="32"/>
          <w:szCs w:val="32"/>
        </w:rPr>
        <w:t>第四条  县政府负责本行政区域内国有土地上的房屋征收与补偿工作。</w:t>
      </w:r>
    </w:p>
    <w:p>
      <w:pPr>
        <w:pStyle w:val="19"/>
        <w:spacing w:line="580" w:lineRule="exact"/>
        <w:ind w:firstLine="640" w:firstLineChars="200"/>
        <w:jc w:val="both"/>
        <w:rPr>
          <w:rFonts w:ascii="仿宋_GB2312" w:eastAsia="仿宋_GB2312"/>
          <w:sz w:val="32"/>
          <w:szCs w:val="32"/>
        </w:rPr>
      </w:pPr>
      <w:r>
        <w:rPr>
          <w:rFonts w:hint="eastAsia" w:ascii="仿宋_GB2312" w:eastAsia="仿宋_GB2312"/>
          <w:sz w:val="32"/>
          <w:szCs w:val="32"/>
        </w:rPr>
        <w:t>县房屋征收部门负责组织实施本行政区域内国有土地上的房屋征收与补偿工作。</w:t>
      </w:r>
    </w:p>
    <w:p>
      <w:pPr>
        <w:pStyle w:val="19"/>
        <w:spacing w:line="580" w:lineRule="exact"/>
        <w:ind w:firstLine="640" w:firstLineChars="200"/>
        <w:jc w:val="both"/>
        <w:rPr>
          <w:rFonts w:ascii="仿宋_GB2312" w:eastAsia="仿宋_GB2312"/>
          <w:sz w:val="32"/>
          <w:szCs w:val="32"/>
        </w:rPr>
      </w:pPr>
      <w:r>
        <w:rPr>
          <w:rFonts w:hint="eastAsia" w:ascii="仿宋_GB2312" w:eastAsia="仿宋_GB2312"/>
          <w:sz w:val="32"/>
          <w:szCs w:val="32"/>
        </w:rPr>
        <w:t>房屋征收实施单位（乡镇人民政府）承担其辖区内项目房屋征收与补偿的具体工作。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县纪委监委、财政、发展改革、自然资源和规划、住建、房管、公安、司法、民政、市场监管、审计等部门应当按照职责分工，互相配合，共同做好房屋征收与补偿工作，保障房屋征收与补偿工作顺利进行。</w:t>
      </w:r>
    </w:p>
    <w:p>
      <w:pPr>
        <w:pStyle w:val="19"/>
        <w:numPr>
          <w:ilvl w:val="0"/>
          <w:numId w:val="2"/>
        </w:numPr>
        <w:spacing w:line="600" w:lineRule="exact"/>
        <w:jc w:val="center"/>
        <w:rPr>
          <w:rFonts w:ascii="黑体" w:hAnsi="仿宋_GB2312" w:eastAsia="黑体"/>
          <w:sz w:val="32"/>
          <w:szCs w:val="32"/>
        </w:rPr>
      </w:pPr>
      <w:r>
        <w:rPr>
          <w:rFonts w:hint="eastAsia" w:ascii="黑体" w:hAnsi="黑体" w:eastAsia="黑体"/>
          <w:sz w:val="32"/>
          <w:szCs w:val="32"/>
        </w:rPr>
        <w:t>征收决定</w:t>
      </w:r>
    </w:p>
    <w:p>
      <w:pPr>
        <w:pStyle w:val="19"/>
        <w:spacing w:line="600" w:lineRule="exact"/>
        <w:ind w:firstLine="645"/>
        <w:jc w:val="both"/>
        <w:rPr>
          <w:rFonts w:hint="eastAsia" w:ascii="仿宋_GB2312" w:eastAsia="仿宋_GB2312"/>
          <w:sz w:val="32"/>
          <w:szCs w:val="32"/>
        </w:rPr>
      </w:pPr>
      <w:r>
        <w:rPr>
          <w:rFonts w:hint="eastAsia" w:ascii="仿宋_GB2312" w:eastAsia="仿宋_GB2312"/>
          <w:sz w:val="32"/>
          <w:szCs w:val="32"/>
        </w:rPr>
        <w:t>第五条</w:t>
      </w:r>
      <w:r>
        <w:rPr>
          <w:rFonts w:hint="eastAsia" w:ascii="楷体_GB2312" w:hAnsi="仿宋_GB2312" w:eastAsia="楷体_GB2312"/>
          <w:sz w:val="32"/>
          <w:szCs w:val="32"/>
        </w:rPr>
        <w:t xml:space="preserve">  </w:t>
      </w:r>
      <w:r>
        <w:rPr>
          <w:rFonts w:hint="eastAsia" w:ascii="仿宋_GB2312" w:eastAsia="仿宋_GB2312"/>
          <w:sz w:val="32"/>
          <w:szCs w:val="32"/>
        </w:rPr>
        <w:t>有下列情形之一，确需征收房屋的，由县政府作出房屋征收决定：</w:t>
      </w:r>
    </w:p>
    <w:p>
      <w:pPr>
        <w:pStyle w:val="19"/>
        <w:spacing w:line="600" w:lineRule="exact"/>
        <w:ind w:firstLine="645"/>
        <w:jc w:val="both"/>
        <w:rPr>
          <w:rFonts w:ascii="仿宋_GB2312" w:eastAsia="仿宋_GB2312"/>
          <w:sz w:val="32"/>
          <w:szCs w:val="32"/>
        </w:rPr>
      </w:pPr>
      <w:r>
        <w:rPr>
          <w:rFonts w:hint="eastAsia" w:ascii="仿宋_GB2312" w:eastAsia="仿宋_GB2312"/>
          <w:sz w:val="32"/>
          <w:szCs w:val="32"/>
        </w:rPr>
        <w:t>(一)国防和外交的需要；</w:t>
      </w:r>
    </w:p>
    <w:p>
      <w:pPr>
        <w:pStyle w:val="19"/>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(二)由政府组织实施的能源、交通、水利等基础设施建设的需要； </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(三)由政府组织实施的科技、教育、文化、卫生、体育、环境和资源保护、防灾减灾、文物保护、社会福利、市政公用等公共事业的需要； </w:t>
      </w:r>
    </w:p>
    <w:p>
      <w:pPr>
        <w:pStyle w:val="19"/>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(四)由政府组织实施的保障性安居工程建设的需要；</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(五)由政府依照城乡规划法有关规定组织实施的对危房集中、基础设施落后等地段进行旧城区改建的需要； </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(六)法律、行政法规规定的其他公共利益的需要。</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第六条  因公共利益需要征收房屋的各项建设活动，应当符合国民经济和社会发展规划、土地利用总体规划、城乡规划和专项规划。保障性安居工程建设、旧城区改建，应当纳入国民经济和社会发展年度计划。</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第七条  县政府组织县住建、自然资源和规划、房屋征收、房管、乡镇政府及社区等单位，对征收范围内房屋的区位、权属、用途、建筑面积等情况进行调查登记，被征收人应予以配合。调查结果在房屋征收范围内向被征收人公布。</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被征收人不配合调查登记的，房屋征收部门及房屋征收实施单位可以通过房屋权属登记档案或者现场勘测结果进行登记，作为征收补偿的依据。</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第八条  房屋征收部门及房屋征收实施单位在调查登记的同时，应当组织被征收人选定房地产价格评估机构，预评估确定货币补偿基准价。</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房地产价格评估机构实行备选制。由被征收人在规定时间内从县政府招标入库的备选房地产价格评估机构名单中协商选定，超过半数被征收人选择同一家评估机构的，确定为房地产价格评估机构；协商不成的，由房屋征收部门及房屋征收实施单位主持，通过公开抽签、摇号等方式确定。</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进行预评估的房地产价格评估机构，应当以征收决定公告之日为评估时点，结合市场变化情况，对各类房屋预评估的货币补偿基准价进行修正。</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房地产价格评估机构应当独立、客观、公正地开展房屋征收评估工作。县房管部门应当加强对房地产价格评估机构的监督管理。</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第九条  房屋征收部门根据预评估结果，结合项目具体情况拟定征收补偿方案报县政府。县政府组织发展改革、自然资源和规划、住建、房管、财政等部门对房屋征收补偿方案进行论证，并公开征求意见，征求意见期限不得少于30日。</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第十条  意见征求情况和方案修改情况应当及时公布。</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因旧城区改建需要征收房屋，超过半数以上被征收人认为征收补偿方案不符合本办法规定及相关法律法规的，应当组织召开由被征收人和公众代表参加的听证会，并根据听证会情况修改方案。</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参加听证会的公众代表应包括被征收房屋所在乡镇（开发区、单位）、社区（村）组织代表、人大代表、政协委员、法律工作者等。</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第十一条  县政府作出房屋征收决定前，按照有关规定进行社会稳定风险评估；房屋征收决定涉及被征收人数量较多的，应经县政府常务会议讨论决定。</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第十二条  县政府作出房屋征收决定后应当及时公告。公告应当载明征收补偿方案和行政复议、行政诉讼权利等事项。 </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县房屋征收部门及房屋征收实施单位应当做好房屋征收与补偿的宣传、解释工作。</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房屋被依法征收的，土地使用权同时收回。</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第十三条  房屋征收范围确定后，不得在房屋征收范围内实施下列行为，违反规定实施的，不予补偿：</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（一）新建、扩建、改建房屋;</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（二）改变房屋、土地用途;</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（三）房屋析产、转让、租赁、抵押;</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（四）迁入户口或者分户（因婚姻、出生、回国、大中专生毕业、军人退伍转业、刑满释放等原因迁入的除外）;</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（五）以被征收房屋为注册地址办理工商注册登记手续;</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（六）其他不当增加补偿利益的行为。</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房屋征收部门应当将前款所列事项书面通知有关部门暂停办理不动产登记、营业执照等相关手续，并载明暂停期限。暂停期限最长不得超过1年。</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第十四条  征收补偿资金应当根据房屋征收工作和建设进度及时足额到位、专款专用，确保房屋征收与补偿工作顺利进行。</w:t>
      </w:r>
    </w:p>
    <w:p>
      <w:pPr>
        <w:pStyle w:val="19"/>
        <w:numPr>
          <w:ilvl w:val="0"/>
          <w:numId w:val="3"/>
        </w:numPr>
        <w:spacing w:line="600" w:lineRule="exact"/>
        <w:jc w:val="center"/>
        <w:rPr>
          <w:rFonts w:ascii="黑体" w:hAnsi="仿宋_GB2312" w:eastAsia="黑体"/>
          <w:sz w:val="32"/>
          <w:szCs w:val="32"/>
        </w:rPr>
      </w:pPr>
      <w:r>
        <w:rPr>
          <w:rFonts w:hint="eastAsia" w:ascii="黑体" w:hAnsi="黑体" w:eastAsia="黑体"/>
          <w:sz w:val="32"/>
          <w:szCs w:val="32"/>
        </w:rPr>
        <w:t>征收补偿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第十五条  被征收房屋的权属、面积、用途应当依据房屋所有权证（或不动产权证书）和房屋登记簿确认。房屋所有权证（或不动产权证书）与房屋登记簿不一致的，除有证据证明房屋登记簿确有错误外，以房屋登记簿的记载为准。房屋所有权证（或不动产权证书）、房屋登记簿所载内容与建设工程规划许可证不符的，以建设工程规划许可证所载内容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第十六条  在县政府作出房屋征收决定前，由被征收房屋所在地乡镇人民政府牵头，会同县自然资源和规划、住建、房管、征收、财政等部门依法对征收范围内未经权属登记的建筑进行调查、认定和处理。对认定为合法建筑和未超过批准期限的临时建筑，应当给予补偿；对认定为违法建筑和超过批准期限的临时建筑，不予补偿。</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第十七条  被征收房屋的面积是指建筑面积，以房屋所有权证载明的建筑面积经审查确认后确定。未办理房屋所有权证但已取得建设工程规划许可证的房屋，以批准的建筑面积为准。符合补偿安置条件的被征收房屋及挑檐、阳台、走廊、室外楼梯、阁楼等按《房产测量规范》计算建筑面积，予以认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2008年6月萧县规划控制区航摄影像图上未显示且没有办理合法手续的房屋，一律不予补偿。</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第十八条  土地面积以国有土地使用权证和不动产登记簿载明的使用面积确定。</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第十九条  被征收房屋的用途以有效权属证明或有效建房批准手续一致载明的用途为准。</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第二十条 县政府对被征收人给予的补偿包括： </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（一）被征收房屋价值的补偿； </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（二）因征收房屋造成的搬迁、临时安置的补偿；</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（三）因征收非住宅房屋造成的停产停业损失的补偿。</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第二十一条  征收个人住宅，被征收人符合住房保障条件的，优先给予住房保障。</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第二十二条  对被征收房屋价值的补偿为货币补偿和房屋产权调换两种方式。被征收人有权选择补偿方式。</w:t>
      </w:r>
    </w:p>
    <w:p>
      <w:pPr>
        <w:pStyle w:val="16"/>
        <w:spacing w:line="600" w:lineRule="exact"/>
        <w:ind w:firstLine="640" w:firstLineChars="200"/>
        <w:rPr>
          <w:rFonts w:ascii="仿宋_GB2312" w:eastAsia="仿宋_GB2312"/>
          <w:sz w:val="32"/>
          <w:szCs w:val="32"/>
        </w:rPr>
      </w:pPr>
      <w:r>
        <w:rPr>
          <w:rFonts w:hint="eastAsia" w:ascii="仿宋_GB2312" w:eastAsia="仿宋_GB2312"/>
          <w:sz w:val="32"/>
          <w:szCs w:val="32"/>
        </w:rPr>
        <w:t>被征收人选择产权调换的，县政府应提供用于产权调换的安置房源，并与被征收人计算、结清被征收房屋价值与安置房价值的差价。</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第二十三条  建设手续齐全的沿街底层房屋（住改商）确属历史形成，可参照以下相应标准补偿或安置：</w:t>
      </w:r>
    </w:p>
    <w:p>
      <w:pPr>
        <w:spacing w:line="600" w:lineRule="exact"/>
        <w:rPr>
          <w:rFonts w:ascii="仿宋_GB2312" w:eastAsia="仿宋_GB2312"/>
          <w:sz w:val="32"/>
          <w:szCs w:val="32"/>
        </w:rPr>
      </w:pPr>
      <w:r>
        <w:rPr>
          <w:rFonts w:hint="eastAsia" w:ascii="仿宋_GB2312" w:eastAsia="仿宋_GB2312"/>
          <w:sz w:val="32"/>
          <w:szCs w:val="32"/>
        </w:rPr>
        <w:t xml:space="preserve">    1．建设手续齐全的沿街底层房屋（住改商）确属历史形成，自县政府发布征收公告之日前已连续经营1年以上不满3年的，能提供有效营业执照（组织机构代码证、税务登记证），沿街第一自然间除按住宅标准补偿外，另给予一次性80元／</w:t>
      </w:r>
      <w:r>
        <w:rPr>
          <w:rFonts w:hint="eastAsia" w:ascii="宋体" w:hAnsi="宋体"/>
          <w:sz w:val="32"/>
          <w:szCs w:val="32"/>
        </w:rPr>
        <w:t>㎡的</w:t>
      </w:r>
      <w:r>
        <w:rPr>
          <w:rFonts w:hint="eastAsia" w:ascii="仿宋_GB2312" w:eastAsia="仿宋_GB2312"/>
          <w:sz w:val="32"/>
          <w:szCs w:val="32"/>
        </w:rPr>
        <w:t>停产停业损失补偿；</w:t>
      </w:r>
    </w:p>
    <w:p>
      <w:pPr>
        <w:spacing w:line="600" w:lineRule="exact"/>
        <w:ind w:firstLine="645"/>
        <w:rPr>
          <w:rFonts w:ascii="仿宋_GB2312" w:eastAsia="仿宋_GB2312"/>
          <w:sz w:val="32"/>
          <w:szCs w:val="32"/>
        </w:rPr>
      </w:pPr>
      <w:r>
        <w:rPr>
          <w:rFonts w:hint="eastAsia" w:ascii="仿宋_GB2312" w:eastAsia="仿宋_GB2312"/>
          <w:sz w:val="32"/>
          <w:szCs w:val="32"/>
        </w:rPr>
        <w:t>2．建设手续齐全的沿街底层房屋（住改商），确属历史形成，自县政府发布征收公告之日前已连续经营3年以上10年以下的（含3年），能提供有效营业执照（组织机构代码证、税务登记证），沿街第一自然间面积按住宅的1.3倍标准补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建设手续齐全的沿街底层房屋（住改商），确属历史形成，自县政府发布征收公告之日前已连续经营满10年以上的（含10年），能提供有效营业执照（组织机构代码证、税务登记证），沿街第一自然间按商业用房标准补偿；</w:t>
      </w:r>
    </w:p>
    <w:p>
      <w:pPr>
        <w:spacing w:line="600" w:lineRule="exact"/>
        <w:rPr>
          <w:rFonts w:ascii="仿宋_GB2312" w:eastAsia="仿宋_GB2312"/>
          <w:sz w:val="32"/>
          <w:szCs w:val="32"/>
        </w:rPr>
      </w:pPr>
      <w:r>
        <w:rPr>
          <w:rFonts w:hint="eastAsia" w:ascii="仿宋_GB2312" w:eastAsia="仿宋_GB2312"/>
          <w:sz w:val="32"/>
          <w:szCs w:val="32"/>
        </w:rPr>
        <w:t xml:space="preserve">    4．建设手续齐全的沿街底层房屋改作生产办公及仓储用房的，按住宅标准补偿；</w:t>
      </w:r>
    </w:p>
    <w:p>
      <w:pPr>
        <w:spacing w:line="600" w:lineRule="exact"/>
        <w:ind w:firstLine="631"/>
        <w:rPr>
          <w:rFonts w:ascii="仿宋_GB2312" w:eastAsia="仿宋_GB2312"/>
          <w:sz w:val="32"/>
          <w:szCs w:val="32"/>
        </w:rPr>
      </w:pPr>
      <w:r>
        <w:rPr>
          <w:rFonts w:hint="eastAsia" w:ascii="仿宋_GB2312" w:eastAsia="仿宋_GB2312"/>
          <w:sz w:val="32"/>
          <w:szCs w:val="32"/>
        </w:rPr>
        <w:t>5．建设手续齐全的沿街二层（含二层）以上的房屋，除有合法产权证照载明外，按住宅标准补偿；</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6.房屋征收范围确定时闲置的非住宅房屋，不给予停产停业损失补偿。 </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第二十四条  征收非住宅房屋实行产权调换的，应当根据房屋证照记载的用途，按照市场评估方式计算、结清产权调换差价。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第二十五条  因征收房屋造成搬迁的，征收部门应当向被征收人支付搬迁费，搬迁费的标准按被征收房屋予以认定面积每平方米6元计算。具体标准如下：</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1.实行货币补偿的。按照房屋予以认定建筑面积6元/平方米计算，一次性发放搬迁费。</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2.实行产权调换以现房安置的，按上述规定发放；实行产权调换以期房安置的，按上述规定支付两次搬迁费。</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第二十六条  征收房屋选择产权调换，被征收人自行过渡的，征收部门支付临时安置费。住宅房屋予以认定面积选择置换部分按每月每平方米6元计算；商业门面房予以认定面积选择置换部分按每月每平方米30元计算。三等砖木结构以下房屋不享受临时安置费。具体标准如下：</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1.以现房安置的，按上述规定计发3个月临时安置费。</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2.以期房安置被征收人自行过渡的：</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征收房屋的，过渡期限24个月以内按照规定标准支付；超过24个月不满30个月的，自第25个月起按照规定标准的50%增付临时安置费；超过30个月的，自第31个月起按照规定标准的100%增付临时安置费，直至下达安置房交房通知之日止。</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3.选择货币补偿的，不予支付临时安置费。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房屋征收部门提供临时安置用房的，不再支付临时安置用房面积的临时安置费。</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第二十七条  经过审查核实后，对2008年6月航拍图上显示或持有效权属证件上载明面积的国有土地上单门独院内的闲置空地给予300元/平方米的货币补偿（土地面积按照第十八条确定）。对于出让方式取得的土地，其中院内剩余空地的补偿标准，由专业评估机构依据相关法律法规评估确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第二十八条  在征收补偿方案规定的期限内配合完成房屋调查登记、签订房屋征收补偿协议并腾空交房的，应给予适当奖励。具体奖励标准根据各征收项目的实际情况，在项目征收补偿方案中另行规定。</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第二十九条  未在规定时间完成调查登记、签订房屋征收补偿协议、腾空交房的，取消所有奖励，并视为主动放弃回迁安置房屋的优先选择权。</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第三十条  房屋征收部门与被征收人依照本办法的规定，就补偿方式、补偿金额、支付期限和用于产权调换房屋的地点、面积、搬迁费、临时安置费或者周转用房、停产停业损失、搬迁期限、过渡方式和过渡期限等事项订立补偿协议。补偿协议订立后，一方当事人不履行补偿协议约定义务的，另一方当事人可以依法提起诉讼。 </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 第三十一条  房屋征收部门与被征收人在征收补偿方案确定的签约期限内达不成补偿协议，或者被征收房屋所有权人不明确的，由房屋征收部门报县政府依照本办法的规定，按照征收补偿方案作出补偿决定，并在房屋征收范围内公告。</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第三十二条  县政府对被征收人给予补偿后，被征收人应当在补偿协议约定或者补偿决定确定的搬迁期限内完成搬迁。</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第三十三条  被征收人在法定期限内不申请行政复议或不提起行政诉讼、在补偿决定规定的期限内又不搬迁的，由县政府依法申请人民法院强制执行。</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第三十四条  房屋征收部门应当依法建立房屋征收补偿档案，并将分户补偿情况在房屋征收范围内向被征收人公布。 </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审计部门应当加强对征收补偿费用管理和使用情况的监督，并公布审计结果。征收项目结束后，征收实施单位应当申请对该项目补偿资金的使用和发放情况进行审计。</w:t>
      </w:r>
    </w:p>
    <w:p>
      <w:pPr>
        <w:pStyle w:val="19"/>
        <w:spacing w:line="600" w:lineRule="exact"/>
        <w:ind w:firstLine="320" w:firstLineChars="100"/>
        <w:jc w:val="center"/>
        <w:rPr>
          <w:rFonts w:ascii="黑体" w:hAnsi="仿宋_GB2312" w:eastAsia="黑体"/>
          <w:sz w:val="32"/>
          <w:szCs w:val="32"/>
        </w:rPr>
      </w:pPr>
      <w:r>
        <w:rPr>
          <w:rFonts w:hint="eastAsia" w:ascii="黑体" w:hAnsi="黑体" w:eastAsia="黑体"/>
          <w:sz w:val="32"/>
          <w:szCs w:val="32"/>
        </w:rPr>
        <w:t>第四章</w:t>
      </w:r>
      <w:r>
        <w:rPr>
          <w:rFonts w:hint="eastAsia" w:ascii="黑体" w:hAnsi="仿宋_GB2312" w:eastAsia="黑体"/>
          <w:sz w:val="32"/>
          <w:szCs w:val="32"/>
        </w:rPr>
        <w:t xml:space="preserve">  </w:t>
      </w:r>
      <w:r>
        <w:rPr>
          <w:rFonts w:hint="eastAsia" w:ascii="黑体" w:hAnsi="黑体" w:eastAsia="黑体"/>
          <w:sz w:val="32"/>
          <w:szCs w:val="32"/>
        </w:rPr>
        <w:t>法律责任</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第三十五条  县政府相关职能部门及相关工作人员在房屋征收与补偿工作中不履行本办法规定的职责或者滥用职权、玩忽职守、徇私舞弊的，由县政府责令改正，通报批评；造成损失的，依法承担赔偿责任；对直接负责的主管人员和其他直接责任人员，依法给予处分；构成犯罪的，依法追究刑事责任。</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第三十六条 采取暴力、威胁等方法阻碍依法进行房屋征收与补偿工作的，构成违反治安管理行为的，依法给予治安管理处罚;构成犯罪的，依法追究刑事责任。</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第三十七条  对贪污、挪用、私分、截留、拖欠征收补偿费用的，责令改正，追回有关款项，限期退还违法所得，对有关责任单位通报批评、给予警告；造成损失的，依法承担赔偿责任；对直接负责的主管人员和其他直接责任人员，依法给予处分；构成犯罪的，依法追究刑事责任。</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第三十八条  房地产评估机构或者房地产估价师</w:t>
      </w:r>
      <w:r>
        <w:rPr>
          <w:rFonts w:hint="eastAsia" w:ascii="仿宋_GB2312" w:eastAsia="仿宋_GB2312"/>
          <w:spacing w:val="-4"/>
          <w:sz w:val="32"/>
          <w:szCs w:val="32"/>
        </w:rPr>
        <w:t>出具虚假或者有重大差错的评估报告的，</w:t>
      </w:r>
      <w:r>
        <w:rPr>
          <w:rFonts w:hint="eastAsia" w:ascii="仿宋_GB2312" w:eastAsia="仿宋_GB2312"/>
          <w:sz w:val="32"/>
          <w:szCs w:val="32"/>
        </w:rPr>
        <w:t>依据国务院《国有土地上房屋征收与补偿条例》第34条规定，</w:t>
      </w:r>
      <w:r>
        <w:rPr>
          <w:rFonts w:hint="eastAsia" w:ascii="仿宋_GB2312" w:eastAsia="仿宋_GB2312"/>
          <w:spacing w:val="-4"/>
          <w:sz w:val="32"/>
          <w:szCs w:val="32"/>
        </w:rPr>
        <w:t>由发证机关责令限期改正，给予警告，对房地产评估机构处5万元以上20万元以下罚款，对房地产估价师处1万元以上3万元以下罚款，并记入信用档案；情节严重的，吊销资质证书、注册证书；造成损失的，依法承担赔偿责</w:t>
      </w:r>
      <w:r>
        <w:rPr>
          <w:rFonts w:hint="eastAsia" w:ascii="仿宋_GB2312" w:eastAsia="仿宋_GB2312"/>
          <w:sz w:val="32"/>
          <w:szCs w:val="32"/>
        </w:rPr>
        <w:t>任；构成犯罪的，依法追究刑事责任。</w:t>
      </w:r>
    </w:p>
    <w:p>
      <w:pPr>
        <w:pStyle w:val="19"/>
        <w:spacing w:line="600" w:lineRule="exact"/>
        <w:ind w:firstLine="0"/>
        <w:jc w:val="center"/>
        <w:rPr>
          <w:rFonts w:ascii="黑体" w:hAnsi="黑体" w:eastAsia="黑体"/>
          <w:sz w:val="32"/>
          <w:szCs w:val="32"/>
        </w:rPr>
      </w:pPr>
      <w:r>
        <w:rPr>
          <w:rFonts w:hint="eastAsia" w:ascii="MS Mincho" w:hAnsi="MS Mincho" w:eastAsia="MS Mincho" w:cs="MS Mincho"/>
          <w:sz w:val="32"/>
          <w:szCs w:val="32"/>
        </w:rPr>
        <w:t>  </w:t>
      </w:r>
      <w:r>
        <w:rPr>
          <w:rFonts w:hint="eastAsia" w:ascii="黑体" w:hAnsi="黑体" w:eastAsia="黑体"/>
          <w:sz w:val="32"/>
          <w:szCs w:val="32"/>
        </w:rPr>
        <w:t>第五章  附  则</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第三十九条  本办法自公布之日起施行。2015年9月1日县政府公布的《国有土地上房屋征收与补偿试行办法》（萧政办发〔2015〕39号）同时废止。本办法施行前已发布征收决定的项目，继续沿用原有的规定办理。大外环路外200米以内集体土地上房屋补偿标准参照本办法执行。</w:t>
      </w:r>
    </w:p>
    <w:p>
      <w:pPr>
        <w:pStyle w:val="19"/>
        <w:spacing w:line="600" w:lineRule="exact"/>
        <w:ind w:firstLine="640" w:firstLineChars="200"/>
        <w:jc w:val="both"/>
        <w:rPr>
          <w:rFonts w:ascii="仿宋_GB2312" w:eastAsia="仿宋_GB2312"/>
          <w:sz w:val="32"/>
          <w:szCs w:val="32"/>
        </w:rPr>
      </w:pPr>
      <w:r>
        <w:rPr>
          <w:rFonts w:hint="eastAsia" w:ascii="仿宋_GB2312" w:eastAsia="仿宋_GB2312"/>
          <w:sz w:val="32"/>
          <w:szCs w:val="32"/>
        </w:rPr>
        <w:t xml:space="preserve"> </w:t>
      </w:r>
    </w:p>
    <w:p>
      <w:pPr>
        <w:pStyle w:val="19"/>
        <w:spacing w:line="600" w:lineRule="exact"/>
        <w:ind w:firstLine="640" w:firstLineChars="200"/>
        <w:jc w:val="both"/>
        <w:rPr>
          <w:rFonts w:ascii="黑体" w:hAnsi="黑体" w:eastAsia="黑体"/>
          <w:sz w:val="32"/>
          <w:szCs w:val="32"/>
        </w:rPr>
      </w:pPr>
      <w:r>
        <w:rPr>
          <w:rFonts w:hint="eastAsia" w:ascii="仿宋_GB2312" w:eastAsia="仿宋_GB2312"/>
          <w:sz w:val="32"/>
          <w:szCs w:val="32"/>
        </w:rPr>
        <w:t>附件：萧县房屋征收装潢及附属物补偿补助暂行标准</w:t>
      </w:r>
    </w:p>
    <w:p>
      <w:pPr>
        <w:spacing w:line="600" w:lineRule="exact"/>
        <w:rPr>
          <w:rFonts w:ascii="黑体" w:hAnsi="黑体" w:eastAsia="黑体"/>
          <w:sz w:val="32"/>
          <w:szCs w:val="32"/>
        </w:rPr>
      </w:pPr>
      <w:r>
        <w:rPr>
          <w:rFonts w:hint="eastAsia" w:ascii="黑体" w:hAnsi="黑体" w:eastAsia="黑体"/>
          <w:sz w:val="32"/>
          <w:szCs w:val="32"/>
        </w:rPr>
        <w:t xml:space="preserve"> </w:t>
      </w:r>
    </w:p>
    <w:p>
      <w:pPr>
        <w:spacing w:line="600" w:lineRule="exact"/>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附件</w:t>
      </w:r>
    </w:p>
    <w:p>
      <w:pPr>
        <w:jc w:val="center"/>
        <w:rPr>
          <w:rFonts w:ascii="方正小标宋简体" w:eastAsia="方正小标宋简体"/>
          <w:spacing w:val="-6"/>
          <w:sz w:val="44"/>
          <w:szCs w:val="44"/>
        </w:rPr>
      </w:pPr>
      <w:r>
        <w:rPr>
          <w:rFonts w:hint="eastAsia" w:ascii="方正小标宋简体" w:eastAsia="方正小标宋简体"/>
          <w:spacing w:val="-6"/>
          <w:sz w:val="44"/>
          <w:szCs w:val="44"/>
        </w:rPr>
        <w:t>萧县房屋征收装潢及附属物补偿补助暂行标准</w:t>
      </w:r>
    </w:p>
    <w:p>
      <w:pPr>
        <w:rPr>
          <w:rFonts w:ascii="黑体" w:eastAsia="黑体"/>
          <w:sz w:val="32"/>
          <w:szCs w:val="32"/>
        </w:rPr>
      </w:pPr>
      <w:r>
        <w:rPr>
          <w:rFonts w:hint="eastAsia" w:ascii="黑体" w:hAnsi="黑体" w:eastAsia="黑体"/>
          <w:sz w:val="32"/>
          <w:szCs w:val="32"/>
        </w:rPr>
        <w:t>一、房屋附属设施补偿标准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
        <w:gridCol w:w="2597"/>
        <w:gridCol w:w="17"/>
        <w:gridCol w:w="2135"/>
        <w:gridCol w:w="29"/>
        <w:gridCol w:w="3193"/>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347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Cs w:val="21"/>
              </w:rPr>
            </w:pPr>
            <w:r>
              <w:rPr>
                <w:rFonts w:hint="eastAsia"/>
                <w:b/>
              </w:rPr>
              <w:t>名称</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b/>
                <w:szCs w:val="21"/>
              </w:rPr>
            </w:pPr>
            <w:r>
              <w:rPr>
                <w:rFonts w:hint="eastAsia"/>
                <w:b/>
              </w:rPr>
              <w:t>补偿金额（单价）</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b/>
                <w:szCs w:val="21"/>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652" w:hRule="atLeast"/>
        </w:trPr>
        <w:tc>
          <w:tcPr>
            <w:tcW w:w="87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Cs w:val="21"/>
              </w:rPr>
            </w:pPr>
            <w:r>
              <w:rPr>
                <w:rFonts w:hint="eastAsia"/>
              </w:rPr>
              <w:t>水</w:t>
            </w:r>
          </w:p>
          <w:p>
            <w:pPr>
              <w:spacing w:line="400" w:lineRule="exact"/>
              <w:jc w:val="center"/>
            </w:pPr>
            <w:r>
              <w:rPr>
                <w:rFonts w:hint="eastAsia"/>
              </w:rPr>
              <w:t>电</w:t>
            </w:r>
          </w:p>
          <w:p>
            <w:pPr>
              <w:spacing w:line="400" w:lineRule="exact"/>
              <w:jc w:val="center"/>
              <w:rPr>
                <w:szCs w:val="21"/>
              </w:rPr>
            </w:pPr>
            <w:r>
              <w:rPr>
                <w:rFonts w:hint="eastAsia"/>
              </w:rPr>
              <w:t>气</w:t>
            </w: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水表</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160</w:t>
            </w:r>
            <w:r>
              <w:rPr>
                <w:rFonts w:hint="eastAsia" w:ascii="宋体" w:hAnsi="宋体"/>
              </w:rPr>
              <w:t>元</w:t>
            </w:r>
            <w:r>
              <w:rPr>
                <w:rFonts w:hint="eastAsia"/>
              </w:rPr>
              <w:t>/</w:t>
            </w:r>
            <w:r>
              <w:rPr>
                <w:rFonts w:hint="eastAsia" w:ascii="宋体" w:hAnsi="宋体"/>
              </w:rPr>
              <w:t>户</w:t>
            </w:r>
          </w:p>
        </w:tc>
        <w:tc>
          <w:tcPr>
            <w:tcW w:w="3222" w:type="dxa"/>
            <w:gridSpan w:val="2"/>
            <w:vMerge w:val="restart"/>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移装补助费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932" w:hRule="atLeast"/>
        </w:trPr>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电表</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160</w:t>
            </w:r>
            <w:r>
              <w:rPr>
                <w:rFonts w:hint="eastAsia" w:ascii="宋体" w:hAnsi="宋体"/>
              </w:rPr>
              <w:t>元</w:t>
            </w:r>
            <w:r>
              <w:rPr>
                <w:rFonts w:hint="eastAsia"/>
              </w:rPr>
              <w:t>/</w:t>
            </w:r>
            <w:r>
              <w:rPr>
                <w:rFonts w:hint="eastAsia" w:ascii="宋体" w:hAnsi="宋体"/>
              </w:rPr>
              <w:t>户</w:t>
            </w:r>
          </w:p>
        </w:tc>
        <w:tc>
          <w:tcPr>
            <w:tcW w:w="3222" w:type="dxa"/>
            <w:gridSpan w:val="2"/>
            <w:vMerge w:val="continue"/>
            <w:tcBorders>
              <w:top w:val="single" w:color="auto" w:sz="4" w:space="0"/>
              <w:left w:val="nil"/>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Cs w:val="21"/>
              </w:rPr>
            </w:pPr>
            <w:r>
              <w:rPr>
                <w:rFonts w:hint="eastAsia"/>
              </w:rPr>
              <w:t>通</w:t>
            </w:r>
          </w:p>
          <w:p>
            <w:pPr>
              <w:spacing w:line="400" w:lineRule="exact"/>
              <w:jc w:val="center"/>
              <w:rPr>
                <w:szCs w:val="21"/>
              </w:rPr>
            </w:pPr>
            <w:r>
              <w:rPr>
                <w:rFonts w:hint="eastAsia"/>
              </w:rPr>
              <w:t>讯</w:t>
            </w: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有线电视</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160</w:t>
            </w:r>
            <w:r>
              <w:rPr>
                <w:rFonts w:hint="eastAsia" w:ascii="宋体" w:hAnsi="宋体"/>
              </w:rPr>
              <w:t>元</w:t>
            </w:r>
            <w:r>
              <w:rPr>
                <w:rFonts w:hint="eastAsia"/>
              </w:rPr>
              <w:t>/</w:t>
            </w:r>
            <w:r>
              <w:rPr>
                <w:rFonts w:hint="eastAsia" w:ascii="宋体" w:hAnsi="宋体"/>
              </w:rPr>
              <w:t>户</w:t>
            </w:r>
          </w:p>
        </w:tc>
        <w:tc>
          <w:tcPr>
            <w:tcW w:w="3222" w:type="dxa"/>
            <w:gridSpan w:val="2"/>
            <w:vMerge w:val="restart"/>
            <w:tcBorders>
              <w:top w:val="nil"/>
              <w:left w:val="nil"/>
              <w:bottom w:val="single" w:color="auto" w:sz="4" w:space="0"/>
              <w:right w:val="single" w:color="auto" w:sz="4" w:space="0"/>
            </w:tcBorders>
            <w:vAlign w:val="center"/>
          </w:tcPr>
          <w:p>
            <w:pPr>
              <w:spacing w:line="400" w:lineRule="exact"/>
              <w:jc w:val="center"/>
              <w:rPr>
                <w:szCs w:val="21"/>
              </w:rPr>
            </w:pPr>
            <w:r>
              <w:rPr>
                <w:rFonts w:hint="eastAsia"/>
              </w:rPr>
              <w:t>移装补助费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电话、宽带</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160</w:t>
            </w:r>
            <w:r>
              <w:rPr>
                <w:rFonts w:hint="eastAsia" w:ascii="宋体" w:hAnsi="宋体"/>
              </w:rPr>
              <w:t>元</w:t>
            </w:r>
            <w:r>
              <w:rPr>
                <w:rFonts w:hint="eastAsia"/>
              </w:rPr>
              <w:t>/</w:t>
            </w:r>
            <w:r>
              <w:rPr>
                <w:rFonts w:hint="eastAsia" w:ascii="宋体" w:hAnsi="宋体"/>
              </w:rPr>
              <w:t>户</w:t>
            </w:r>
          </w:p>
        </w:tc>
        <w:tc>
          <w:tcPr>
            <w:tcW w:w="3222" w:type="dxa"/>
            <w:gridSpan w:val="2"/>
            <w:vMerge w:val="continue"/>
            <w:tcBorders>
              <w:top w:val="nil"/>
              <w:left w:val="nil"/>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Cs w:val="21"/>
              </w:rPr>
            </w:pPr>
            <w:r>
              <w:rPr>
                <w:rFonts w:hint="eastAsia"/>
              </w:rPr>
              <w:t>空</w:t>
            </w:r>
          </w:p>
          <w:p>
            <w:pPr>
              <w:spacing w:line="400" w:lineRule="exact"/>
              <w:jc w:val="center"/>
              <w:rPr>
                <w:szCs w:val="21"/>
              </w:rPr>
            </w:pPr>
            <w:r>
              <w:rPr>
                <w:rFonts w:hint="eastAsia"/>
              </w:rPr>
              <w:t>调</w:t>
            </w: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柜式</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400</w:t>
            </w:r>
            <w:r>
              <w:rPr>
                <w:rFonts w:hint="eastAsia" w:ascii="宋体" w:hAnsi="宋体"/>
              </w:rPr>
              <w:t>元</w:t>
            </w:r>
            <w:r>
              <w:rPr>
                <w:rFonts w:hint="eastAsia"/>
              </w:rPr>
              <w:t>/</w:t>
            </w:r>
            <w:r>
              <w:rPr>
                <w:rFonts w:hint="eastAsia" w:ascii="宋体" w:hAnsi="宋体"/>
              </w:rPr>
              <w:t>台</w:t>
            </w:r>
          </w:p>
        </w:tc>
        <w:tc>
          <w:tcPr>
            <w:tcW w:w="3222" w:type="dxa"/>
            <w:gridSpan w:val="2"/>
            <w:vMerge w:val="restart"/>
            <w:tcBorders>
              <w:top w:val="nil"/>
              <w:left w:val="nil"/>
              <w:bottom w:val="single" w:color="auto" w:sz="4" w:space="0"/>
              <w:right w:val="single" w:color="auto" w:sz="4" w:space="0"/>
            </w:tcBorders>
            <w:vAlign w:val="center"/>
          </w:tcPr>
          <w:p>
            <w:pPr>
              <w:spacing w:line="400" w:lineRule="exact"/>
              <w:jc w:val="center"/>
              <w:rPr>
                <w:szCs w:val="21"/>
              </w:rPr>
            </w:pPr>
            <w:r>
              <w:rPr>
                <w:rFonts w:hint="eastAsia"/>
              </w:rPr>
              <w:t>移装补助费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壁挂式</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320</w:t>
            </w:r>
            <w:r>
              <w:rPr>
                <w:rFonts w:hint="eastAsia" w:ascii="宋体" w:hAnsi="宋体"/>
              </w:rPr>
              <w:t>元</w:t>
            </w:r>
            <w:r>
              <w:rPr>
                <w:rFonts w:hint="eastAsia"/>
              </w:rPr>
              <w:t>/</w:t>
            </w:r>
            <w:r>
              <w:rPr>
                <w:rFonts w:hint="eastAsia" w:ascii="宋体" w:hAnsi="宋体"/>
              </w:rPr>
              <w:t>台</w:t>
            </w:r>
          </w:p>
        </w:tc>
        <w:tc>
          <w:tcPr>
            <w:tcW w:w="3222" w:type="dxa"/>
            <w:gridSpan w:val="2"/>
            <w:vMerge w:val="continue"/>
            <w:tcBorders>
              <w:top w:val="nil"/>
              <w:left w:val="nil"/>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中央空调</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150</w:t>
            </w:r>
            <w:r>
              <w:rPr>
                <w:rFonts w:hint="eastAsia" w:ascii="宋体" w:hAnsi="宋体"/>
              </w:rPr>
              <w:t>元</w:t>
            </w:r>
            <w:r>
              <w:rPr>
                <w:rFonts w:hint="eastAsia"/>
              </w:rPr>
              <w:t>/kw</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按额定制冷输入功率计算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Cs w:val="21"/>
              </w:rPr>
            </w:pPr>
            <w:r>
              <w:rPr>
                <w:rFonts w:hint="eastAsia"/>
              </w:rPr>
              <w:t>热</w:t>
            </w:r>
          </w:p>
          <w:p>
            <w:pPr>
              <w:spacing w:line="400" w:lineRule="exact"/>
              <w:jc w:val="center"/>
            </w:pPr>
            <w:r>
              <w:rPr>
                <w:rFonts w:hint="eastAsia"/>
              </w:rPr>
              <w:t>水</w:t>
            </w:r>
          </w:p>
          <w:p>
            <w:pPr>
              <w:spacing w:line="400" w:lineRule="exact"/>
              <w:jc w:val="center"/>
              <w:rPr>
                <w:szCs w:val="21"/>
              </w:rPr>
            </w:pPr>
            <w:r>
              <w:rPr>
                <w:rFonts w:hint="eastAsia"/>
              </w:rPr>
              <w:t>器</w:t>
            </w: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太阳能</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300</w:t>
            </w:r>
            <w:r>
              <w:rPr>
                <w:rFonts w:hint="eastAsia" w:ascii="宋体" w:hAnsi="宋体"/>
              </w:rPr>
              <w:t>元</w:t>
            </w:r>
            <w:r>
              <w:rPr>
                <w:rFonts w:hint="eastAsia"/>
              </w:rPr>
              <w:t>/</w:t>
            </w:r>
            <w:r>
              <w:rPr>
                <w:rFonts w:hint="eastAsia" w:ascii="宋体" w:hAnsi="宋体"/>
              </w:rPr>
              <w:t>个</w:t>
            </w:r>
          </w:p>
        </w:tc>
        <w:tc>
          <w:tcPr>
            <w:tcW w:w="3222" w:type="dxa"/>
            <w:gridSpan w:val="2"/>
            <w:vMerge w:val="restart"/>
            <w:tcBorders>
              <w:top w:val="nil"/>
              <w:left w:val="nil"/>
              <w:bottom w:val="single" w:color="auto" w:sz="4" w:space="0"/>
              <w:right w:val="single" w:color="auto" w:sz="4" w:space="0"/>
            </w:tcBorders>
            <w:vAlign w:val="center"/>
          </w:tcPr>
          <w:p>
            <w:pPr>
              <w:spacing w:line="400" w:lineRule="exact"/>
              <w:jc w:val="center"/>
              <w:rPr>
                <w:szCs w:val="21"/>
              </w:rPr>
            </w:pPr>
            <w:r>
              <w:rPr>
                <w:rFonts w:hint="eastAsia"/>
              </w:rPr>
              <w:t>移装补助费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电能</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个</w:t>
            </w:r>
          </w:p>
        </w:tc>
        <w:tc>
          <w:tcPr>
            <w:tcW w:w="3222" w:type="dxa"/>
            <w:gridSpan w:val="2"/>
            <w:vMerge w:val="continue"/>
            <w:tcBorders>
              <w:top w:val="nil"/>
              <w:left w:val="nil"/>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燃气</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个</w:t>
            </w:r>
          </w:p>
        </w:tc>
        <w:tc>
          <w:tcPr>
            <w:tcW w:w="3222" w:type="dxa"/>
            <w:gridSpan w:val="2"/>
            <w:vMerge w:val="continue"/>
            <w:tcBorders>
              <w:top w:val="nil"/>
              <w:left w:val="nil"/>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Cs w:val="21"/>
              </w:rPr>
            </w:pPr>
            <w:r>
              <w:rPr>
                <w:rFonts w:hint="eastAsia"/>
              </w:rPr>
              <w:t>厨</w:t>
            </w:r>
          </w:p>
          <w:p>
            <w:pPr>
              <w:spacing w:line="400" w:lineRule="exact"/>
              <w:jc w:val="center"/>
              <w:rPr>
                <w:szCs w:val="21"/>
              </w:rPr>
            </w:pPr>
            <w:r>
              <w:rPr>
                <w:rFonts w:hint="eastAsia"/>
              </w:rPr>
              <w:t>房</w:t>
            </w: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灶台（简易）</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300</w:t>
            </w:r>
            <w:r>
              <w:rPr>
                <w:rFonts w:hint="eastAsia" w:ascii="宋体" w:hAnsi="宋体"/>
              </w:rPr>
              <w:t>元</w:t>
            </w:r>
            <w:r>
              <w:rPr>
                <w:rFonts w:hint="eastAsia"/>
              </w:rPr>
              <w:t>/</w:t>
            </w:r>
            <w:r>
              <w:rPr>
                <w:rFonts w:hint="eastAsia" w:ascii="宋体" w:hAnsi="宋体"/>
              </w:rPr>
              <w:t>户</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抽油烟机</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200</w:t>
            </w:r>
            <w:r>
              <w:rPr>
                <w:rFonts w:hint="eastAsia" w:ascii="宋体" w:hAnsi="宋体"/>
              </w:rPr>
              <w:t>元</w:t>
            </w:r>
            <w:r>
              <w:rPr>
                <w:rFonts w:hint="eastAsia"/>
              </w:rPr>
              <w:t>/</w:t>
            </w:r>
            <w:r>
              <w:rPr>
                <w:rFonts w:hint="eastAsia" w:ascii="宋体" w:hAnsi="宋体"/>
              </w:rPr>
              <w:t>台</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移装补助费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洗菜盆</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150</w:t>
            </w:r>
            <w:r>
              <w:rPr>
                <w:rFonts w:hint="eastAsia" w:ascii="宋体" w:hAnsi="宋体"/>
              </w:rPr>
              <w:t>元</w:t>
            </w:r>
            <w:r>
              <w:rPr>
                <w:rFonts w:hint="eastAsia"/>
              </w:rPr>
              <w:t>/</w:t>
            </w:r>
            <w:r>
              <w:rPr>
                <w:rFonts w:hint="eastAsia" w:ascii="宋体" w:hAnsi="宋体"/>
              </w:rPr>
              <w:t>套</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restart"/>
            <w:tcBorders>
              <w:top w:val="nil"/>
              <w:left w:val="single" w:color="auto" w:sz="4" w:space="0"/>
              <w:right w:val="single" w:color="auto" w:sz="4" w:space="0"/>
            </w:tcBorders>
            <w:vAlign w:val="center"/>
          </w:tcPr>
          <w:p>
            <w:pPr>
              <w:spacing w:line="400" w:lineRule="exact"/>
              <w:jc w:val="center"/>
              <w:rPr>
                <w:szCs w:val="21"/>
              </w:rPr>
            </w:pPr>
            <w:r>
              <w:rPr>
                <w:rFonts w:hint="eastAsia"/>
              </w:rPr>
              <w:t>卫</w:t>
            </w:r>
          </w:p>
          <w:p>
            <w:pPr>
              <w:spacing w:line="400" w:lineRule="exact"/>
              <w:jc w:val="center"/>
            </w:pPr>
            <w:r>
              <w:rPr>
                <w:rFonts w:hint="eastAsia"/>
              </w:rPr>
              <w:t>生</w:t>
            </w:r>
          </w:p>
          <w:p>
            <w:pPr>
              <w:spacing w:line="400" w:lineRule="exact"/>
              <w:jc w:val="center"/>
            </w:pPr>
            <w:r>
              <w:rPr>
                <w:rFonts w:hint="eastAsia"/>
              </w:rPr>
              <w:t>设</w:t>
            </w:r>
          </w:p>
          <w:p>
            <w:pPr>
              <w:spacing w:line="400" w:lineRule="exact"/>
              <w:jc w:val="center"/>
              <w:rPr>
                <w:szCs w:val="21"/>
              </w:rPr>
            </w:pPr>
            <w:r>
              <w:rPr>
                <w:rFonts w:hint="eastAsia"/>
              </w:rPr>
              <w:t>施</w:t>
            </w: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浴缸</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600</w:t>
            </w:r>
            <w:r>
              <w:rPr>
                <w:rFonts w:hint="eastAsia" w:ascii="宋体" w:hAnsi="宋体"/>
              </w:rPr>
              <w:t>元</w:t>
            </w:r>
            <w:r>
              <w:rPr>
                <w:rFonts w:hint="eastAsia"/>
              </w:rPr>
              <w:t>/</w:t>
            </w:r>
            <w:r>
              <w:rPr>
                <w:rFonts w:hint="eastAsia" w:ascii="宋体" w:hAnsi="宋体"/>
              </w:rPr>
              <w:t>套</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left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坐便器</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500</w:t>
            </w:r>
            <w:r>
              <w:rPr>
                <w:rFonts w:hint="eastAsia" w:ascii="宋体" w:hAnsi="宋体"/>
              </w:rPr>
              <w:t>元</w:t>
            </w:r>
            <w:r>
              <w:rPr>
                <w:rFonts w:hint="eastAsia"/>
              </w:rPr>
              <w:t>/</w:t>
            </w:r>
            <w:r>
              <w:rPr>
                <w:rFonts w:hint="eastAsia" w:ascii="宋体" w:hAnsi="宋体"/>
              </w:rPr>
              <w:t>个</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487" w:hRule="atLeast"/>
        </w:trPr>
        <w:tc>
          <w:tcPr>
            <w:tcW w:w="879" w:type="dxa"/>
            <w:gridSpan w:val="2"/>
            <w:vMerge w:val="continue"/>
            <w:tcBorders>
              <w:left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蹲便器</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300</w:t>
            </w:r>
            <w:r>
              <w:rPr>
                <w:rFonts w:hint="eastAsia" w:ascii="宋体" w:hAnsi="宋体"/>
              </w:rPr>
              <w:t>元</w:t>
            </w:r>
            <w:r>
              <w:rPr>
                <w:rFonts w:hint="eastAsia"/>
              </w:rPr>
              <w:t>/</w:t>
            </w:r>
            <w:r>
              <w:rPr>
                <w:rFonts w:hint="eastAsia" w:ascii="宋体" w:hAnsi="宋体"/>
              </w:rPr>
              <w:t>个</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597" w:hRule="atLeast"/>
        </w:trPr>
        <w:tc>
          <w:tcPr>
            <w:tcW w:w="879" w:type="dxa"/>
            <w:gridSpan w:val="2"/>
            <w:vMerge w:val="continue"/>
            <w:tcBorders>
              <w:left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洗脸池</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200</w:t>
            </w:r>
            <w:r>
              <w:rPr>
                <w:rFonts w:hint="eastAsia" w:ascii="宋体" w:hAnsi="宋体"/>
              </w:rPr>
              <w:t>元</w:t>
            </w:r>
            <w:r>
              <w:rPr>
                <w:rFonts w:hint="eastAsia"/>
              </w:rPr>
              <w:t>/</w:t>
            </w:r>
            <w:r>
              <w:rPr>
                <w:rFonts w:hint="eastAsia" w:ascii="宋体" w:hAnsi="宋体"/>
              </w:rPr>
              <w:t>套</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612" w:hRule="atLeast"/>
        </w:trPr>
        <w:tc>
          <w:tcPr>
            <w:tcW w:w="879" w:type="dxa"/>
            <w:gridSpan w:val="2"/>
            <w:vMerge w:val="continue"/>
            <w:tcBorders>
              <w:left w:val="single" w:color="auto" w:sz="4" w:space="0"/>
              <w:right w:val="single" w:color="auto" w:sz="4" w:space="0"/>
            </w:tcBorders>
            <w:vAlign w:val="center"/>
          </w:tcPr>
          <w:p>
            <w:pPr>
              <w:widowControl/>
              <w:jc w:val="left"/>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化粪池</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立方</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709" w:hRule="atLeast"/>
        </w:trPr>
        <w:tc>
          <w:tcPr>
            <w:tcW w:w="879" w:type="dxa"/>
            <w:gridSpan w:val="2"/>
            <w:vMerge w:val="continue"/>
            <w:tcBorders>
              <w:left w:val="single" w:color="auto" w:sz="4" w:space="0"/>
              <w:bottom w:val="single" w:color="auto" w:sz="4" w:space="0"/>
              <w:right w:val="single" w:color="auto" w:sz="4" w:space="0"/>
            </w:tcBorders>
            <w:vAlign w:val="center"/>
          </w:tcPr>
          <w:p>
            <w:pPr>
              <w:spacing w:line="400" w:lineRule="exact"/>
              <w:jc w:val="center"/>
              <w:rPr>
                <w:szCs w:val="21"/>
              </w:rPr>
            </w:pPr>
          </w:p>
        </w:tc>
        <w:tc>
          <w:tcPr>
            <w:tcW w:w="2597" w:type="dxa"/>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浴霸</w:t>
            </w:r>
          </w:p>
        </w:tc>
        <w:tc>
          <w:tcPr>
            <w:tcW w:w="2152"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300</w:t>
            </w:r>
            <w:r>
              <w:rPr>
                <w:rFonts w:hint="eastAsia" w:ascii="宋体" w:hAnsi="宋体"/>
              </w:rPr>
              <w:t>元</w:t>
            </w:r>
            <w:r>
              <w:rPr>
                <w:rFonts w:hint="eastAsia"/>
              </w:rPr>
              <w:t>/</w:t>
            </w:r>
            <w:r>
              <w:rPr>
                <w:rFonts w:hint="eastAsia" w:ascii="宋体" w:hAnsi="宋体"/>
              </w:rPr>
              <w:t>个</w:t>
            </w:r>
          </w:p>
        </w:tc>
        <w:tc>
          <w:tcPr>
            <w:tcW w:w="3222" w:type="dxa"/>
            <w:gridSpan w:val="2"/>
            <w:tcBorders>
              <w:top w:val="single" w:color="auto" w:sz="4" w:space="0"/>
              <w:left w:val="nil"/>
              <w:bottom w:val="single" w:color="auto" w:sz="4" w:space="0"/>
              <w:right w:val="single" w:color="auto" w:sz="4" w:space="0"/>
            </w:tcBorders>
            <w:vAlign w:val="center"/>
          </w:tcPr>
          <w:p>
            <w:pPr>
              <w:spacing w:line="400" w:lineRule="exact"/>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49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Cs w:val="21"/>
              </w:rPr>
            </w:pPr>
            <w:r>
              <w:rPr>
                <w:rFonts w:hint="eastAsia"/>
                <w:b/>
              </w:rPr>
              <w:t>名称</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b/>
                <w:szCs w:val="21"/>
              </w:rPr>
            </w:pPr>
            <w:r>
              <w:rPr>
                <w:rFonts w:hint="eastAsia"/>
                <w:b/>
              </w:rPr>
              <w:t>补偿金额（单价）</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b/>
                <w:szCs w:val="21"/>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Merge w:val="restart"/>
            <w:tcBorders>
              <w:top w:val="nil"/>
              <w:left w:val="single" w:color="auto" w:sz="4" w:space="0"/>
              <w:bottom w:val="single" w:color="auto" w:sz="4" w:space="0"/>
              <w:right w:val="single" w:color="auto" w:sz="4" w:space="0"/>
            </w:tcBorders>
            <w:vAlign w:val="center"/>
          </w:tcPr>
          <w:p>
            <w:pPr>
              <w:spacing w:line="280" w:lineRule="exact"/>
              <w:jc w:val="center"/>
              <w:rPr>
                <w:szCs w:val="21"/>
              </w:rPr>
            </w:pPr>
            <w:r>
              <w:rPr>
                <w:rFonts w:hint="eastAsia"/>
              </w:rPr>
              <w:t>室</w:t>
            </w:r>
          </w:p>
          <w:p>
            <w:pPr>
              <w:spacing w:line="280" w:lineRule="exact"/>
              <w:jc w:val="center"/>
            </w:pPr>
            <w:r>
              <w:rPr>
                <w:rFonts w:hint="eastAsia"/>
              </w:rPr>
              <w:t>外</w:t>
            </w:r>
          </w:p>
          <w:p>
            <w:pPr>
              <w:spacing w:line="280" w:lineRule="exact"/>
              <w:jc w:val="center"/>
            </w:pPr>
            <w:r>
              <w:rPr>
                <w:rFonts w:hint="eastAsia"/>
              </w:rPr>
              <w:t>地</w:t>
            </w:r>
          </w:p>
          <w:p>
            <w:pPr>
              <w:spacing w:line="280" w:lineRule="exact"/>
              <w:jc w:val="center"/>
              <w:rPr>
                <w:szCs w:val="21"/>
              </w:rPr>
            </w:pPr>
            <w:r>
              <w:rPr>
                <w:rFonts w:hint="eastAsia"/>
              </w:rPr>
              <w:t>坪</w:t>
            </w: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水泥</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40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砖石</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25</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Cs w:val="21"/>
              </w:rPr>
            </w:pPr>
            <w:r>
              <w:rPr>
                <w:rFonts w:hint="eastAsia"/>
              </w:rPr>
              <w:t>围</w:t>
            </w:r>
          </w:p>
          <w:p>
            <w:pPr>
              <w:spacing w:line="400" w:lineRule="exact"/>
              <w:jc w:val="center"/>
              <w:rPr>
                <w:szCs w:val="21"/>
              </w:rPr>
            </w:pPr>
            <w:r>
              <w:rPr>
                <w:rFonts w:hint="eastAsia"/>
              </w:rPr>
              <w:t>墙</w:t>
            </w: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ascii="宋体" w:hAnsi="宋体"/>
              </w:rPr>
              <w:t>砖混</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60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水泥抹面70</w:t>
            </w:r>
            <w:r>
              <w:rPr>
                <w:rFonts w:hint="eastAsia" w:ascii="宋体" w:hAnsi="宋体"/>
              </w:rPr>
              <w:t>元</w:t>
            </w:r>
            <w:r>
              <w:rPr>
                <w:rFonts w:hint="eastAsia"/>
              </w:rPr>
              <w:t>/</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土砖土石</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木制大门</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300</w:t>
            </w:r>
            <w:r>
              <w:rPr>
                <w:rFonts w:hint="eastAsia" w:ascii="宋体" w:hAnsi="宋体"/>
              </w:rPr>
              <w:t>元</w:t>
            </w:r>
            <w:r>
              <w:rPr>
                <w:rFonts w:hint="eastAsia"/>
              </w:rPr>
              <w:t>/</w:t>
            </w:r>
            <w:r>
              <w:rPr>
                <w:rFonts w:hint="eastAsia" w:ascii="宋体" w:hAnsi="宋体"/>
              </w:rPr>
              <w:t>樘</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vMerge w:val="restart"/>
            <w:tcBorders>
              <w:top w:val="nil"/>
              <w:left w:val="nil"/>
              <w:bottom w:val="single" w:color="auto" w:sz="4" w:space="0"/>
              <w:right w:val="single" w:color="auto" w:sz="4" w:space="0"/>
            </w:tcBorders>
            <w:vAlign w:val="center"/>
          </w:tcPr>
          <w:p>
            <w:pPr>
              <w:spacing w:line="400" w:lineRule="exact"/>
              <w:jc w:val="center"/>
              <w:rPr>
                <w:szCs w:val="21"/>
              </w:rPr>
            </w:pPr>
            <w:r>
              <w:rPr>
                <w:rFonts w:hint="eastAsia"/>
              </w:rPr>
              <w:t>铁制大门</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400</w:t>
            </w:r>
            <w:r>
              <w:rPr>
                <w:rFonts w:hint="eastAsia" w:ascii="宋体" w:hAnsi="宋体"/>
              </w:rPr>
              <w:t>元</w:t>
            </w:r>
            <w:r>
              <w:rPr>
                <w:rFonts w:hint="eastAsia"/>
              </w:rPr>
              <w:t>/</w:t>
            </w:r>
            <w:r>
              <w:rPr>
                <w:rFonts w:hint="eastAsia" w:ascii="宋体" w:hAnsi="宋体"/>
              </w:rPr>
              <w:t>樘</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vMerge w:val="continue"/>
            <w:tcBorders>
              <w:top w:val="nil"/>
              <w:left w:val="nil"/>
              <w:bottom w:val="single" w:color="auto" w:sz="4" w:space="0"/>
              <w:right w:val="single" w:color="auto" w:sz="4" w:space="0"/>
            </w:tcBorders>
            <w:vAlign w:val="center"/>
          </w:tcPr>
          <w:p>
            <w:pPr>
              <w:widowControl/>
              <w:jc w:val="left"/>
              <w:rPr>
                <w:szCs w:val="21"/>
              </w:rPr>
            </w:pP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800</w:t>
            </w:r>
            <w:r>
              <w:rPr>
                <w:rFonts w:hint="eastAsia" w:ascii="宋体" w:hAnsi="宋体"/>
              </w:rPr>
              <w:t>元</w:t>
            </w:r>
            <w:r>
              <w:rPr>
                <w:rFonts w:hint="eastAsia"/>
              </w:rPr>
              <w:t>/</w:t>
            </w:r>
            <w:r>
              <w:rPr>
                <w:rFonts w:hint="eastAsia" w:ascii="宋体" w:hAnsi="宋体"/>
              </w:rPr>
              <w:t>樘</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Cs w:val="21"/>
              </w:rPr>
            </w:pPr>
            <w:r>
              <w:rPr>
                <w:rFonts w:hint="eastAsia"/>
              </w:rPr>
              <w:t>其</w:t>
            </w:r>
          </w:p>
          <w:p>
            <w:pPr>
              <w:spacing w:line="400" w:lineRule="exact"/>
              <w:jc w:val="center"/>
            </w:pPr>
          </w:p>
          <w:p>
            <w:pPr>
              <w:spacing w:line="400" w:lineRule="exact"/>
              <w:jc w:val="center"/>
            </w:pPr>
            <w:r>
              <w:rPr>
                <w:rFonts w:hint="eastAsia"/>
              </w:rPr>
              <w:t>它</w:t>
            </w:r>
          </w:p>
          <w:p>
            <w:pPr>
              <w:spacing w:line="400" w:lineRule="exact"/>
              <w:jc w:val="center"/>
              <w:rPr>
                <w:szCs w:val="21"/>
              </w:rPr>
            </w:pPr>
          </w:p>
        </w:tc>
        <w:tc>
          <w:tcPr>
            <w:tcW w:w="2784" w:type="dxa"/>
            <w:gridSpan w:val="3"/>
            <w:vMerge w:val="restart"/>
            <w:tcBorders>
              <w:top w:val="nil"/>
              <w:left w:val="nil"/>
              <w:bottom w:val="single" w:color="auto" w:sz="4" w:space="0"/>
              <w:right w:val="single" w:color="auto" w:sz="4" w:space="0"/>
            </w:tcBorders>
            <w:vAlign w:val="center"/>
          </w:tcPr>
          <w:p>
            <w:pPr>
              <w:spacing w:line="400" w:lineRule="exact"/>
              <w:jc w:val="center"/>
              <w:rPr>
                <w:szCs w:val="21"/>
              </w:rPr>
            </w:pPr>
            <w:r>
              <w:rPr>
                <w:rFonts w:hint="eastAsia"/>
              </w:rPr>
              <w:t>门楼</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800</w:t>
            </w:r>
            <w:r>
              <w:rPr>
                <w:rFonts w:hint="eastAsia" w:ascii="宋体" w:hAnsi="宋体"/>
              </w:rPr>
              <w:t>元</w:t>
            </w:r>
            <w:r>
              <w:rPr>
                <w:rFonts w:hint="eastAsia"/>
              </w:rPr>
              <w:t>/</w:t>
            </w:r>
            <w:r>
              <w:rPr>
                <w:rFonts w:hint="eastAsia" w:ascii="宋体" w:hAnsi="宋体"/>
              </w:rPr>
              <w:t>个</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简易门楼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vMerge w:val="continue"/>
            <w:tcBorders>
              <w:top w:val="nil"/>
              <w:left w:val="nil"/>
              <w:bottom w:val="single" w:color="auto" w:sz="4" w:space="0"/>
              <w:right w:val="single" w:color="auto" w:sz="4" w:space="0"/>
            </w:tcBorders>
            <w:vAlign w:val="center"/>
          </w:tcPr>
          <w:p>
            <w:pPr>
              <w:widowControl/>
              <w:jc w:val="left"/>
              <w:rPr>
                <w:szCs w:val="21"/>
              </w:rPr>
            </w:pP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640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砖混门楼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水池</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60</w:t>
            </w:r>
            <w:r>
              <w:rPr>
                <w:rFonts w:hint="eastAsia" w:ascii="宋体" w:hAnsi="宋体"/>
              </w:rPr>
              <w:t>元</w:t>
            </w:r>
            <w:r>
              <w:rPr>
                <w:rFonts w:hint="eastAsia"/>
              </w:rPr>
              <w:t>/</w:t>
            </w:r>
            <w:r>
              <w:rPr>
                <w:rFonts w:hint="eastAsia" w:ascii="宋体" w:hAnsi="宋体"/>
              </w:rPr>
              <w:t>个</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沼气池（水泥）</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2000</w:t>
            </w:r>
            <w:r>
              <w:rPr>
                <w:rFonts w:hint="eastAsia" w:ascii="宋体" w:hAnsi="宋体"/>
              </w:rPr>
              <w:t>元</w:t>
            </w:r>
            <w:r>
              <w:rPr>
                <w:rFonts w:hint="eastAsia"/>
              </w:rPr>
              <w:t>/</w:t>
            </w:r>
            <w:r>
              <w:rPr>
                <w:rFonts w:hint="eastAsia" w:ascii="宋体" w:hAnsi="宋体"/>
              </w:rPr>
              <w:t>个</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遮阳棚</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20</w:t>
            </w:r>
            <w:r>
              <w:rPr>
                <w:rFonts w:hint="eastAsia" w:ascii="宋体" w:hAnsi="宋体"/>
              </w:rPr>
              <w:t>元</w:t>
            </w:r>
            <w:r>
              <w:rPr>
                <w:rFonts w:hint="eastAsia"/>
              </w:rPr>
              <w:t>/m</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雨搭</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60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金属栏杆</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85</w:t>
            </w:r>
            <w:r>
              <w:rPr>
                <w:rFonts w:hint="eastAsia" w:ascii="宋体" w:hAnsi="宋体"/>
              </w:rPr>
              <w:t>元</w:t>
            </w:r>
            <w:r>
              <w:rPr>
                <w:rFonts w:hint="eastAsia"/>
              </w:rPr>
              <w:t>/m</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直径60mm</w:t>
            </w:r>
            <w:r>
              <w:rPr>
                <w:rFonts w:hint="eastAsia" w:ascii="宋体" w:hAnsi="宋体"/>
              </w:rPr>
              <w:t>（含</w:t>
            </w:r>
            <w:r>
              <w:rPr>
                <w:rFonts w:hint="eastAsia"/>
              </w:rPr>
              <w:t>60mm</w:t>
            </w:r>
            <w:r>
              <w:rPr>
                <w:rFonts w:hint="eastAsia" w:ascii="宋体" w:hAnsi="宋体"/>
              </w:rPr>
              <w:t>）以上</w:t>
            </w:r>
            <w:r>
              <w:rPr>
                <w:rFonts w:hint="eastAsia"/>
              </w:rPr>
              <w:t>85</w:t>
            </w:r>
            <w:r>
              <w:rPr>
                <w:rFonts w:hint="eastAsia" w:ascii="宋体" w:hAnsi="宋体"/>
              </w:rPr>
              <w:t>元</w:t>
            </w:r>
            <w:r>
              <w:rPr>
                <w:rFonts w:hint="eastAsia"/>
              </w:rPr>
              <w:t>/</w:t>
            </w:r>
            <w:r>
              <w:rPr>
                <w:rFonts w:hint="eastAsia" w:ascii="宋体" w:hAnsi="宋体"/>
              </w:rPr>
              <w:t>米、</w:t>
            </w:r>
            <w:r>
              <w:rPr>
                <w:rFonts w:hint="eastAsia"/>
              </w:rPr>
              <w:t>60mm</w:t>
            </w:r>
            <w:r>
              <w:rPr>
                <w:rFonts w:hint="eastAsia" w:ascii="宋体" w:hAnsi="宋体"/>
              </w:rPr>
              <w:t>以下</w:t>
            </w:r>
            <w:r>
              <w:rPr>
                <w:rFonts w:hint="eastAsia"/>
              </w:rPr>
              <w:t>40</w:t>
            </w:r>
            <w:r>
              <w:rPr>
                <w:rFonts w:hint="eastAsia" w:ascii="宋体" w:hAnsi="宋体"/>
              </w:rPr>
              <w:t>元</w:t>
            </w:r>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木楼梯扶手</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100</w:t>
            </w:r>
            <w:r>
              <w:rPr>
                <w:rFonts w:hint="eastAsia" w:ascii="宋体" w:hAnsi="宋体"/>
              </w:rPr>
              <w:t>元</w:t>
            </w:r>
            <w:r>
              <w:rPr>
                <w:rFonts w:hint="eastAsia"/>
              </w:rPr>
              <w:t>/m</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罗马柱</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85</w:t>
            </w:r>
            <w:r>
              <w:rPr>
                <w:rFonts w:hint="eastAsia" w:ascii="宋体" w:hAnsi="宋体"/>
              </w:rPr>
              <w:t>元</w:t>
            </w:r>
            <w:r>
              <w:rPr>
                <w:rFonts w:hint="eastAsia"/>
              </w:rPr>
              <w:t>/m</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vMerge w:val="restart"/>
            <w:tcBorders>
              <w:top w:val="nil"/>
              <w:left w:val="nil"/>
              <w:bottom w:val="single" w:color="auto" w:sz="4" w:space="0"/>
              <w:right w:val="single" w:color="auto" w:sz="4" w:space="0"/>
            </w:tcBorders>
            <w:vAlign w:val="center"/>
          </w:tcPr>
          <w:p>
            <w:pPr>
              <w:spacing w:line="400" w:lineRule="exact"/>
              <w:jc w:val="center"/>
              <w:rPr>
                <w:szCs w:val="21"/>
              </w:rPr>
            </w:pPr>
            <w:r>
              <w:rPr>
                <w:rFonts w:hint="eastAsia"/>
              </w:rPr>
              <w:t>隔热层</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140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檐高1m</w:t>
            </w:r>
            <w:r>
              <w:rPr>
                <w:rFonts w:hint="eastAsia" w:ascii="宋体" w:hAnsi="宋体"/>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vMerge w:val="continue"/>
            <w:tcBorders>
              <w:top w:val="nil"/>
              <w:left w:val="nil"/>
              <w:bottom w:val="single" w:color="auto" w:sz="4" w:space="0"/>
              <w:right w:val="single" w:color="auto" w:sz="4" w:space="0"/>
            </w:tcBorders>
            <w:vAlign w:val="center"/>
          </w:tcPr>
          <w:p>
            <w:pPr>
              <w:widowControl/>
              <w:jc w:val="left"/>
              <w:rPr>
                <w:szCs w:val="21"/>
              </w:rPr>
            </w:pP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280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檐高1</w:t>
            </w:r>
            <w:r>
              <w:rPr>
                <w:rFonts w:hint="eastAsia" w:ascii="宋体" w:hAnsi="宋体"/>
                <w:kern w:val="0"/>
              </w:rPr>
              <w:t>～</w:t>
            </w:r>
            <w:r>
              <w:rPr>
                <w:rFonts w:hint="eastAsia"/>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vMerge w:val="continue"/>
            <w:tcBorders>
              <w:top w:val="nil"/>
              <w:left w:val="nil"/>
              <w:bottom w:val="single" w:color="auto" w:sz="4" w:space="0"/>
              <w:right w:val="single" w:color="auto" w:sz="4" w:space="0"/>
            </w:tcBorders>
            <w:vAlign w:val="center"/>
          </w:tcPr>
          <w:p>
            <w:pPr>
              <w:widowControl/>
              <w:jc w:val="left"/>
              <w:rPr>
                <w:szCs w:val="21"/>
              </w:rPr>
            </w:pP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370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檐高1.5</w:t>
            </w:r>
            <w:r>
              <w:rPr>
                <w:rFonts w:hint="eastAsia" w:ascii="宋体" w:hAnsi="宋体"/>
                <w:kern w:val="0"/>
              </w:rPr>
              <w:t>～</w:t>
            </w:r>
            <w:r>
              <w:rPr>
                <w:rFonts w:hint="eastAsia"/>
              </w:rPr>
              <w:t>2.2m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冷库</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vertAlign w:val="superscript"/>
              </w:rPr>
            </w:pPr>
            <w:r>
              <w:rPr>
                <w:rFonts w:hint="eastAsia"/>
              </w:rPr>
              <w:t>200</w:t>
            </w:r>
            <w:r>
              <w:rPr>
                <w:rFonts w:hint="eastAsia" w:ascii="宋体" w:hAnsi="宋体"/>
                <w:kern w:val="0"/>
              </w:rPr>
              <w:t>～3</w:t>
            </w:r>
            <w:r>
              <w:rPr>
                <w:rFonts w:hint="eastAsia"/>
              </w:rPr>
              <w:t>00</w:t>
            </w:r>
            <w:r>
              <w:rPr>
                <w:rFonts w:hint="eastAsia" w:ascii="宋体" w:hAnsi="宋体"/>
              </w:rPr>
              <w:t>元</w:t>
            </w:r>
            <w:r>
              <w:rPr>
                <w:rFonts w:hint="eastAsia"/>
              </w:rPr>
              <w:t>/m</w:t>
            </w:r>
            <w:r>
              <w:rPr>
                <w:rFonts w:hint="eastAsia"/>
                <w:vertAlign w:val="superscript"/>
              </w:rPr>
              <w:t>3</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移装补助费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摄像头</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160</w:t>
            </w:r>
            <w:r>
              <w:rPr>
                <w:rFonts w:hint="eastAsia" w:ascii="宋体" w:hAnsi="宋体"/>
              </w:rPr>
              <w:t>元</w:t>
            </w:r>
            <w:r>
              <w:rPr>
                <w:rFonts w:hint="eastAsia"/>
              </w:rPr>
              <w:t>/</w:t>
            </w:r>
            <w:r>
              <w:rPr>
                <w:rFonts w:hint="eastAsia" w:ascii="宋体" w:hAnsi="宋体"/>
              </w:rPr>
              <w:t>个</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移装补助费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石狮子</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400</w:t>
            </w:r>
            <w:r>
              <w:rPr>
                <w:rFonts w:hint="eastAsia" w:ascii="宋体" w:hAnsi="宋体"/>
              </w:rPr>
              <w:t>元</w:t>
            </w:r>
            <w:r>
              <w:rPr>
                <w:rFonts w:hint="eastAsia"/>
              </w:rPr>
              <w:t>/</w:t>
            </w:r>
            <w:r>
              <w:rPr>
                <w:rFonts w:hint="eastAsia" w:ascii="宋体" w:hAnsi="宋体"/>
              </w:rPr>
              <w:t>对</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移装补助费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铁楼梯</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300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活动板房</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200</w:t>
            </w:r>
            <w:r>
              <w:rPr>
                <w:rFonts w:hint="eastAsia" w:ascii="宋体" w:hAnsi="宋体"/>
              </w:rPr>
              <w:t>元</w:t>
            </w:r>
            <w:r>
              <w:rPr>
                <w:rFonts w:hint="eastAsia"/>
              </w:rPr>
              <w:t>/</w:t>
            </w:r>
            <w:r>
              <w:rPr>
                <w:rFonts w:hint="eastAsia" w:ascii="宋体" w:hAnsi="宋体"/>
              </w:rPr>
              <w:t>㎡</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vMerge w:val="restart"/>
            <w:tcBorders>
              <w:top w:val="nil"/>
              <w:left w:val="nil"/>
              <w:bottom w:val="single" w:color="auto" w:sz="4" w:space="0"/>
              <w:right w:val="single" w:color="auto" w:sz="4" w:space="0"/>
            </w:tcBorders>
            <w:vAlign w:val="center"/>
          </w:tcPr>
          <w:p>
            <w:pPr>
              <w:spacing w:line="400" w:lineRule="exact"/>
              <w:jc w:val="center"/>
              <w:rPr>
                <w:szCs w:val="21"/>
              </w:rPr>
            </w:pPr>
            <w:r>
              <w:rPr>
                <w:rFonts w:hint="eastAsia"/>
              </w:rPr>
              <w:t>混凝土雨棚</w:t>
            </w: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60</w:t>
            </w:r>
            <w:r>
              <w:rPr>
                <w:rFonts w:hint="eastAsia" w:ascii="宋体" w:hAnsi="宋体"/>
              </w:rPr>
              <w:t>元</w:t>
            </w:r>
            <w:r>
              <w:rPr>
                <w:rFonts w:hint="eastAsia"/>
              </w:rPr>
              <w:t>/m</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宽50cm</w:t>
            </w:r>
            <w:r>
              <w:rPr>
                <w:rFonts w:hint="eastAsia" w:ascii="宋体" w:hAnsi="宋体"/>
              </w:rPr>
              <w:t>以上（含</w:t>
            </w:r>
            <w:r>
              <w:rPr>
                <w:rFonts w:hint="eastAsia"/>
              </w:rPr>
              <w:t>50cm</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784" w:type="dxa"/>
            <w:gridSpan w:val="3"/>
            <w:vMerge w:val="continue"/>
            <w:tcBorders>
              <w:top w:val="nil"/>
              <w:left w:val="nil"/>
              <w:bottom w:val="single" w:color="auto" w:sz="4" w:space="0"/>
              <w:right w:val="single" w:color="auto" w:sz="4" w:space="0"/>
            </w:tcBorders>
            <w:vAlign w:val="center"/>
          </w:tcPr>
          <w:p>
            <w:pPr>
              <w:widowControl/>
              <w:jc w:val="left"/>
              <w:rPr>
                <w:szCs w:val="21"/>
              </w:rPr>
            </w:pPr>
          </w:p>
        </w:tc>
        <w:tc>
          <w:tcPr>
            <w:tcW w:w="2164"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30</w:t>
            </w:r>
            <w:r>
              <w:rPr>
                <w:rFonts w:hint="eastAsia" w:ascii="宋体" w:hAnsi="宋体"/>
              </w:rPr>
              <w:t>元</w:t>
            </w:r>
            <w:r>
              <w:rPr>
                <w:rFonts w:hint="eastAsia"/>
              </w:rPr>
              <w:t>/m</w:t>
            </w:r>
          </w:p>
        </w:tc>
        <w:tc>
          <w:tcPr>
            <w:tcW w:w="3241" w:type="dxa"/>
            <w:gridSpan w:val="2"/>
            <w:tcBorders>
              <w:top w:val="single" w:color="auto" w:sz="4" w:space="0"/>
              <w:left w:val="nil"/>
              <w:bottom w:val="single" w:color="auto" w:sz="4" w:space="0"/>
              <w:right w:val="single" w:color="auto" w:sz="4" w:space="0"/>
            </w:tcBorders>
            <w:vAlign w:val="center"/>
          </w:tcPr>
          <w:p>
            <w:pPr>
              <w:spacing w:line="400" w:lineRule="exact"/>
              <w:jc w:val="center"/>
              <w:rPr>
                <w:szCs w:val="21"/>
              </w:rPr>
            </w:pPr>
            <w:r>
              <w:rPr>
                <w:rFonts w:hint="eastAsia"/>
              </w:rPr>
              <w:t>宽50cm</w:t>
            </w:r>
            <w:r>
              <w:rPr>
                <w:rFonts w:hint="eastAsia" w:ascii="宋体" w:hAnsi="宋体"/>
              </w:rPr>
              <w:t>以下</w:t>
            </w:r>
          </w:p>
        </w:tc>
      </w:tr>
    </w:tbl>
    <w:p>
      <w:pPr>
        <w:spacing w:line="360" w:lineRule="exact"/>
        <w:rPr>
          <w:szCs w:val="21"/>
        </w:rPr>
      </w:pPr>
      <w:r>
        <w:rPr>
          <w:rFonts w:hint="eastAsia" w:ascii="宋体" w:hAnsi="宋体"/>
        </w:rPr>
        <w:t>注：</w:t>
      </w:r>
      <w:r>
        <w:rPr>
          <w:rFonts w:hint="eastAsia"/>
        </w:rPr>
        <w:t>1</w:t>
      </w:r>
      <w:r>
        <w:rPr>
          <w:rFonts w:hint="eastAsia" w:ascii="宋体" w:hAnsi="宋体"/>
        </w:rPr>
        <w:t>、同时适用于货币补偿和产权调换。</w:t>
      </w:r>
    </w:p>
    <w:p>
      <w:pPr>
        <w:spacing w:line="360" w:lineRule="exact"/>
        <w:ind w:firstLine="435"/>
      </w:pPr>
      <w:r>
        <w:rPr>
          <w:rFonts w:hint="eastAsia"/>
        </w:rPr>
        <w:t>2</w:t>
      </w:r>
      <w:r>
        <w:rPr>
          <w:rFonts w:hint="eastAsia" w:ascii="宋体" w:hAnsi="宋体"/>
        </w:rPr>
        <w:t>、未列入的附属设施可参照表中相近的设施给予补偿，不能参照的，另行商定。</w:t>
      </w:r>
    </w:p>
    <w:p>
      <w:pPr>
        <w:ind w:firstLine="640" w:firstLineChars="200"/>
        <w:rPr>
          <w:rFonts w:ascii="黑体" w:eastAsia="黑体"/>
          <w:sz w:val="28"/>
          <w:szCs w:val="28"/>
        </w:rPr>
      </w:pPr>
      <w:r>
        <w:rPr>
          <w:rFonts w:hint="eastAsia" w:ascii="黑体" w:hAnsi="黑体" w:eastAsia="黑体"/>
          <w:sz w:val="32"/>
          <w:szCs w:val="32"/>
        </w:rPr>
        <w:t>二、房屋装潢补偿标准</w:t>
      </w:r>
      <w:r>
        <w:rPr>
          <w:rFonts w:hint="eastAsia" w:ascii="黑体" w:eastAsia="黑体"/>
          <w:sz w:val="28"/>
          <w:szCs w:val="28"/>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881"/>
        <w:gridCol w:w="2189"/>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53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rFonts w:hint="eastAsia"/>
                <w:b/>
              </w:rPr>
              <w:t>名称</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b/>
                <w:szCs w:val="21"/>
              </w:rPr>
            </w:pPr>
            <w:r>
              <w:rPr>
                <w:rFonts w:hint="eastAsia"/>
                <w:b/>
              </w:rPr>
              <w:t>补偿金额（单价）</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b/>
                <w:szCs w:val="21"/>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restart"/>
            <w:tcBorders>
              <w:top w:val="nil"/>
              <w:left w:val="single" w:color="auto" w:sz="4" w:space="0"/>
              <w:bottom w:val="single" w:color="auto" w:sz="4" w:space="0"/>
              <w:right w:val="single" w:color="auto" w:sz="4" w:space="0"/>
            </w:tcBorders>
            <w:vAlign w:val="center"/>
          </w:tcPr>
          <w:p>
            <w:pPr>
              <w:spacing w:line="360" w:lineRule="exact"/>
              <w:jc w:val="center"/>
              <w:rPr>
                <w:szCs w:val="21"/>
              </w:rPr>
            </w:pPr>
            <w:r>
              <w:rPr>
                <w:rFonts w:hint="eastAsia"/>
              </w:rPr>
              <w:t>地</w:t>
            </w:r>
          </w:p>
          <w:p>
            <w:pPr>
              <w:spacing w:line="360" w:lineRule="exact"/>
              <w:jc w:val="center"/>
            </w:pPr>
          </w:p>
          <w:p>
            <w:pPr>
              <w:spacing w:line="360" w:lineRule="exact"/>
              <w:jc w:val="center"/>
            </w:pPr>
          </w:p>
          <w:p>
            <w:pPr>
              <w:spacing w:line="360" w:lineRule="exact"/>
              <w:jc w:val="center"/>
              <w:rPr>
                <w:szCs w:val="21"/>
              </w:rPr>
            </w:pPr>
            <w:r>
              <w:rPr>
                <w:rFonts w:hint="eastAsia"/>
              </w:rPr>
              <w:t>面</w:t>
            </w: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油漆地面</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15</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水磨石</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70</w:t>
            </w:r>
            <w:r>
              <w:rPr>
                <w:rFonts w:hint="eastAsia" w:ascii="宋体" w:hAnsi="宋体"/>
                <w:kern w:val="0"/>
              </w:rPr>
              <w:t>～80</w:t>
            </w:r>
            <w:r>
              <w:rPr>
                <w:rFonts w:hint="eastAsia"/>
              </w:rPr>
              <w:t>元/</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普通、彩磨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rPr>
              <w:t>地砖</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70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各类地板砖地面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石材地面</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80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vMerge w:val="restart"/>
            <w:tcBorders>
              <w:top w:val="nil"/>
              <w:left w:val="nil"/>
              <w:bottom w:val="single" w:color="auto" w:sz="4" w:space="0"/>
              <w:right w:val="single" w:color="auto" w:sz="4" w:space="0"/>
            </w:tcBorders>
            <w:vAlign w:val="center"/>
          </w:tcPr>
          <w:p>
            <w:pPr>
              <w:spacing w:line="360" w:lineRule="exact"/>
              <w:jc w:val="center"/>
              <w:rPr>
                <w:szCs w:val="21"/>
              </w:rPr>
            </w:pPr>
            <w:r>
              <w:rPr>
                <w:rFonts w:hint="eastAsia"/>
              </w:rPr>
              <w:t>木地板</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25</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次质木地板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vMerge w:val="continue"/>
            <w:tcBorders>
              <w:top w:val="nil"/>
              <w:left w:val="nil"/>
              <w:bottom w:val="single" w:color="auto" w:sz="4" w:space="0"/>
              <w:right w:val="single" w:color="auto" w:sz="4" w:space="0"/>
            </w:tcBorders>
            <w:vAlign w:val="center"/>
          </w:tcPr>
          <w:p>
            <w:pPr>
              <w:widowControl/>
              <w:jc w:val="left"/>
              <w:rPr>
                <w:szCs w:val="21"/>
              </w:rPr>
            </w:pP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40</w:t>
            </w:r>
            <w:r>
              <w:rPr>
                <w:rFonts w:hint="eastAsia" w:ascii="宋体" w:hAnsi="宋体"/>
                <w:kern w:val="0"/>
              </w:rPr>
              <w:t>～</w:t>
            </w:r>
            <w:r>
              <w:rPr>
                <w:rFonts w:hint="eastAsia"/>
              </w:rPr>
              <w:t>70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一般木质地板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三合板墙裙</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15</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木墙裙（软包）</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50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扣板墙裙</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15</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restart"/>
            <w:tcBorders>
              <w:top w:val="nil"/>
              <w:left w:val="single" w:color="auto" w:sz="4" w:space="0"/>
              <w:right w:val="single" w:color="auto" w:sz="4" w:space="0"/>
            </w:tcBorders>
            <w:vAlign w:val="center"/>
          </w:tcPr>
          <w:p>
            <w:pPr>
              <w:spacing w:line="360" w:lineRule="exact"/>
              <w:jc w:val="center"/>
              <w:rPr>
                <w:szCs w:val="21"/>
              </w:rPr>
            </w:pPr>
            <w:r>
              <w:rPr>
                <w:rFonts w:hint="eastAsia"/>
              </w:rPr>
              <w:t>门</w:t>
            </w:r>
          </w:p>
          <w:p>
            <w:pPr>
              <w:spacing w:line="360" w:lineRule="exact"/>
              <w:jc w:val="center"/>
            </w:pPr>
          </w:p>
          <w:p>
            <w:pPr>
              <w:spacing w:line="360" w:lineRule="exact"/>
              <w:jc w:val="center"/>
            </w:pPr>
          </w:p>
          <w:p>
            <w:pPr>
              <w:spacing w:line="360" w:lineRule="exact"/>
              <w:jc w:val="center"/>
              <w:rPr>
                <w:szCs w:val="21"/>
              </w:rPr>
            </w:pPr>
            <w:r>
              <w:rPr>
                <w:rFonts w:hint="eastAsia"/>
              </w:rPr>
              <w:t>窗</w:t>
            </w: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门窗护角</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35</w:t>
            </w:r>
            <w:r>
              <w:rPr>
                <w:rFonts w:hint="eastAsia" w:ascii="宋体" w:hAnsi="宋体"/>
              </w:rPr>
              <w:t>元</w:t>
            </w:r>
            <w:r>
              <w:rPr>
                <w:rFonts w:hint="eastAsia"/>
              </w:rPr>
              <w:t>/ m</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left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门套（双面）</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80</w:t>
            </w:r>
            <w:r>
              <w:rPr>
                <w:rFonts w:hint="eastAsia" w:ascii="宋体" w:hAnsi="宋体"/>
              </w:rPr>
              <w:t>元</w:t>
            </w:r>
            <w:r>
              <w:rPr>
                <w:rFonts w:hint="eastAsia"/>
              </w:rPr>
              <w:t>/ m</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51" w:type="dxa"/>
            <w:vMerge w:val="continue"/>
            <w:tcBorders>
              <w:left w:val="single" w:color="auto" w:sz="4" w:space="0"/>
              <w:right w:val="single" w:color="auto" w:sz="4" w:space="0"/>
            </w:tcBorders>
            <w:vAlign w:val="center"/>
          </w:tcPr>
          <w:p>
            <w:pPr>
              <w:widowControl/>
              <w:jc w:val="left"/>
              <w:rPr>
                <w:szCs w:val="21"/>
              </w:rPr>
            </w:pPr>
          </w:p>
        </w:tc>
        <w:tc>
          <w:tcPr>
            <w:tcW w:w="2881" w:type="dxa"/>
            <w:vMerge w:val="restart"/>
            <w:tcBorders>
              <w:top w:val="nil"/>
              <w:left w:val="nil"/>
              <w:bottom w:val="single" w:color="auto" w:sz="4" w:space="0"/>
              <w:right w:val="single" w:color="auto" w:sz="4" w:space="0"/>
            </w:tcBorders>
            <w:vAlign w:val="center"/>
          </w:tcPr>
          <w:p>
            <w:pPr>
              <w:spacing w:line="360" w:lineRule="exact"/>
              <w:jc w:val="center"/>
              <w:rPr>
                <w:szCs w:val="21"/>
              </w:rPr>
            </w:pPr>
            <w:r>
              <w:rPr>
                <w:rFonts w:hint="eastAsia"/>
              </w:rPr>
              <w:t>室内门</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樘</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left w:val="single" w:color="auto" w:sz="4" w:space="0"/>
              <w:right w:val="single" w:color="auto" w:sz="4" w:space="0"/>
            </w:tcBorders>
            <w:vAlign w:val="center"/>
          </w:tcPr>
          <w:p>
            <w:pPr>
              <w:widowControl/>
              <w:jc w:val="left"/>
              <w:rPr>
                <w:szCs w:val="21"/>
              </w:rPr>
            </w:pPr>
          </w:p>
        </w:tc>
        <w:tc>
          <w:tcPr>
            <w:tcW w:w="2881" w:type="dxa"/>
            <w:vMerge w:val="continue"/>
            <w:tcBorders>
              <w:top w:val="nil"/>
              <w:left w:val="nil"/>
              <w:bottom w:val="single" w:color="auto" w:sz="4" w:space="0"/>
              <w:right w:val="single" w:color="auto" w:sz="4" w:space="0"/>
            </w:tcBorders>
            <w:vAlign w:val="center"/>
          </w:tcPr>
          <w:p>
            <w:pPr>
              <w:widowControl/>
              <w:jc w:val="left"/>
              <w:rPr>
                <w:szCs w:val="21"/>
              </w:rPr>
            </w:pP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300</w:t>
            </w:r>
            <w:r>
              <w:rPr>
                <w:rFonts w:hint="eastAsia" w:ascii="宋体" w:hAnsi="宋体"/>
              </w:rPr>
              <w:t>元</w:t>
            </w:r>
            <w:r>
              <w:rPr>
                <w:rFonts w:hint="eastAsia"/>
              </w:rPr>
              <w:t>/</w:t>
            </w:r>
            <w:r>
              <w:rPr>
                <w:rFonts w:hint="eastAsia" w:ascii="宋体" w:hAnsi="宋体"/>
              </w:rPr>
              <w:t>樘</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left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防盗门</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450</w:t>
            </w:r>
            <w:r>
              <w:rPr>
                <w:rFonts w:hint="eastAsia" w:ascii="宋体" w:hAnsi="宋体"/>
              </w:rPr>
              <w:t>元</w:t>
            </w:r>
            <w:r>
              <w:rPr>
                <w:rFonts w:hint="eastAsia"/>
              </w:rPr>
              <w:t>/</w:t>
            </w:r>
            <w:r>
              <w:rPr>
                <w:rFonts w:hint="eastAsia" w:ascii="宋体" w:hAnsi="宋体"/>
              </w:rPr>
              <w:t>扇</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left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防盗窗</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60/</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left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卷帘门</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50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left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卷帘门电机</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根据评估定价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left w:val="single" w:color="auto" w:sz="4" w:space="0"/>
              <w:right w:val="single" w:color="auto" w:sz="4" w:space="0"/>
            </w:tcBorders>
            <w:vAlign w:val="center"/>
          </w:tcPr>
          <w:p>
            <w:pPr>
              <w:spacing w:line="360" w:lineRule="exact"/>
              <w:jc w:val="center"/>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推拉门</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塑钢门</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5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rPr>
              <w:t>墙</w:t>
            </w:r>
          </w:p>
          <w:p>
            <w:pPr>
              <w:spacing w:line="360" w:lineRule="exact"/>
              <w:jc w:val="center"/>
            </w:pPr>
          </w:p>
          <w:p>
            <w:pPr>
              <w:spacing w:line="360" w:lineRule="exact"/>
              <w:jc w:val="center"/>
            </w:pPr>
          </w:p>
          <w:p>
            <w:pPr>
              <w:spacing w:line="360" w:lineRule="exact"/>
              <w:jc w:val="center"/>
              <w:rPr>
                <w:szCs w:val="21"/>
              </w:rPr>
            </w:pPr>
            <w:r>
              <w:rPr>
                <w:rFonts w:hint="eastAsia"/>
              </w:rPr>
              <w:t>面</w:t>
            </w: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墙面砖</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60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含外墙面砖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真石漆</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60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墙布、喷塑</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w:t>
            </w:r>
            <w:r>
              <w:rPr>
                <w:rFonts w:hint="eastAsia" w:ascii="宋体" w:hAnsi="宋体"/>
                <w:kern w:val="0"/>
              </w:rPr>
              <w:t>～</w:t>
            </w:r>
            <w:r>
              <w:rPr>
                <w:rFonts w:hint="eastAsia"/>
              </w:rPr>
              <w:t>15</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含墙纸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无法移动固定墙柜</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200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双面增加50%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外墙水冲石</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60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外墙铝塑板</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50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vMerge w:val="restart"/>
            <w:tcBorders>
              <w:top w:val="nil"/>
              <w:left w:val="nil"/>
              <w:bottom w:val="single" w:color="auto" w:sz="4" w:space="0"/>
              <w:right w:val="single" w:color="auto" w:sz="4" w:space="0"/>
            </w:tcBorders>
            <w:vAlign w:val="center"/>
          </w:tcPr>
          <w:p>
            <w:pPr>
              <w:spacing w:line="360" w:lineRule="exact"/>
              <w:jc w:val="center"/>
              <w:rPr>
                <w:szCs w:val="21"/>
              </w:rPr>
            </w:pPr>
            <w:r>
              <w:rPr>
                <w:rFonts w:hint="eastAsia"/>
              </w:rPr>
              <w:t>外墙漆</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6</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拼腻子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vMerge w:val="continue"/>
            <w:tcBorders>
              <w:top w:val="nil"/>
              <w:left w:val="nil"/>
              <w:bottom w:val="single" w:color="auto" w:sz="4" w:space="0"/>
              <w:right w:val="single" w:color="auto" w:sz="4" w:space="0"/>
            </w:tcBorders>
            <w:vAlign w:val="center"/>
          </w:tcPr>
          <w:p>
            <w:pPr>
              <w:widowControl/>
              <w:jc w:val="left"/>
              <w:rPr>
                <w:szCs w:val="21"/>
              </w:rPr>
            </w:pP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3</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不拼腻子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乳胶漆</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restart"/>
            <w:tcBorders>
              <w:top w:val="nil"/>
              <w:left w:val="single" w:color="auto" w:sz="4" w:space="0"/>
              <w:bottom w:val="single" w:color="auto" w:sz="4" w:space="0"/>
              <w:right w:val="single" w:color="auto" w:sz="4" w:space="0"/>
            </w:tcBorders>
            <w:vAlign w:val="center"/>
          </w:tcPr>
          <w:p>
            <w:pPr>
              <w:spacing w:line="360" w:lineRule="exact"/>
              <w:jc w:val="center"/>
              <w:rPr>
                <w:szCs w:val="21"/>
              </w:rPr>
            </w:pPr>
            <w:r>
              <w:rPr>
                <w:rFonts w:hint="eastAsia"/>
              </w:rPr>
              <w:t>吊</w:t>
            </w:r>
          </w:p>
          <w:p>
            <w:pPr>
              <w:spacing w:line="360" w:lineRule="exact"/>
              <w:jc w:val="center"/>
            </w:pPr>
          </w:p>
          <w:p>
            <w:pPr>
              <w:spacing w:line="360" w:lineRule="exact"/>
              <w:jc w:val="center"/>
              <w:rPr>
                <w:szCs w:val="21"/>
              </w:rPr>
            </w:pPr>
            <w:r>
              <w:rPr>
                <w:rFonts w:hint="eastAsia"/>
              </w:rPr>
              <w:t>顶</w:t>
            </w: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墙纸天棚</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间</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扣板、石膏</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40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硬质天棚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纤维板、灰板条</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18</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三合板</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30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硬质天棚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集成吊顶</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木吊顶</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100</w:t>
            </w:r>
            <w:r>
              <w:rPr>
                <w:rFonts w:hint="eastAsia" w:ascii="宋体" w:hAnsi="宋体"/>
              </w:rPr>
              <w:t>元</w:t>
            </w:r>
            <w:r>
              <w:rPr>
                <w:rFonts w:hint="eastAsia"/>
              </w:rPr>
              <w:t>/</w:t>
            </w:r>
            <w:r>
              <w:rPr>
                <w:rFonts w:hint="eastAsia" w:ascii="宋体" w:hAnsi="宋体"/>
              </w:rPr>
              <w:t>㎡</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51"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881"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石膏线、木线条</w:t>
            </w:r>
          </w:p>
        </w:tc>
        <w:tc>
          <w:tcPr>
            <w:tcW w:w="218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rFonts w:hint="eastAsia"/>
              </w:rPr>
              <w:t>10</w:t>
            </w:r>
            <w:r>
              <w:rPr>
                <w:rFonts w:hint="eastAsia" w:ascii="宋体" w:hAnsi="宋体"/>
              </w:rPr>
              <w:t>元</w:t>
            </w:r>
            <w:r>
              <w:rPr>
                <w:rFonts w:hint="eastAsia"/>
              </w:rPr>
              <w:t>/m</w:t>
            </w:r>
          </w:p>
        </w:tc>
        <w:tc>
          <w:tcPr>
            <w:tcW w:w="3099"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r>
    </w:tbl>
    <w:p>
      <w:pPr>
        <w:spacing w:line="360" w:lineRule="exact"/>
        <w:rPr>
          <w:szCs w:val="21"/>
        </w:rPr>
      </w:pPr>
      <w:r>
        <w:rPr>
          <w:rFonts w:hint="eastAsia" w:ascii="宋体" w:hAnsi="宋体"/>
        </w:rPr>
        <w:t>注：</w:t>
      </w:r>
      <w:r>
        <w:rPr>
          <w:rFonts w:hint="eastAsia"/>
        </w:rPr>
        <w:t>1</w:t>
      </w:r>
      <w:r>
        <w:rPr>
          <w:rFonts w:hint="eastAsia" w:ascii="宋体" w:hAnsi="宋体"/>
        </w:rPr>
        <w:t>.具体补偿价格根据装潢使用年限折旧计算；</w:t>
      </w:r>
    </w:p>
    <w:p>
      <w:pPr>
        <w:spacing w:line="360" w:lineRule="exact"/>
      </w:pPr>
      <w:r>
        <w:rPr>
          <w:rFonts w:hint="eastAsia"/>
        </w:rPr>
        <w:t xml:space="preserve">    2</w:t>
      </w:r>
      <w:r>
        <w:rPr>
          <w:rFonts w:hint="eastAsia" w:ascii="宋体" w:hAnsi="宋体"/>
        </w:rPr>
        <w:t>.同时适用货币补偿和产权调换；</w:t>
      </w:r>
    </w:p>
    <w:p>
      <w:pPr>
        <w:spacing w:line="360" w:lineRule="exact"/>
        <w:ind w:firstLine="435"/>
      </w:pPr>
      <w:r>
        <w:rPr>
          <w:rFonts w:hint="eastAsia"/>
        </w:rPr>
        <w:t>3</w:t>
      </w:r>
      <w:r>
        <w:rPr>
          <w:rFonts w:hint="eastAsia" w:ascii="宋体" w:hAnsi="宋体"/>
        </w:rPr>
        <w:t>.本表未涉及的装潢，参照表格相类似的执行，不能参照的，另行商定；</w:t>
      </w:r>
    </w:p>
    <w:p>
      <w:pPr>
        <w:spacing w:line="360" w:lineRule="exact"/>
        <w:ind w:firstLine="435"/>
      </w:pPr>
      <w:r>
        <w:rPr>
          <w:rFonts w:hint="eastAsia"/>
        </w:rPr>
        <w:t>4</w:t>
      </w:r>
      <w:r>
        <w:rPr>
          <w:rFonts w:hint="eastAsia" w:ascii="宋体" w:hAnsi="宋体"/>
        </w:rPr>
        <w:t>.政府投资基础设施，一律不予补偿。</w:t>
      </w:r>
    </w:p>
    <w:p>
      <w:pPr>
        <w:spacing w:line="360" w:lineRule="exact"/>
        <w:ind w:firstLine="435"/>
        <w:rPr>
          <w:rFonts w:ascii="宋体" w:hAnsi="宋体"/>
        </w:rPr>
      </w:pPr>
      <w:r>
        <w:rPr>
          <w:rFonts w:hint="eastAsia"/>
        </w:rPr>
        <w:t>5</w:t>
      </w:r>
      <w:r>
        <w:rPr>
          <w:rFonts w:hint="eastAsia" w:ascii="宋体" w:hAnsi="宋体"/>
        </w:rPr>
        <w:t>.突击装修，一律不予补偿。</w:t>
      </w:r>
    </w:p>
    <w:p>
      <w:pPr>
        <w:spacing w:line="360" w:lineRule="exact"/>
        <w:ind w:firstLine="435"/>
        <w:rPr>
          <w:rFonts w:ascii="宋体" w:hAnsi="宋体"/>
        </w:rPr>
      </w:pPr>
    </w:p>
    <w:p>
      <w:pPr>
        <w:spacing w:line="360" w:lineRule="exact"/>
        <w:ind w:firstLine="435"/>
        <w:rPr>
          <w:rFonts w:ascii="宋体" w:hAnsi="宋体"/>
        </w:rPr>
      </w:pPr>
    </w:p>
    <w:p>
      <w:pPr>
        <w:spacing w:line="360" w:lineRule="exact"/>
        <w:ind w:firstLine="435"/>
      </w:pPr>
    </w:p>
    <w:p>
      <w:pPr>
        <w:ind w:firstLine="435"/>
        <w:rPr>
          <w:rFonts w:ascii="黑体" w:eastAsia="黑体"/>
          <w:sz w:val="32"/>
          <w:szCs w:val="32"/>
        </w:rPr>
      </w:pPr>
      <w:r>
        <w:rPr>
          <w:rFonts w:hint="eastAsia" w:ascii="黑体" w:hAnsi="黑体" w:eastAsia="黑体"/>
          <w:sz w:val="32"/>
          <w:szCs w:val="32"/>
        </w:rPr>
        <w:t>三、房屋装潢折旧补偿比例参照标准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125"/>
        <w:gridCol w:w="1404"/>
        <w:gridCol w:w="1404"/>
        <w:gridCol w:w="14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房屋性质</w:t>
            </w:r>
          </w:p>
        </w:tc>
        <w:tc>
          <w:tcPr>
            <w:tcW w:w="6741" w:type="dxa"/>
            <w:gridSpan w:val="5"/>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使用年限及补偿比例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12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一年内</w:t>
            </w:r>
          </w:p>
        </w:tc>
        <w:tc>
          <w:tcPr>
            <w:tcW w:w="140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一至三年</w:t>
            </w:r>
          </w:p>
        </w:tc>
        <w:tc>
          <w:tcPr>
            <w:tcW w:w="140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三至五年</w:t>
            </w:r>
          </w:p>
        </w:tc>
        <w:tc>
          <w:tcPr>
            <w:tcW w:w="140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五至八年</w:t>
            </w:r>
          </w:p>
        </w:tc>
        <w:tc>
          <w:tcPr>
            <w:tcW w:w="140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八年以上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rPr>
              <w:t>商业用房、</w:t>
            </w:r>
          </w:p>
          <w:p>
            <w:pPr>
              <w:spacing w:line="360" w:lineRule="exact"/>
              <w:jc w:val="center"/>
              <w:rPr>
                <w:rFonts w:ascii="宋体" w:hAnsi="宋体"/>
                <w:szCs w:val="21"/>
              </w:rPr>
            </w:pPr>
            <w:r>
              <w:rPr>
                <w:rFonts w:hint="eastAsia" w:ascii="宋体" w:hAnsi="宋体"/>
              </w:rPr>
              <w:t>其它非住宅</w:t>
            </w:r>
          </w:p>
        </w:tc>
        <w:tc>
          <w:tcPr>
            <w:tcW w:w="1125"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szCs w:val="21"/>
              </w:rPr>
            </w:pPr>
            <w:r>
              <w:rPr>
                <w:rFonts w:hint="eastAsia" w:ascii="宋体" w:hAnsi="宋体"/>
              </w:rPr>
              <w:t>90%</w:t>
            </w:r>
          </w:p>
        </w:tc>
        <w:tc>
          <w:tcPr>
            <w:tcW w:w="1404"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szCs w:val="21"/>
              </w:rPr>
            </w:pPr>
            <w:r>
              <w:rPr>
                <w:rFonts w:hint="eastAsia" w:ascii="宋体" w:hAnsi="宋体"/>
              </w:rPr>
              <w:t>80%</w:t>
            </w:r>
          </w:p>
        </w:tc>
        <w:tc>
          <w:tcPr>
            <w:tcW w:w="1404"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szCs w:val="21"/>
              </w:rPr>
            </w:pPr>
            <w:r>
              <w:rPr>
                <w:rFonts w:hint="eastAsia" w:ascii="宋体" w:hAnsi="宋体"/>
              </w:rPr>
              <w:t>70%</w:t>
            </w:r>
          </w:p>
        </w:tc>
        <w:tc>
          <w:tcPr>
            <w:tcW w:w="1404"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szCs w:val="21"/>
              </w:rPr>
            </w:pPr>
            <w:r>
              <w:rPr>
                <w:rFonts w:hint="eastAsia" w:ascii="宋体" w:hAnsi="宋体"/>
              </w:rPr>
              <w:t>50%</w:t>
            </w:r>
          </w:p>
        </w:tc>
        <w:tc>
          <w:tcPr>
            <w:tcW w:w="1404" w:type="dxa"/>
            <w:tcBorders>
              <w:top w:val="single" w:color="auto" w:sz="4" w:space="0"/>
              <w:left w:val="nil"/>
              <w:bottom w:val="single" w:color="auto" w:sz="4" w:space="0"/>
              <w:right w:val="single" w:color="auto" w:sz="4" w:space="0"/>
            </w:tcBorders>
            <w:vAlign w:val="center"/>
          </w:tcPr>
          <w:p>
            <w:pPr>
              <w:spacing w:line="520" w:lineRule="exact"/>
              <w:jc w:val="center"/>
              <w:rPr>
                <w:rFonts w:ascii="宋体" w:hAnsi="宋体"/>
                <w:szCs w:val="21"/>
              </w:rPr>
            </w:pPr>
            <w:r>
              <w:rPr>
                <w:rFonts w:hint="eastAsia" w:ascii="宋体" w:hAnsi="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住宅</w:t>
            </w:r>
          </w:p>
        </w:tc>
        <w:tc>
          <w:tcPr>
            <w:tcW w:w="112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80%</w:t>
            </w:r>
          </w:p>
        </w:tc>
        <w:tc>
          <w:tcPr>
            <w:tcW w:w="140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70%</w:t>
            </w:r>
          </w:p>
        </w:tc>
        <w:tc>
          <w:tcPr>
            <w:tcW w:w="140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50%</w:t>
            </w:r>
          </w:p>
        </w:tc>
        <w:tc>
          <w:tcPr>
            <w:tcW w:w="140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30%</w:t>
            </w:r>
          </w:p>
        </w:tc>
        <w:tc>
          <w:tcPr>
            <w:tcW w:w="140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10%</w:t>
            </w:r>
          </w:p>
        </w:tc>
      </w:tr>
    </w:tbl>
    <w:p>
      <w:pPr>
        <w:spacing w:line="520" w:lineRule="exact"/>
        <w:ind w:firstLine="640" w:firstLineChars="200"/>
        <w:rPr>
          <w:rFonts w:ascii="黑体" w:hAnsi="宋体" w:eastAsia="黑体"/>
          <w:sz w:val="32"/>
          <w:szCs w:val="32"/>
        </w:rPr>
      </w:pPr>
      <w:r>
        <w:rPr>
          <w:rFonts w:hint="eastAsia" w:ascii="黑体" w:hAnsi="黑体" w:eastAsia="黑体"/>
          <w:sz w:val="32"/>
          <w:szCs w:val="32"/>
        </w:rPr>
        <w:t>四、非居住房屋及附属物</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非居住房屋及附属物补偿标准根据下列建筑物的结构标准进行计算。</w:t>
      </w:r>
    </w:p>
    <w:p>
      <w:pPr>
        <w:spacing w:line="520" w:lineRule="exact"/>
        <w:ind w:firstLine="640" w:firstLineChars="200"/>
        <w:rPr>
          <w:rFonts w:ascii="楷体_GB2312" w:hAnsi="宋体" w:eastAsia="楷体_GB2312"/>
          <w:sz w:val="32"/>
          <w:szCs w:val="32"/>
        </w:rPr>
      </w:pPr>
      <w:r>
        <w:rPr>
          <w:rFonts w:ascii="楷体_GB2312" w:hAnsi="楷体" w:eastAsia="楷体_GB2312"/>
          <w:sz w:val="32"/>
          <w:szCs w:val="32"/>
        </w:rPr>
        <w:t>1.</w:t>
      </w:r>
      <w:r>
        <w:rPr>
          <w:rFonts w:hint="eastAsia" w:ascii="楷体_GB2312" w:hAnsi="楷体" w:eastAsia="楷体_GB2312"/>
          <w:sz w:val="32"/>
          <w:szCs w:val="32"/>
        </w:rPr>
        <w:t>标准猪、鸡、鸭等畜禽舍</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砖木结构平房，檐高</w:t>
      </w:r>
      <w:r>
        <w:rPr>
          <w:rFonts w:ascii="仿宋_GB2312" w:hAnsi="宋体" w:eastAsia="仿宋_GB2312"/>
          <w:sz w:val="28"/>
          <w:szCs w:val="28"/>
        </w:rPr>
        <w:t>2.2米左右（檐高浮动范围为±20厘米），墙体为二四墙，清水外墙，水泥抹灰内墙，室内水泥地面，木苇顶，挂瓦屋顶，木门窗，无上下圈梁。圈栏墙为单砖（一二墙），高1米左右，水泥内外壁，简易供电、供水。</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2.</w:t>
      </w:r>
      <w:r>
        <w:rPr>
          <w:rFonts w:hint="eastAsia" w:ascii="楷体_GB2312" w:hAnsi="楷体" w:eastAsia="楷体_GB2312"/>
          <w:sz w:val="32"/>
          <w:szCs w:val="32"/>
        </w:rPr>
        <w:t>简易猪舍</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简易结构棚房，檐高</w:t>
      </w:r>
      <w:r>
        <w:rPr>
          <w:rFonts w:ascii="仿宋_GB2312" w:hAnsi="宋体" w:eastAsia="仿宋_GB2312"/>
          <w:sz w:val="28"/>
          <w:szCs w:val="28"/>
        </w:rPr>
        <w:t>1.8米左右（檐高浮动范围为±20厘米），墙体为二四墙，清水内外墙，室内水泥地面，石棉瓦坡屋顶，木门窗，简易供电、供水。</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3.</w:t>
      </w:r>
      <w:r>
        <w:rPr>
          <w:rFonts w:hint="eastAsia" w:ascii="楷体_GB2312" w:hAnsi="楷体" w:eastAsia="楷体_GB2312"/>
          <w:sz w:val="32"/>
          <w:szCs w:val="32"/>
        </w:rPr>
        <w:t>简易鸡房、鸭房</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简易结构，檐高</w:t>
      </w:r>
      <w:r>
        <w:rPr>
          <w:rFonts w:ascii="仿宋_GB2312" w:hAnsi="宋体" w:eastAsia="仿宋_GB2312"/>
          <w:sz w:val="28"/>
          <w:szCs w:val="28"/>
        </w:rPr>
        <w:t>1.2米左右（檐高浮动范围为±20厘米），墙体为二四墙，清水内外墙，砖地面，石棉瓦或木板屋顶，木门窗。</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4.</w:t>
      </w:r>
      <w:r>
        <w:rPr>
          <w:rFonts w:hint="eastAsia" w:ascii="楷体_GB2312" w:hAnsi="楷体" w:eastAsia="楷体_GB2312"/>
          <w:sz w:val="32"/>
          <w:szCs w:val="32"/>
        </w:rPr>
        <w:t>羊舍</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檐高</w:t>
      </w:r>
      <w:r>
        <w:rPr>
          <w:rFonts w:ascii="仿宋_GB2312" w:hAnsi="宋体" w:eastAsia="仿宋_GB2312"/>
          <w:sz w:val="28"/>
          <w:szCs w:val="28"/>
        </w:rPr>
        <w:t>1.8米左右（檐高浮动范围为±20厘米），三面清水砖墙，石棉瓦顶棚，内部水泥地面。</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5.</w:t>
      </w:r>
      <w:r>
        <w:rPr>
          <w:rFonts w:hint="eastAsia" w:ascii="楷体_GB2312" w:hAnsi="楷体" w:eastAsia="楷体_GB2312"/>
          <w:sz w:val="32"/>
          <w:szCs w:val="32"/>
        </w:rPr>
        <w:t>简易牛棚</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钢管支架，无维护结构，石棉瓦顶，高</w:t>
      </w:r>
      <w:r>
        <w:rPr>
          <w:rFonts w:ascii="仿宋_GB2312" w:hAnsi="宋体" w:eastAsia="仿宋_GB2312"/>
          <w:sz w:val="28"/>
          <w:szCs w:val="28"/>
        </w:rPr>
        <w:t>3米，水泥地面。</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6</w:t>
      </w:r>
      <w:r>
        <w:rPr>
          <w:rFonts w:hint="eastAsia" w:ascii="楷体_GB2312" w:hAnsi="楷体" w:eastAsia="楷体_GB2312"/>
          <w:sz w:val="32"/>
          <w:szCs w:val="32"/>
        </w:rPr>
        <w:t>.简屋</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简易结构，檐高</w:t>
      </w:r>
      <w:r>
        <w:rPr>
          <w:rFonts w:ascii="仿宋_GB2312" w:hAnsi="宋体" w:eastAsia="仿宋_GB2312"/>
          <w:sz w:val="28"/>
          <w:szCs w:val="28"/>
        </w:rPr>
        <w:t>2米左右（檐高浮动范围为±20厘米），墙体为二四墙，清水内外墙，平砖或土地面，石棉瓦顶，无供电、供水。</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7</w:t>
      </w:r>
      <w:r>
        <w:rPr>
          <w:rFonts w:hint="eastAsia" w:ascii="楷体_GB2312" w:hAnsi="楷体" w:eastAsia="楷体_GB2312"/>
          <w:sz w:val="32"/>
          <w:szCs w:val="32"/>
        </w:rPr>
        <w:t>.厕所</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砖混结构，檐高</w:t>
      </w:r>
      <w:r>
        <w:rPr>
          <w:rFonts w:ascii="仿宋_GB2312" w:hAnsi="宋体" w:eastAsia="仿宋_GB2312"/>
          <w:sz w:val="28"/>
          <w:szCs w:val="28"/>
        </w:rPr>
        <w:t>2.5米左右（檐高浮动范围为±20厘米），墙体为二四墙，水泥外墙面；内部半墙瓷砖，水泥地面，预制板顶，无供电、供水，配有化粪池。市政水冲式公厕，按每蹲位10000元计算补偿，其房屋不再计算补偿。</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8</w:t>
      </w:r>
      <w:r>
        <w:rPr>
          <w:rFonts w:hint="eastAsia" w:ascii="楷体_GB2312" w:hAnsi="楷体" w:eastAsia="楷体_GB2312"/>
          <w:sz w:val="32"/>
          <w:szCs w:val="32"/>
        </w:rPr>
        <w:t>.简易厕所</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砖木结构，檐高</w:t>
      </w:r>
      <w:r>
        <w:rPr>
          <w:rFonts w:ascii="仿宋_GB2312" w:hAnsi="宋体" w:eastAsia="仿宋_GB2312"/>
          <w:sz w:val="28"/>
          <w:szCs w:val="28"/>
        </w:rPr>
        <w:t>2米左右（檐高浮动范围为±20厘米），墙体为二四墙，外墙清水，内墙水泥抹灰，水泥地面，石棉瓦顶。</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9</w:t>
      </w:r>
      <w:r>
        <w:rPr>
          <w:rFonts w:hint="eastAsia" w:ascii="楷体_GB2312" w:hAnsi="楷体" w:eastAsia="楷体_GB2312"/>
          <w:sz w:val="32"/>
          <w:szCs w:val="32"/>
        </w:rPr>
        <w:t>.温室、大棚</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普通温室：温室坐北朝南，后墙和东西山墙为砖墙外包土坯墙，高约</w:t>
      </w:r>
      <w:r>
        <w:rPr>
          <w:rFonts w:ascii="仿宋_GB2312" w:hAnsi="宋体" w:eastAsia="仿宋_GB2312"/>
          <w:sz w:val="28"/>
          <w:szCs w:val="28"/>
        </w:rPr>
        <w:t>2.5米，内部混凝土立柱，覆盖材料为单层无滴塑料薄膜，外层保温材料为草毡。</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钢骨架（复合材料骨架）塑料大棚：拱形，高约</w:t>
      </w:r>
      <w:r>
        <w:rPr>
          <w:rFonts w:ascii="仿宋_GB2312" w:hAnsi="宋体" w:eastAsia="仿宋_GB2312"/>
          <w:sz w:val="28"/>
          <w:szCs w:val="28"/>
        </w:rPr>
        <w:t>2米，内部钢架或复合材料骨架，覆盖材料为单层无滴塑料薄膜。</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普通塑料大棚：拱形，高约</w:t>
      </w:r>
      <w:r>
        <w:rPr>
          <w:rFonts w:ascii="仿宋_GB2312" w:hAnsi="宋体" w:eastAsia="仿宋_GB2312"/>
          <w:sz w:val="28"/>
          <w:szCs w:val="28"/>
        </w:rPr>
        <w:t>2米，内部竹竿骨架，覆盖材料为单层无滴塑料薄膜。</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10</w:t>
      </w:r>
      <w:r>
        <w:rPr>
          <w:rFonts w:hint="eastAsia" w:ascii="楷体_GB2312" w:hAnsi="楷体" w:eastAsia="楷体_GB2312"/>
          <w:sz w:val="32"/>
          <w:szCs w:val="32"/>
        </w:rPr>
        <w:t>.围墙</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包括：水泥抹灰砖墙、清水砖墙、土坯墙。</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11</w:t>
      </w:r>
      <w:r>
        <w:rPr>
          <w:rFonts w:hint="eastAsia" w:ascii="楷体_GB2312" w:hAnsi="楷体" w:eastAsia="楷体_GB2312"/>
          <w:sz w:val="32"/>
          <w:szCs w:val="32"/>
        </w:rPr>
        <w:t>.场地</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包括：泥结碎石、素混凝土（</w:t>
      </w:r>
      <w:r>
        <w:rPr>
          <w:rFonts w:ascii="仿宋_GB2312" w:hAnsi="宋体" w:eastAsia="仿宋_GB2312"/>
          <w:sz w:val="28"/>
          <w:szCs w:val="28"/>
        </w:rPr>
        <w:t>200毫米）、砖地面（立砖）、砖地面（平砖）。</w:t>
      </w:r>
    </w:p>
    <w:p>
      <w:pPr>
        <w:spacing w:line="480" w:lineRule="exact"/>
        <w:ind w:firstLine="640" w:firstLineChars="200"/>
        <w:rPr>
          <w:rFonts w:ascii="楷体_GB2312" w:hAnsi="楷体" w:eastAsia="楷体_GB2312"/>
          <w:sz w:val="32"/>
          <w:szCs w:val="32"/>
        </w:rPr>
      </w:pPr>
      <w:r>
        <w:rPr>
          <w:rFonts w:ascii="楷体_GB2312" w:hAnsi="楷体" w:eastAsia="楷体_GB2312"/>
          <w:sz w:val="32"/>
          <w:szCs w:val="32"/>
        </w:rPr>
        <w:t>12</w:t>
      </w:r>
      <w:r>
        <w:rPr>
          <w:rFonts w:hint="eastAsia" w:ascii="楷体_GB2312" w:hAnsi="楷体" w:eastAsia="楷体_GB2312"/>
          <w:sz w:val="32"/>
          <w:szCs w:val="32"/>
        </w:rPr>
        <w:t>.道路</w:t>
      </w:r>
    </w:p>
    <w:p>
      <w:pPr>
        <w:spacing w:line="480" w:lineRule="exact"/>
        <w:ind w:firstLine="560" w:firstLineChars="200"/>
        <w:rPr>
          <w:rFonts w:ascii="宋体" w:hAnsi="宋体"/>
          <w:sz w:val="28"/>
          <w:szCs w:val="28"/>
        </w:rPr>
      </w:pPr>
      <w:r>
        <w:rPr>
          <w:rFonts w:hint="eastAsia" w:ascii="仿宋_GB2312" w:hAnsi="宋体" w:eastAsia="仿宋_GB2312"/>
          <w:sz w:val="28"/>
          <w:szCs w:val="28"/>
        </w:rPr>
        <w:t>包括：泥结碎石道路、素混凝土道路（</w:t>
      </w:r>
      <w:r>
        <w:rPr>
          <w:rFonts w:ascii="仿宋_GB2312" w:hAnsi="宋体" w:eastAsia="仿宋_GB2312"/>
          <w:sz w:val="28"/>
          <w:szCs w:val="28"/>
        </w:rPr>
        <w:t>200毫米）、煤矸石道路（100毫米）、沥青道路</w:t>
      </w:r>
      <w:r>
        <w:rPr>
          <w:rFonts w:ascii="仿宋_GB2312" w:hAnsi="宋体" w:eastAsia="仿宋_GB2312"/>
          <w:spacing w:val="-17"/>
          <w:sz w:val="28"/>
          <w:szCs w:val="28"/>
        </w:rPr>
        <w:t>（一层灰土，40</w:t>
      </w:r>
      <w:r>
        <w:rPr>
          <w:rFonts w:hint="eastAsia" w:ascii="宋体" w:hAnsi="宋体"/>
          <w:spacing w:val="-17"/>
          <w:kern w:val="0"/>
        </w:rPr>
        <w:t>～</w:t>
      </w:r>
      <w:r>
        <w:rPr>
          <w:rFonts w:ascii="仿宋_GB2312" w:hAnsi="宋体" w:eastAsia="仿宋_GB2312"/>
          <w:spacing w:val="-17"/>
          <w:sz w:val="28"/>
          <w:szCs w:val="28"/>
        </w:rPr>
        <w:t>60毫米沥青灌入式砼，10</w:t>
      </w:r>
      <w:r>
        <w:rPr>
          <w:rFonts w:hint="eastAsia" w:ascii="宋体" w:hAnsi="宋体"/>
          <w:spacing w:val="-17"/>
          <w:kern w:val="0"/>
        </w:rPr>
        <w:t>～</w:t>
      </w:r>
      <w:r>
        <w:rPr>
          <w:rFonts w:ascii="仿宋_GB2312" w:hAnsi="宋体" w:eastAsia="仿宋_GB2312"/>
          <w:spacing w:val="-17"/>
          <w:sz w:val="28"/>
          <w:szCs w:val="28"/>
        </w:rPr>
        <w:t>20毫米沥青面层）。</w:t>
      </w:r>
    </w:p>
    <w:p>
      <w:pPr>
        <w:spacing w:line="500" w:lineRule="exact"/>
        <w:jc w:val="center"/>
        <w:rPr>
          <w:rFonts w:hint="eastAsia" w:ascii="黑体" w:hAnsi="黑体" w:eastAsia="黑体"/>
          <w:sz w:val="34"/>
          <w:szCs w:val="28"/>
        </w:rPr>
      </w:pPr>
      <w:r>
        <w:rPr>
          <w:rFonts w:hint="eastAsia" w:ascii="黑体" w:hAnsi="黑体" w:eastAsia="黑体"/>
          <w:sz w:val="34"/>
          <w:szCs w:val="28"/>
        </w:rPr>
        <w:t>非居住房屋及附属物补偿补助标准表</w:t>
      </w:r>
    </w:p>
    <w:p>
      <w:pPr>
        <w:spacing w:line="500" w:lineRule="exact"/>
        <w:jc w:val="center"/>
        <w:rPr>
          <w:rFonts w:ascii="黑体" w:eastAsia="黑体"/>
          <w:sz w:val="32"/>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558"/>
        <w:gridCol w:w="1069"/>
        <w:gridCol w:w="1672"/>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b/>
                <w:szCs w:val="21"/>
              </w:rPr>
            </w:pPr>
            <w:r>
              <w:rPr>
                <w:rFonts w:hint="eastAsia"/>
                <w:b/>
              </w:rPr>
              <w:t>类别</w:t>
            </w:r>
          </w:p>
        </w:tc>
        <w:tc>
          <w:tcPr>
            <w:tcW w:w="3558" w:type="dxa"/>
            <w:tcBorders>
              <w:top w:val="single" w:color="auto" w:sz="4" w:space="0"/>
              <w:left w:val="nil"/>
              <w:bottom w:val="single" w:color="auto" w:sz="4" w:space="0"/>
              <w:right w:val="single" w:color="auto" w:sz="4" w:space="0"/>
            </w:tcBorders>
            <w:vAlign w:val="center"/>
          </w:tcPr>
          <w:p>
            <w:pPr>
              <w:spacing w:line="460" w:lineRule="exact"/>
              <w:jc w:val="center"/>
              <w:rPr>
                <w:b/>
                <w:szCs w:val="21"/>
              </w:rPr>
            </w:pPr>
            <w:r>
              <w:rPr>
                <w:rFonts w:hint="eastAsia"/>
                <w:b/>
              </w:rPr>
              <w:t>名称</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b/>
                <w:szCs w:val="21"/>
              </w:rPr>
            </w:pPr>
            <w:r>
              <w:rPr>
                <w:rFonts w:hint="eastAsia"/>
                <w:b/>
              </w:rPr>
              <w:t>单位</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b/>
                <w:szCs w:val="21"/>
              </w:rPr>
            </w:pPr>
            <w:r>
              <w:rPr>
                <w:rFonts w:hint="eastAsia"/>
                <w:b/>
              </w:rPr>
              <w:t>单价（元）</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b/>
                <w:szCs w:val="21"/>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restart"/>
            <w:tcBorders>
              <w:top w:val="nil"/>
              <w:left w:val="single" w:color="auto" w:sz="4" w:space="0"/>
              <w:bottom w:val="single" w:color="auto" w:sz="4" w:space="0"/>
              <w:right w:val="single" w:color="auto" w:sz="4" w:space="0"/>
            </w:tcBorders>
            <w:vAlign w:val="center"/>
          </w:tcPr>
          <w:p>
            <w:pPr>
              <w:widowControl/>
              <w:spacing w:line="460" w:lineRule="exact"/>
              <w:jc w:val="center"/>
              <w:rPr>
                <w:rFonts w:hint="eastAsia" w:ascii="ˎ̥" w:hAnsi="ˎ̥"/>
                <w:spacing w:val="24"/>
                <w:kern w:val="0"/>
                <w:szCs w:val="21"/>
              </w:rPr>
            </w:pPr>
            <w:r>
              <w:rPr>
                <w:rFonts w:ascii="ˎ̥" w:hAnsi="ˎ̥"/>
                <w:spacing w:val="24"/>
                <w:kern w:val="0"/>
              </w:rPr>
              <w:t>非居住房屋</w:t>
            </w: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hint="eastAsia" w:ascii="ˎ̥" w:hAnsi="ˎ̥"/>
                <w:spacing w:val="24"/>
                <w:kern w:val="0"/>
              </w:rPr>
              <w:t>标准猪、鸡、鸭等养殖棚</w:t>
            </w:r>
            <w:r>
              <w:rPr>
                <w:rFonts w:ascii="ˎ̥" w:hAnsi="ˎ̥"/>
                <w:spacing w:val="24"/>
                <w:kern w:val="0"/>
              </w:rPr>
              <w:t>舍</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宋体" w:hAnsi="宋体"/>
                <w:kern w:val="0"/>
                <w:szCs w:val="21"/>
              </w:rPr>
            </w:pPr>
            <w:r>
              <w:rPr>
                <w:rFonts w:hint="eastAsia" w:ascii="宋体" w:hAnsi="宋体"/>
                <w:kern w:val="0"/>
              </w:rPr>
              <w:t>200～300</w:t>
            </w:r>
          </w:p>
        </w:tc>
        <w:tc>
          <w:tcPr>
            <w:tcW w:w="1782" w:type="dxa"/>
            <w:tcBorders>
              <w:top w:val="single" w:color="auto" w:sz="4" w:space="0"/>
              <w:left w:val="nil"/>
              <w:bottom w:val="single" w:color="auto" w:sz="4" w:space="0"/>
              <w:right w:val="single" w:color="auto" w:sz="4" w:space="0"/>
            </w:tcBorders>
            <w:vAlign w:val="center"/>
          </w:tcPr>
          <w:p>
            <w:pPr>
              <w:widowControl/>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spacing w:line="460" w:lineRule="exact"/>
              <w:rPr>
                <w:rFonts w:hint="eastAsia" w:ascii="ˎ̥" w:hAnsi="ˎ̥"/>
                <w:spacing w:val="24"/>
                <w:kern w:val="0"/>
                <w:szCs w:val="21"/>
              </w:rPr>
            </w:pPr>
            <w:r>
              <w:rPr>
                <w:rFonts w:ascii="ˎ̥" w:hAnsi="ˎ̥"/>
                <w:spacing w:val="24"/>
                <w:kern w:val="0"/>
              </w:rPr>
              <w:t>简易</w:t>
            </w:r>
            <w:r>
              <w:rPr>
                <w:rFonts w:hint="eastAsia" w:ascii="ˎ̥" w:hAnsi="ˎ̥"/>
                <w:spacing w:val="24"/>
                <w:kern w:val="0"/>
              </w:rPr>
              <w:t>猪、鸡、鸭等养殖棚</w:t>
            </w:r>
            <w:r>
              <w:rPr>
                <w:rFonts w:ascii="ˎ̥" w:hAnsi="ˎ̥"/>
                <w:spacing w:val="24"/>
                <w:kern w:val="0"/>
              </w:rPr>
              <w:t>舍</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80～200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spacing w:line="460" w:lineRule="exact"/>
              <w:rPr>
                <w:rFonts w:hint="eastAsia" w:ascii="ˎ̥" w:hAnsi="ˎ̥"/>
                <w:spacing w:val="24"/>
                <w:kern w:val="0"/>
                <w:szCs w:val="21"/>
              </w:rPr>
            </w:pPr>
            <w:r>
              <w:rPr>
                <w:rFonts w:hint="eastAsia" w:ascii="ˎ̥" w:hAnsi="ˎ̥"/>
                <w:spacing w:val="24"/>
                <w:kern w:val="0"/>
              </w:rPr>
              <w:t>羊舍</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80～200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简屋</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180～240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厕所</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200～300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简易厕所</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个</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200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restart"/>
            <w:tcBorders>
              <w:top w:val="nil"/>
              <w:left w:val="single" w:color="auto" w:sz="4" w:space="0"/>
              <w:bottom w:val="single" w:color="auto" w:sz="4" w:space="0"/>
              <w:right w:val="single" w:color="auto" w:sz="4" w:space="0"/>
            </w:tcBorders>
            <w:vAlign w:val="center"/>
          </w:tcPr>
          <w:p>
            <w:pPr>
              <w:widowControl/>
              <w:spacing w:line="460" w:lineRule="exact"/>
              <w:jc w:val="center"/>
              <w:rPr>
                <w:rFonts w:hint="eastAsia" w:ascii="ˎ̥" w:hAnsi="ˎ̥"/>
                <w:spacing w:val="24"/>
                <w:kern w:val="0"/>
                <w:szCs w:val="21"/>
              </w:rPr>
            </w:pPr>
            <w:r>
              <w:rPr>
                <w:rFonts w:ascii="ˎ̥" w:hAnsi="ˎ̥"/>
                <w:spacing w:val="24"/>
                <w:kern w:val="0"/>
              </w:rPr>
              <w:t>温</w:t>
            </w:r>
          </w:p>
          <w:p>
            <w:pPr>
              <w:widowControl/>
              <w:spacing w:line="460" w:lineRule="exact"/>
              <w:jc w:val="center"/>
              <w:rPr>
                <w:rFonts w:hint="eastAsia" w:ascii="ˎ̥" w:hAnsi="ˎ̥"/>
                <w:spacing w:val="24"/>
                <w:kern w:val="0"/>
              </w:rPr>
            </w:pPr>
            <w:r>
              <w:rPr>
                <w:rFonts w:ascii="ˎ̥" w:hAnsi="ˎ̥"/>
                <w:spacing w:val="24"/>
                <w:kern w:val="0"/>
              </w:rPr>
              <w:t>室</w:t>
            </w:r>
          </w:p>
          <w:p>
            <w:pPr>
              <w:widowControl/>
              <w:spacing w:line="460" w:lineRule="exact"/>
              <w:jc w:val="center"/>
              <w:rPr>
                <w:rFonts w:hint="eastAsia" w:ascii="ˎ̥" w:hAnsi="ˎ̥"/>
                <w:spacing w:val="24"/>
                <w:kern w:val="0"/>
              </w:rPr>
            </w:pPr>
            <w:r>
              <w:rPr>
                <w:rFonts w:ascii="ˎ̥" w:hAnsi="ˎ̥"/>
                <w:spacing w:val="24"/>
                <w:kern w:val="0"/>
              </w:rPr>
              <w:t>大</w:t>
            </w:r>
          </w:p>
          <w:p>
            <w:pPr>
              <w:widowControl/>
              <w:spacing w:line="460" w:lineRule="exact"/>
              <w:jc w:val="center"/>
              <w:rPr>
                <w:rFonts w:hint="eastAsia" w:ascii="ˎ̥" w:hAnsi="ˎ̥"/>
                <w:spacing w:val="24"/>
                <w:kern w:val="0"/>
                <w:szCs w:val="21"/>
              </w:rPr>
            </w:pPr>
            <w:r>
              <w:rPr>
                <w:rFonts w:ascii="ˎ̥" w:hAnsi="ˎ̥"/>
                <w:spacing w:val="24"/>
                <w:kern w:val="0"/>
              </w:rPr>
              <w:t>棚</w:t>
            </w:r>
          </w:p>
        </w:tc>
        <w:tc>
          <w:tcPr>
            <w:tcW w:w="3558" w:type="dxa"/>
            <w:tcBorders>
              <w:top w:val="single" w:color="auto" w:sz="4" w:space="0"/>
              <w:left w:val="nil"/>
              <w:bottom w:val="single" w:color="auto" w:sz="4" w:space="0"/>
              <w:right w:val="single" w:color="auto" w:sz="4" w:space="0"/>
            </w:tcBorders>
            <w:vAlign w:val="center"/>
          </w:tcPr>
          <w:p>
            <w:pPr>
              <w:spacing w:line="460" w:lineRule="exact"/>
              <w:rPr>
                <w:rFonts w:hint="eastAsia" w:ascii="ˎ̥" w:hAnsi="ˎ̥"/>
                <w:spacing w:val="24"/>
                <w:kern w:val="0"/>
                <w:szCs w:val="21"/>
              </w:rPr>
            </w:pPr>
            <w:r>
              <w:rPr>
                <w:rFonts w:hint="eastAsia" w:ascii="ˎ̥" w:hAnsi="ˎ̥"/>
                <w:spacing w:val="24"/>
                <w:kern w:val="0"/>
              </w:rPr>
              <w:t>普通</w:t>
            </w:r>
            <w:r>
              <w:rPr>
                <w:rFonts w:ascii="ˎ̥" w:hAnsi="ˎ̥"/>
                <w:spacing w:val="24"/>
                <w:kern w:val="0"/>
              </w:rPr>
              <w:t>温室</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80～100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kern w:val="0"/>
                <w:szCs w:val="21"/>
              </w:rPr>
            </w:pPr>
            <w:r>
              <w:rPr>
                <w:rFonts w:ascii="ˎ̥" w:hAnsi="ˎ̥"/>
                <w:kern w:val="0"/>
              </w:rPr>
              <w:t>钢骨架（复合材料骨架）塑料大棚</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40-60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普通塑料大棚</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20～40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restart"/>
            <w:tcBorders>
              <w:top w:val="nil"/>
              <w:left w:val="single" w:color="auto" w:sz="4" w:space="0"/>
              <w:bottom w:val="single" w:color="auto" w:sz="4" w:space="0"/>
              <w:right w:val="single" w:color="auto" w:sz="4" w:space="0"/>
            </w:tcBorders>
            <w:vAlign w:val="center"/>
          </w:tcPr>
          <w:p>
            <w:pPr>
              <w:widowControl/>
              <w:spacing w:line="460" w:lineRule="exact"/>
              <w:jc w:val="center"/>
              <w:rPr>
                <w:rFonts w:hint="eastAsia" w:ascii="ˎ̥" w:hAnsi="ˎ̥"/>
                <w:spacing w:val="24"/>
                <w:kern w:val="0"/>
                <w:szCs w:val="21"/>
              </w:rPr>
            </w:pPr>
            <w:r>
              <w:rPr>
                <w:rFonts w:ascii="ˎ̥" w:hAnsi="ˎ̥"/>
                <w:spacing w:val="24"/>
                <w:kern w:val="0"/>
              </w:rPr>
              <w:t>场</w:t>
            </w:r>
          </w:p>
          <w:p>
            <w:pPr>
              <w:widowControl/>
              <w:spacing w:line="460" w:lineRule="exact"/>
              <w:jc w:val="center"/>
              <w:rPr>
                <w:rFonts w:hint="eastAsia" w:ascii="ˎ̥" w:hAnsi="ˎ̥"/>
                <w:spacing w:val="24"/>
                <w:kern w:val="0"/>
                <w:szCs w:val="21"/>
              </w:rPr>
            </w:pPr>
            <w:r>
              <w:rPr>
                <w:rFonts w:ascii="ˎ̥" w:hAnsi="ˎ̥"/>
                <w:spacing w:val="24"/>
                <w:kern w:val="0"/>
              </w:rPr>
              <w:t>地</w:t>
            </w: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泥结碎石</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16</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素混凝土</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60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砖地面（立砖）</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25</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砖地面（平砖）</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15</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restart"/>
            <w:tcBorders>
              <w:top w:val="nil"/>
              <w:left w:val="single" w:color="auto" w:sz="4" w:space="0"/>
              <w:bottom w:val="single" w:color="auto" w:sz="4" w:space="0"/>
              <w:right w:val="single" w:color="auto" w:sz="4" w:space="0"/>
            </w:tcBorders>
            <w:vAlign w:val="center"/>
          </w:tcPr>
          <w:p>
            <w:pPr>
              <w:widowControl/>
              <w:spacing w:line="460" w:lineRule="exact"/>
              <w:jc w:val="center"/>
              <w:rPr>
                <w:rFonts w:hint="eastAsia" w:ascii="ˎ̥" w:hAnsi="ˎ̥"/>
                <w:spacing w:val="24"/>
                <w:kern w:val="0"/>
                <w:szCs w:val="21"/>
              </w:rPr>
            </w:pPr>
            <w:r>
              <w:rPr>
                <w:rFonts w:ascii="ˎ̥" w:hAnsi="ˎ̥"/>
                <w:spacing w:val="24"/>
                <w:kern w:val="0"/>
              </w:rPr>
              <w:t>道</w:t>
            </w:r>
          </w:p>
          <w:p>
            <w:pPr>
              <w:widowControl/>
              <w:spacing w:line="460" w:lineRule="exact"/>
              <w:jc w:val="center"/>
              <w:rPr>
                <w:rFonts w:hint="eastAsia" w:ascii="ˎ̥" w:hAnsi="ˎ̥"/>
                <w:spacing w:val="24"/>
                <w:kern w:val="0"/>
                <w:szCs w:val="21"/>
              </w:rPr>
            </w:pPr>
            <w:r>
              <w:rPr>
                <w:rFonts w:ascii="ˎ̥" w:hAnsi="ˎ̥"/>
                <w:spacing w:val="24"/>
                <w:kern w:val="0"/>
              </w:rPr>
              <w:t>路</w:t>
            </w: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泥结碎石道路</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20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素混凝土道路</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80～100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hint="eastAsia" w:ascii="ˎ̥" w:hAnsi="ˎ̥"/>
                <w:spacing w:val="24"/>
                <w:kern w:val="0"/>
              </w:rPr>
              <w:t>煤矸石道路</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20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ascii="ˎ̥" w:hAnsi="ˎ̥"/>
                <w:spacing w:val="24"/>
                <w:kern w:val="0"/>
              </w:rPr>
              <w:t>沥青道路</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rPr>
              <w:t>㎡</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80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9" w:type="dxa"/>
            <w:vMerge w:val="restart"/>
            <w:tcBorders>
              <w:top w:val="nil"/>
              <w:left w:val="single" w:color="auto" w:sz="4" w:space="0"/>
              <w:bottom w:val="single" w:color="auto" w:sz="4" w:space="0"/>
              <w:right w:val="single" w:color="auto" w:sz="4" w:space="0"/>
            </w:tcBorders>
            <w:vAlign w:val="center"/>
          </w:tcPr>
          <w:p>
            <w:pPr>
              <w:widowControl/>
              <w:spacing w:line="460" w:lineRule="exact"/>
              <w:jc w:val="center"/>
              <w:rPr>
                <w:rFonts w:hint="eastAsia" w:ascii="ˎ̥" w:hAnsi="ˎ̥"/>
                <w:spacing w:val="24"/>
                <w:kern w:val="0"/>
                <w:szCs w:val="21"/>
              </w:rPr>
            </w:pPr>
            <w:r>
              <w:rPr>
                <w:rFonts w:ascii="ˎ̥" w:hAnsi="ˎ̥"/>
                <w:spacing w:val="24"/>
                <w:kern w:val="0"/>
              </w:rPr>
              <w:t>坟</w:t>
            </w:r>
          </w:p>
          <w:p>
            <w:pPr>
              <w:widowControl/>
              <w:spacing w:line="460" w:lineRule="exact"/>
              <w:jc w:val="center"/>
              <w:rPr>
                <w:rFonts w:hint="eastAsia" w:ascii="ˎ̥" w:hAnsi="ˎ̥"/>
                <w:spacing w:val="24"/>
                <w:kern w:val="0"/>
                <w:szCs w:val="21"/>
              </w:rPr>
            </w:pPr>
            <w:r>
              <w:rPr>
                <w:rFonts w:ascii="ˎ̥" w:hAnsi="ˎ̥"/>
                <w:spacing w:val="24"/>
                <w:kern w:val="0"/>
              </w:rPr>
              <w:t>墓</w:t>
            </w: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hint="eastAsia" w:ascii="ˎ̥" w:hAnsi="ˎ̥"/>
                <w:spacing w:val="24"/>
                <w:kern w:val="0"/>
              </w:rPr>
              <w:t>单棺</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座</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1000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3558" w:type="dxa"/>
            <w:tcBorders>
              <w:top w:val="single" w:color="auto" w:sz="4" w:space="0"/>
              <w:left w:val="nil"/>
              <w:bottom w:val="single" w:color="auto" w:sz="4" w:space="0"/>
              <w:right w:val="single" w:color="auto" w:sz="4" w:space="0"/>
            </w:tcBorders>
            <w:vAlign w:val="center"/>
          </w:tcPr>
          <w:p>
            <w:pPr>
              <w:widowControl/>
              <w:spacing w:line="460" w:lineRule="exact"/>
              <w:rPr>
                <w:rFonts w:hint="eastAsia" w:ascii="ˎ̥" w:hAnsi="ˎ̥"/>
                <w:spacing w:val="24"/>
                <w:kern w:val="0"/>
                <w:szCs w:val="21"/>
              </w:rPr>
            </w:pPr>
            <w:r>
              <w:rPr>
                <w:rFonts w:hint="eastAsia" w:ascii="ˎ̥" w:hAnsi="ˎ̥"/>
                <w:spacing w:val="24"/>
                <w:kern w:val="0"/>
              </w:rPr>
              <w:t>多棺</w:t>
            </w:r>
          </w:p>
        </w:tc>
        <w:tc>
          <w:tcPr>
            <w:tcW w:w="1069"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座</w:t>
            </w:r>
          </w:p>
        </w:tc>
        <w:tc>
          <w:tcPr>
            <w:tcW w:w="167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r>
              <w:rPr>
                <w:rFonts w:hint="eastAsia" w:ascii="宋体" w:hAnsi="宋体"/>
                <w:kern w:val="0"/>
              </w:rPr>
              <w:t>1200</w:t>
            </w:r>
          </w:p>
        </w:tc>
        <w:tc>
          <w:tcPr>
            <w:tcW w:w="1782"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kern w:val="0"/>
                <w:szCs w:val="21"/>
              </w:rPr>
            </w:pPr>
          </w:p>
        </w:tc>
      </w:tr>
    </w:tbl>
    <w:p>
      <w:pPr>
        <w:spacing w:line="560" w:lineRule="exact"/>
        <w:ind w:firstLine="574" w:firstLineChars="205"/>
        <w:rPr>
          <w:rFonts w:ascii="黑体" w:hAnsi="黑体" w:eastAsia="黑体"/>
          <w:sz w:val="28"/>
          <w:szCs w:val="28"/>
        </w:rPr>
      </w:pPr>
    </w:p>
    <w:p>
      <w:pPr>
        <w:spacing w:line="560" w:lineRule="exact"/>
        <w:ind w:firstLine="574" w:firstLineChars="205"/>
        <w:rPr>
          <w:rFonts w:ascii="黑体" w:eastAsia="黑体"/>
          <w:sz w:val="32"/>
          <w:szCs w:val="32"/>
        </w:rPr>
      </w:pPr>
      <w:r>
        <w:rPr>
          <w:rFonts w:ascii="黑体" w:hAnsi="黑体" w:eastAsia="黑体"/>
          <w:sz w:val="28"/>
          <w:szCs w:val="28"/>
        </w:rPr>
        <w:br w:type="page"/>
      </w:r>
      <w:r>
        <w:rPr>
          <w:rFonts w:hint="eastAsia" w:ascii="黑体" w:hAnsi="黑体" w:eastAsia="黑体"/>
          <w:sz w:val="28"/>
          <w:szCs w:val="28"/>
        </w:rPr>
        <w:t>五</w:t>
      </w:r>
      <w:r>
        <w:rPr>
          <w:rFonts w:hint="eastAsia" w:ascii="黑体" w:hAnsi="黑体" w:eastAsia="黑体"/>
          <w:sz w:val="32"/>
          <w:szCs w:val="32"/>
        </w:rPr>
        <w:t>、树木移植补助费标准</w:t>
      </w:r>
    </w:p>
    <w:tbl>
      <w:tblPr>
        <w:tblStyle w:val="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2989"/>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rPr>
              <w:t>胸径</w:t>
            </w:r>
            <w:r>
              <w:rPr>
                <w:rFonts w:ascii="宋体" w:hAnsi="宋体"/>
                <w:b/>
                <w:kern w:val="0"/>
              </w:rPr>
              <w:t>(cm)</w:t>
            </w:r>
          </w:p>
        </w:tc>
        <w:tc>
          <w:tcPr>
            <w:tcW w:w="2989" w:type="dxa"/>
            <w:tcBorders>
              <w:top w:val="single" w:color="auto" w:sz="4" w:space="0"/>
              <w:left w:val="nil"/>
              <w:bottom w:val="sing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rPr>
              <w:t>普通树</w:t>
            </w:r>
            <w:r>
              <w:rPr>
                <w:rFonts w:ascii="宋体" w:hAnsi="宋体"/>
                <w:b/>
                <w:kern w:val="0"/>
              </w:rPr>
              <w:t xml:space="preserve"> (元)</w:t>
            </w:r>
          </w:p>
        </w:tc>
        <w:tc>
          <w:tcPr>
            <w:tcW w:w="3398" w:type="dxa"/>
            <w:tcBorders>
              <w:top w:val="single" w:color="auto" w:sz="4" w:space="0"/>
              <w:left w:val="nil"/>
              <w:bottom w:val="single" w:color="auto" w:sz="4" w:space="0"/>
              <w:right w:val="single" w:color="auto" w:sz="4" w:space="0"/>
            </w:tcBorders>
            <w:vAlign w:val="center"/>
          </w:tcPr>
          <w:p>
            <w:pPr>
              <w:jc w:val="center"/>
              <w:rPr>
                <w:rFonts w:ascii="宋体" w:hAnsi="宋体"/>
                <w:b/>
                <w:kern w:val="0"/>
                <w:szCs w:val="21"/>
              </w:rPr>
            </w:pPr>
            <w:r>
              <w:rPr>
                <w:rFonts w:hint="eastAsia" w:ascii="宋体" w:hAnsi="宋体"/>
                <w:b/>
                <w:kern w:val="0"/>
              </w:rPr>
              <w:t>果树</w:t>
            </w:r>
            <w:r>
              <w:rPr>
                <w:rFonts w:ascii="宋体" w:hAnsi="宋体"/>
                <w:b/>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Cs w:val="21"/>
              </w:rPr>
            </w:pPr>
            <w:r>
              <w:rPr>
                <w:rFonts w:ascii="Arial" w:hAnsi="Arial" w:cs="Arial"/>
                <w:spacing w:val="8"/>
              </w:rPr>
              <w:t>Φ</w:t>
            </w:r>
            <w:r>
              <w:rPr>
                <w:rFonts w:hint="eastAsia"/>
                <w:kern w:val="0"/>
              </w:rPr>
              <w:t>＜</w:t>
            </w:r>
            <w:r>
              <w:rPr>
                <w:rFonts w:hint="eastAsia" w:ascii="Arial" w:hAnsi="Arial" w:cs="Arial"/>
                <w:spacing w:val="8"/>
              </w:rPr>
              <w:t>2.0</w:t>
            </w:r>
          </w:p>
        </w:tc>
        <w:tc>
          <w:tcPr>
            <w:tcW w:w="298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2</w:t>
            </w:r>
          </w:p>
        </w:tc>
        <w:tc>
          <w:tcPr>
            <w:tcW w:w="3398"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rPr>
              <w:t>2.0</w:t>
            </w:r>
            <w:r>
              <w:rPr>
                <w:rFonts w:hint="eastAsia"/>
                <w:kern w:val="0"/>
              </w:rPr>
              <w:t>≤</w:t>
            </w:r>
            <w:r>
              <w:rPr>
                <w:rFonts w:ascii="Arial" w:hAnsi="Arial" w:cs="Arial"/>
                <w:spacing w:val="8"/>
              </w:rPr>
              <w:t>Φ</w:t>
            </w:r>
            <w:r>
              <w:rPr>
                <w:rFonts w:hint="eastAsia"/>
                <w:kern w:val="0"/>
              </w:rPr>
              <w:t>＜5.0</w:t>
            </w:r>
          </w:p>
        </w:tc>
        <w:tc>
          <w:tcPr>
            <w:tcW w:w="298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6</w:t>
            </w:r>
          </w:p>
        </w:tc>
        <w:tc>
          <w:tcPr>
            <w:tcW w:w="3398"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rPr>
              <w:t>5.0</w:t>
            </w:r>
            <w:r>
              <w:rPr>
                <w:rFonts w:hint="eastAsia"/>
                <w:kern w:val="0"/>
              </w:rPr>
              <w:t>≤</w:t>
            </w:r>
            <w:r>
              <w:rPr>
                <w:rFonts w:ascii="Arial" w:hAnsi="Arial" w:cs="Arial"/>
                <w:spacing w:val="8"/>
              </w:rPr>
              <w:t>Φ</w:t>
            </w:r>
            <w:r>
              <w:rPr>
                <w:rFonts w:hint="eastAsia"/>
                <w:kern w:val="0"/>
              </w:rPr>
              <w:t>＜10.0</w:t>
            </w:r>
          </w:p>
        </w:tc>
        <w:tc>
          <w:tcPr>
            <w:tcW w:w="298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11</w:t>
            </w:r>
          </w:p>
        </w:tc>
        <w:tc>
          <w:tcPr>
            <w:tcW w:w="3398"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rPr>
              <w:t>10.0</w:t>
            </w:r>
            <w:r>
              <w:rPr>
                <w:rFonts w:hint="eastAsia"/>
                <w:kern w:val="0"/>
              </w:rPr>
              <w:t>≤</w:t>
            </w:r>
            <w:r>
              <w:rPr>
                <w:rFonts w:ascii="Arial" w:hAnsi="Arial" w:cs="Arial"/>
                <w:spacing w:val="8"/>
              </w:rPr>
              <w:t>Φ</w:t>
            </w:r>
            <w:r>
              <w:rPr>
                <w:rFonts w:hint="eastAsia"/>
                <w:kern w:val="0"/>
              </w:rPr>
              <w:t>＜15.0</w:t>
            </w:r>
          </w:p>
        </w:tc>
        <w:tc>
          <w:tcPr>
            <w:tcW w:w="298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21</w:t>
            </w:r>
          </w:p>
        </w:tc>
        <w:tc>
          <w:tcPr>
            <w:tcW w:w="3398"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rPr>
              <w:t>1</w:t>
            </w:r>
            <w:r>
              <w:rPr>
                <w:rFonts w:hint="eastAsia"/>
                <w:kern w:val="0"/>
              </w:rPr>
              <w:t>5</w:t>
            </w:r>
            <w:r>
              <w:rPr>
                <w:kern w:val="0"/>
              </w:rPr>
              <w:t>.0</w:t>
            </w:r>
            <w:r>
              <w:rPr>
                <w:rFonts w:hint="eastAsia"/>
                <w:kern w:val="0"/>
              </w:rPr>
              <w:t>≤</w:t>
            </w:r>
            <w:r>
              <w:rPr>
                <w:rFonts w:ascii="Arial" w:hAnsi="Arial" w:cs="Arial"/>
                <w:spacing w:val="8"/>
              </w:rPr>
              <w:t>Φ</w:t>
            </w:r>
            <w:r>
              <w:rPr>
                <w:rFonts w:hint="eastAsia"/>
                <w:kern w:val="0"/>
              </w:rPr>
              <w:t>＜20.0</w:t>
            </w:r>
          </w:p>
        </w:tc>
        <w:tc>
          <w:tcPr>
            <w:tcW w:w="298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25</w:t>
            </w:r>
          </w:p>
        </w:tc>
        <w:tc>
          <w:tcPr>
            <w:tcW w:w="3398"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rPr>
              <w:t>20</w:t>
            </w:r>
            <w:r>
              <w:rPr>
                <w:kern w:val="0"/>
              </w:rPr>
              <w:t>.0</w:t>
            </w:r>
            <w:r>
              <w:rPr>
                <w:rFonts w:hint="eastAsia"/>
                <w:kern w:val="0"/>
              </w:rPr>
              <w:t>≤</w:t>
            </w:r>
            <w:r>
              <w:rPr>
                <w:rFonts w:ascii="Arial" w:hAnsi="Arial" w:cs="Arial"/>
                <w:spacing w:val="8"/>
              </w:rPr>
              <w:t>Φ</w:t>
            </w:r>
            <w:r>
              <w:rPr>
                <w:rFonts w:hint="eastAsia"/>
                <w:kern w:val="0"/>
              </w:rPr>
              <w:t>＜25.0</w:t>
            </w:r>
          </w:p>
        </w:tc>
        <w:tc>
          <w:tcPr>
            <w:tcW w:w="298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34</w:t>
            </w:r>
          </w:p>
        </w:tc>
        <w:tc>
          <w:tcPr>
            <w:tcW w:w="3398"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rPr>
              <w:t>25.0</w:t>
            </w:r>
            <w:r>
              <w:rPr>
                <w:rFonts w:hint="eastAsia"/>
                <w:kern w:val="0"/>
              </w:rPr>
              <w:t>≤</w:t>
            </w:r>
            <w:r>
              <w:rPr>
                <w:rFonts w:ascii="Arial" w:hAnsi="Arial" w:cs="Arial"/>
                <w:spacing w:val="8"/>
              </w:rPr>
              <w:t>Φ</w:t>
            </w:r>
            <w:r>
              <w:rPr>
                <w:rFonts w:hint="eastAsia"/>
                <w:kern w:val="0"/>
              </w:rPr>
              <w:t>＜30.0</w:t>
            </w:r>
          </w:p>
        </w:tc>
        <w:tc>
          <w:tcPr>
            <w:tcW w:w="298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60</w:t>
            </w:r>
          </w:p>
        </w:tc>
        <w:tc>
          <w:tcPr>
            <w:tcW w:w="3398"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rPr>
              <w:t>3</w:t>
            </w:r>
            <w:r>
              <w:rPr>
                <w:rFonts w:hint="eastAsia"/>
                <w:kern w:val="0"/>
              </w:rPr>
              <w:t>0.0</w:t>
            </w:r>
            <w:r>
              <w:rPr>
                <w:rFonts w:hAnsi="宋体"/>
                <w:kern w:val="0"/>
              </w:rPr>
              <w:t>以上</w:t>
            </w:r>
          </w:p>
        </w:tc>
        <w:tc>
          <w:tcPr>
            <w:tcW w:w="2989"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90</w:t>
            </w:r>
          </w:p>
        </w:tc>
        <w:tc>
          <w:tcPr>
            <w:tcW w:w="3398" w:type="dxa"/>
            <w:tcBorders>
              <w:top w:val="single" w:color="auto" w:sz="4" w:space="0"/>
              <w:left w:val="nil"/>
              <w:bottom w:val="single" w:color="auto" w:sz="4" w:space="0"/>
              <w:right w:val="single" w:color="auto" w:sz="4" w:space="0"/>
            </w:tcBorders>
            <w:vAlign w:val="center"/>
          </w:tcPr>
          <w:p>
            <w:pPr>
              <w:widowControl/>
              <w:jc w:val="center"/>
              <w:rPr>
                <w:kern w:val="0"/>
                <w:szCs w:val="21"/>
              </w:rPr>
            </w:pPr>
            <w:r>
              <w:rPr>
                <w:rFonts w:hint="eastAsia"/>
              </w:rPr>
              <w:t>260</w:t>
            </w:r>
          </w:p>
        </w:tc>
      </w:tr>
    </w:tbl>
    <w:p>
      <w:pPr>
        <w:spacing w:line="440" w:lineRule="exact"/>
        <w:rPr>
          <w:rFonts w:ascii="宋体" w:hAnsi="宋体"/>
          <w:szCs w:val="21"/>
        </w:rPr>
      </w:pPr>
      <w:r>
        <w:rPr>
          <w:rFonts w:hint="eastAsia" w:ascii="宋体" w:hAnsi="宋体"/>
        </w:rPr>
        <w:t>注：1、测量树木主干直径从地面1米处计算（高度小于1米不予计算）；</w:t>
      </w:r>
    </w:p>
    <w:p>
      <w:pPr>
        <w:spacing w:line="440" w:lineRule="exact"/>
        <w:ind w:firstLine="315" w:firstLineChars="150"/>
        <w:rPr>
          <w:rFonts w:ascii="宋体" w:hAnsi="宋体"/>
        </w:rPr>
      </w:pPr>
      <w:r>
        <w:rPr>
          <w:rFonts w:hint="eastAsia" w:ascii="宋体" w:hAnsi="宋体"/>
        </w:rPr>
        <w:t xml:space="preserve"> 2、树木密度超过每平方米7棵，按面积补偿：一般树木5元/平方米，果树8元/平方米；</w:t>
      </w:r>
    </w:p>
    <w:p>
      <w:pPr>
        <w:spacing w:line="440" w:lineRule="exact"/>
        <w:ind w:firstLine="435"/>
        <w:rPr>
          <w:rFonts w:ascii="宋体" w:hAnsi="宋体"/>
        </w:rPr>
      </w:pPr>
      <w:r>
        <w:rPr>
          <w:rFonts w:hint="eastAsia" w:ascii="宋体" w:hAnsi="宋体"/>
        </w:rPr>
        <w:t>3、风景树、花木、桑园、竹园等比照果树标准赔偿；</w:t>
      </w:r>
    </w:p>
    <w:p>
      <w:pPr>
        <w:spacing w:line="440" w:lineRule="exact"/>
        <w:ind w:firstLine="435"/>
        <w:rPr>
          <w:rFonts w:ascii="宋体" w:hAnsi="宋体"/>
        </w:rPr>
      </w:pPr>
      <w:r>
        <w:rPr>
          <w:rFonts w:hint="eastAsia" w:ascii="宋体" w:hAnsi="宋体"/>
        </w:rPr>
        <w:t>4、移植、砍伐树木归原主；</w:t>
      </w:r>
    </w:p>
    <w:p>
      <w:pPr>
        <w:spacing w:line="440" w:lineRule="exact"/>
        <w:ind w:firstLine="435"/>
        <w:rPr>
          <w:rFonts w:ascii="宋体" w:hAnsi="宋体"/>
        </w:rPr>
      </w:pPr>
      <w:r>
        <w:rPr>
          <w:rFonts w:hint="eastAsia" w:ascii="宋体" w:hAnsi="宋体"/>
        </w:rPr>
        <w:t>5、对于珍稀树种、观赏树木5cm＜Φ≤13cm以果树两倍标准补偿，Φ＞13cm以果树三倍标准补偿；</w:t>
      </w:r>
    </w:p>
    <w:p>
      <w:pPr>
        <w:spacing w:line="440" w:lineRule="exact"/>
        <w:ind w:firstLine="435"/>
        <w:rPr>
          <w:rFonts w:ascii="宋体" w:hAnsi="宋体"/>
        </w:rPr>
      </w:pPr>
      <w:r>
        <w:rPr>
          <w:rFonts w:hint="eastAsia" w:ascii="宋体" w:hAnsi="宋体"/>
        </w:rPr>
        <w:t>6、葡萄树幼苗10元/棵，成果50元/棵。</w:t>
      </w:r>
    </w:p>
    <w:p>
      <w:pPr>
        <w:spacing w:line="560" w:lineRule="exact"/>
        <w:ind w:firstLine="640" w:firstLineChars="200"/>
        <w:rPr>
          <w:rFonts w:ascii="黑体" w:eastAsia="黑体"/>
          <w:sz w:val="32"/>
          <w:szCs w:val="32"/>
        </w:rPr>
      </w:pPr>
      <w:r>
        <w:rPr>
          <w:rFonts w:hint="eastAsia" w:ascii="黑体" w:hAnsi="黑体" w:eastAsia="黑体"/>
          <w:sz w:val="32"/>
          <w:szCs w:val="32"/>
        </w:rPr>
        <w:t>六、农田水利、电力设施补偿标准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344"/>
        <w:gridCol w:w="3060"/>
        <w:gridCol w:w="90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Cs w:val="21"/>
              </w:rPr>
            </w:pPr>
            <w:r>
              <w:rPr>
                <w:rFonts w:hint="eastAsia"/>
                <w:b/>
              </w:rPr>
              <w:t>类别</w:t>
            </w:r>
          </w:p>
        </w:tc>
        <w:tc>
          <w:tcPr>
            <w:tcW w:w="2344" w:type="dxa"/>
            <w:tcBorders>
              <w:top w:val="single" w:color="auto" w:sz="4" w:space="0"/>
              <w:left w:val="nil"/>
              <w:bottom w:val="single" w:color="auto" w:sz="4" w:space="0"/>
              <w:right w:val="single" w:color="auto" w:sz="4" w:space="0"/>
            </w:tcBorders>
            <w:vAlign w:val="center"/>
          </w:tcPr>
          <w:p>
            <w:pPr>
              <w:spacing w:line="300" w:lineRule="exact"/>
              <w:jc w:val="center"/>
              <w:rPr>
                <w:b/>
                <w:szCs w:val="21"/>
              </w:rPr>
            </w:pPr>
            <w:r>
              <w:rPr>
                <w:rFonts w:hint="eastAsia"/>
                <w:b/>
              </w:rPr>
              <w:t>名称</w:t>
            </w:r>
          </w:p>
        </w:tc>
        <w:tc>
          <w:tcPr>
            <w:tcW w:w="3060" w:type="dxa"/>
            <w:tcBorders>
              <w:top w:val="single" w:color="auto" w:sz="4" w:space="0"/>
              <w:left w:val="nil"/>
              <w:bottom w:val="single" w:color="auto" w:sz="4" w:space="0"/>
              <w:right w:val="single" w:color="auto" w:sz="4" w:space="0"/>
            </w:tcBorders>
            <w:vAlign w:val="center"/>
          </w:tcPr>
          <w:p>
            <w:pPr>
              <w:spacing w:line="300" w:lineRule="exact"/>
              <w:jc w:val="center"/>
              <w:rPr>
                <w:b/>
                <w:szCs w:val="21"/>
              </w:rPr>
            </w:pPr>
            <w:r>
              <w:rPr>
                <w:rFonts w:hint="eastAsia"/>
                <w:b/>
              </w:rPr>
              <w:t>规格</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b/>
                <w:szCs w:val="21"/>
              </w:rPr>
            </w:pPr>
            <w:r>
              <w:rPr>
                <w:rFonts w:hint="eastAsia"/>
                <w:b/>
              </w:rPr>
              <w:t>单位</w:t>
            </w:r>
          </w:p>
        </w:tc>
        <w:tc>
          <w:tcPr>
            <w:tcW w:w="1827" w:type="dxa"/>
            <w:tcBorders>
              <w:top w:val="single" w:color="auto" w:sz="4" w:space="0"/>
              <w:left w:val="nil"/>
              <w:bottom w:val="single" w:color="auto" w:sz="4" w:space="0"/>
              <w:right w:val="single" w:color="auto" w:sz="4" w:space="0"/>
            </w:tcBorders>
            <w:vAlign w:val="center"/>
          </w:tcPr>
          <w:p>
            <w:pPr>
              <w:spacing w:line="300" w:lineRule="exact"/>
              <w:jc w:val="center"/>
              <w:rPr>
                <w:b/>
                <w:szCs w:val="21"/>
              </w:rPr>
            </w:pPr>
            <w:r>
              <w:rPr>
                <w:rFonts w:hint="eastAsia"/>
                <w:b/>
              </w:rPr>
              <w:t>补偿标准（元）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2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ˎ̥" w:hAnsi="ˎ̥"/>
                <w:spacing w:val="24"/>
                <w:kern w:val="0"/>
                <w:szCs w:val="21"/>
              </w:rPr>
            </w:pPr>
            <w:r>
              <w:rPr>
                <w:rFonts w:hint="eastAsia" w:ascii="ˎ̥" w:hAnsi="ˎ̥"/>
                <w:spacing w:val="24"/>
                <w:kern w:val="0"/>
              </w:rPr>
              <w:t>明沟</w:t>
            </w:r>
          </w:p>
        </w:tc>
        <w:tc>
          <w:tcPr>
            <w:tcW w:w="234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ˎ̥" w:hAnsi="ˎ̥"/>
                <w:spacing w:val="24"/>
                <w:kern w:val="0"/>
                <w:szCs w:val="21"/>
              </w:rPr>
            </w:pPr>
            <w:r>
              <w:rPr>
                <w:rFonts w:hint="eastAsia" w:ascii="ˎ̥" w:hAnsi="ˎ̥"/>
                <w:spacing w:val="24"/>
                <w:kern w:val="0"/>
              </w:rPr>
              <w:t>浆砌石块</w:t>
            </w:r>
          </w:p>
        </w:tc>
        <w:tc>
          <w:tcPr>
            <w:tcW w:w="3060" w:type="dxa"/>
            <w:tcBorders>
              <w:top w:val="single" w:color="auto" w:sz="4" w:space="0"/>
              <w:left w:val="nil"/>
              <w:bottom w:val="single" w:color="auto" w:sz="4" w:space="0"/>
              <w:right w:val="single" w:color="auto" w:sz="4" w:space="0"/>
            </w:tcBorders>
            <w:vAlign w:val="center"/>
          </w:tcPr>
          <w:p>
            <w:pPr>
              <w:spacing w:line="300" w:lineRule="exact"/>
              <w:rPr>
                <w:rFonts w:ascii="宋体" w:hAnsi="宋体"/>
                <w:kern w:val="0"/>
                <w:szCs w:val="21"/>
              </w:rPr>
            </w:pPr>
            <w:r>
              <w:rPr>
                <w:rFonts w:hint="eastAsia"/>
              </w:rPr>
              <w:t>明沟横截面为梯形，沟渠上口宽2</w:t>
            </w:r>
            <w:r>
              <w:rPr>
                <w:rFonts w:hint="eastAsia" w:ascii="宋体" w:hAnsi="宋体"/>
              </w:rPr>
              <w:t>米，深</w:t>
            </w:r>
            <w:r>
              <w:rPr>
                <w:rFonts w:hint="eastAsia"/>
              </w:rPr>
              <w:t>1.5</w:t>
            </w:r>
            <w:r>
              <w:rPr>
                <w:rFonts w:hint="eastAsia" w:ascii="宋体" w:hAnsi="宋体"/>
              </w:rPr>
              <w:t>米，沟底边宽</w:t>
            </w:r>
            <w:r>
              <w:rPr>
                <w:rFonts w:hint="eastAsia"/>
              </w:rPr>
              <w:t>1</w:t>
            </w:r>
            <w:r>
              <w:rPr>
                <w:rFonts w:hint="eastAsia" w:ascii="宋体" w:hAnsi="宋体"/>
              </w:rPr>
              <w:t>米，沿明沟内表面砌</w:t>
            </w:r>
            <w:r>
              <w:rPr>
                <w:rFonts w:hint="eastAsia"/>
              </w:rPr>
              <w:t>20</w:t>
            </w:r>
            <w:r>
              <w:rPr>
                <w:rFonts w:hint="eastAsia" w:ascii="宋体" w:hAnsi="宋体"/>
              </w:rPr>
              <w:t>厘米厚片石。</w:t>
            </w:r>
          </w:p>
        </w:tc>
        <w:tc>
          <w:tcPr>
            <w:tcW w:w="90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 w:val="24"/>
                <w:szCs w:val="24"/>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hAnsi="宋体"/>
                <w:kern w:val="0"/>
                <w:szCs w:val="21"/>
              </w:rPr>
            </w:pPr>
            <w:r>
              <w:rPr>
                <w:rFonts w:hint="eastAsia" w:ascii="宋体" w:hAnsi="宋体"/>
                <w:kern w:val="0"/>
              </w:rPr>
              <w:t>100～150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ˎ̥" w:hAnsi="ˎ̥"/>
                <w:spacing w:val="24"/>
                <w:kern w:val="0"/>
                <w:szCs w:val="21"/>
              </w:rPr>
            </w:pPr>
            <w:r>
              <w:rPr>
                <w:rFonts w:hint="eastAsia" w:ascii="ˎ̥" w:hAnsi="ˎ̥"/>
                <w:spacing w:val="24"/>
                <w:kern w:val="0"/>
              </w:rPr>
              <w:t>砖砌石块</w:t>
            </w:r>
          </w:p>
        </w:tc>
        <w:tc>
          <w:tcPr>
            <w:tcW w:w="3060" w:type="dxa"/>
            <w:tcBorders>
              <w:top w:val="single" w:color="auto" w:sz="4" w:space="0"/>
              <w:left w:val="nil"/>
              <w:bottom w:val="single" w:color="auto" w:sz="4" w:space="0"/>
              <w:right w:val="single" w:color="auto" w:sz="4" w:space="0"/>
            </w:tcBorders>
            <w:vAlign w:val="center"/>
          </w:tcPr>
          <w:p>
            <w:pPr>
              <w:spacing w:line="300" w:lineRule="exact"/>
              <w:rPr>
                <w:rFonts w:ascii="宋体" w:hAnsi="宋体"/>
                <w:kern w:val="0"/>
                <w:szCs w:val="21"/>
              </w:rPr>
            </w:pPr>
            <w:r>
              <w:rPr>
                <w:rFonts w:hint="eastAsia"/>
              </w:rPr>
              <w:t>明沟横截面为梯形，沟渠上口宽2</w:t>
            </w:r>
            <w:r>
              <w:rPr>
                <w:rFonts w:hint="eastAsia" w:ascii="宋体" w:hAnsi="宋体"/>
              </w:rPr>
              <w:t>米，深</w:t>
            </w:r>
            <w:r>
              <w:rPr>
                <w:rFonts w:hint="eastAsia"/>
              </w:rPr>
              <w:t>1</w:t>
            </w:r>
            <w:r>
              <w:rPr>
                <w:rFonts w:hint="eastAsia" w:ascii="宋体" w:hAnsi="宋体"/>
              </w:rPr>
              <w:t>米，沟底边宽</w:t>
            </w:r>
            <w:r>
              <w:rPr>
                <w:rFonts w:hint="eastAsia"/>
              </w:rPr>
              <w:t>1</w:t>
            </w:r>
            <w:r>
              <w:rPr>
                <w:rFonts w:hint="eastAsia" w:ascii="宋体" w:hAnsi="宋体"/>
              </w:rPr>
              <w:t>米，沿明沟内表面砌</w:t>
            </w:r>
            <w:r>
              <w:rPr>
                <w:rFonts w:hint="eastAsia"/>
              </w:rPr>
              <w:t>24</w:t>
            </w:r>
            <w:r>
              <w:rPr>
                <w:rFonts w:hint="eastAsia" w:ascii="宋体" w:hAnsi="宋体"/>
              </w:rPr>
              <w:t>砖、抹水泥砖浆。</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kern w:val="0"/>
                <w:szCs w:val="21"/>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kern w:val="0"/>
                <w:szCs w:val="21"/>
              </w:rPr>
            </w:pPr>
            <w:r>
              <w:rPr>
                <w:rFonts w:hint="eastAsia" w:ascii="宋体" w:hAnsi="宋体"/>
                <w:kern w:val="0"/>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ˎ̥" w:hAnsi="ˎ̥"/>
                <w:spacing w:val="24"/>
                <w:kern w:val="0"/>
                <w:szCs w:val="21"/>
              </w:rPr>
            </w:pPr>
            <w:r>
              <w:rPr>
                <w:rFonts w:hint="eastAsia" w:ascii="ˎ̥" w:hAnsi="ˎ̥"/>
                <w:spacing w:val="24"/>
                <w:kern w:val="0"/>
              </w:rPr>
              <w:t>井</w:t>
            </w:r>
          </w:p>
        </w:tc>
        <w:tc>
          <w:tcPr>
            <w:tcW w:w="2344" w:type="dxa"/>
            <w:tcBorders>
              <w:top w:val="single" w:color="auto" w:sz="4" w:space="0"/>
              <w:left w:val="nil"/>
              <w:bottom w:val="single" w:color="auto" w:sz="4" w:space="0"/>
              <w:right w:val="single" w:color="auto" w:sz="4" w:space="0"/>
            </w:tcBorders>
            <w:vAlign w:val="center"/>
          </w:tcPr>
          <w:p>
            <w:pPr>
              <w:spacing w:line="360" w:lineRule="exact"/>
              <w:rPr>
                <w:rFonts w:hint="eastAsia" w:ascii="ˎ̥" w:hAnsi="ˎ̥"/>
                <w:spacing w:val="24"/>
                <w:kern w:val="0"/>
                <w:szCs w:val="21"/>
              </w:rPr>
            </w:pPr>
            <w:r>
              <w:rPr>
                <w:rFonts w:hint="eastAsia" w:ascii="ˎ̥" w:hAnsi="ˎ̥"/>
                <w:spacing w:val="24"/>
                <w:kern w:val="0"/>
              </w:rPr>
              <w:t>机井（深</w:t>
            </w:r>
            <w:r>
              <w:rPr>
                <w:rFonts w:hint="eastAsia" w:ascii="宋体" w:hAnsi="宋体"/>
                <w:spacing w:val="24"/>
                <w:kern w:val="0"/>
              </w:rPr>
              <w:t>≥</w:t>
            </w:r>
            <w:r>
              <w:rPr>
                <w:rFonts w:hint="eastAsia" w:ascii="ˎ̥" w:hAnsi="ˎ̥"/>
                <w:spacing w:val="24"/>
                <w:kern w:val="0"/>
              </w:rPr>
              <w:t>30</w:t>
            </w:r>
            <w:r>
              <w:rPr>
                <w:rFonts w:hint="eastAsia" w:ascii="宋体" w:hAnsi="宋体"/>
                <w:spacing w:val="24"/>
                <w:kern w:val="0"/>
              </w:rPr>
              <w:t>米）</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眼</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kern w:val="0"/>
                <w:szCs w:val="21"/>
              </w:rPr>
            </w:pPr>
            <w:r>
              <w:rPr>
                <w:rFonts w:hint="eastAsia" w:ascii="ˎ̥" w:hAnsi="ˎ̥"/>
                <w:spacing w:val="24"/>
                <w:kern w:val="0"/>
              </w:rPr>
              <w:t>机井（深</w:t>
            </w:r>
            <w:r>
              <w:rPr>
                <w:rFonts w:hint="eastAsia" w:ascii="宋体" w:hAnsi="宋体"/>
                <w:spacing w:val="24"/>
                <w:kern w:val="0"/>
              </w:rPr>
              <w:t>＜</w:t>
            </w:r>
            <w:r>
              <w:rPr>
                <w:rFonts w:hint="eastAsia" w:ascii="ˎ̥" w:hAnsi="ˎ̥"/>
                <w:spacing w:val="24"/>
                <w:kern w:val="0"/>
              </w:rPr>
              <w:t>30</w:t>
            </w:r>
            <w:r>
              <w:rPr>
                <w:rFonts w:hint="eastAsia" w:ascii="宋体" w:hAnsi="宋体"/>
                <w:spacing w:val="24"/>
                <w:kern w:val="0"/>
              </w:rPr>
              <w:t>米）</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szCs w:val="21"/>
              </w:rPr>
            </w:pPr>
            <w:r>
              <w:rPr>
                <w:rFonts w:hint="eastAsia" w:ascii="宋体" w:hAnsi="宋体"/>
                <w:kern w:val="0"/>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砖井（</w:t>
            </w:r>
            <w:r>
              <w:rPr>
                <w:rFonts w:ascii="Arial" w:hAnsi="Arial" w:cs="Arial"/>
                <w:spacing w:val="8"/>
              </w:rPr>
              <w:t>Φ</w:t>
            </w:r>
            <w:r>
              <w:rPr>
                <w:rFonts w:hint="eastAsia" w:ascii="Arial" w:hAnsi="Arial" w:cs="Arial"/>
                <w:spacing w:val="8"/>
              </w:rPr>
              <w:t>≥30cm</w:t>
            </w:r>
            <w:r>
              <w:rPr>
                <w:rFonts w:hint="eastAsia" w:ascii="ˎ̥" w:hAnsi="ˎ̥"/>
                <w:spacing w:val="24"/>
                <w:kern w:val="0"/>
              </w:rPr>
              <w:t>）</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砖井（</w:t>
            </w:r>
            <w:r>
              <w:rPr>
                <w:rFonts w:ascii="Arial" w:hAnsi="Arial" w:cs="Arial"/>
                <w:spacing w:val="8"/>
              </w:rPr>
              <w:t>Φ</w:t>
            </w:r>
            <w:r>
              <w:rPr>
                <w:rFonts w:hint="eastAsia" w:ascii="Arial" w:hAnsi="Arial" w:cs="Arial"/>
                <w:spacing w:val="8"/>
              </w:rPr>
              <w:t>＜30cm</w:t>
            </w:r>
            <w:r>
              <w:rPr>
                <w:rFonts w:hint="eastAsia" w:ascii="ˎ̥" w:hAnsi="ˎ̥"/>
                <w:spacing w:val="24"/>
                <w:kern w:val="0"/>
              </w:rPr>
              <w:t>）</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szCs w:val="21"/>
              </w:rPr>
            </w:pPr>
            <w:r>
              <w:rPr>
                <w:rFonts w:hint="eastAsia" w:ascii="宋体" w:hAnsi="宋体"/>
                <w:kern w:val="0"/>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小口井（深</w:t>
            </w:r>
            <w:r>
              <w:rPr>
                <w:rFonts w:hint="eastAsia" w:ascii="宋体" w:hAnsi="宋体"/>
                <w:spacing w:val="24"/>
                <w:kern w:val="0"/>
              </w:rPr>
              <w:t>≥</w:t>
            </w:r>
            <w:r>
              <w:rPr>
                <w:rFonts w:hint="eastAsia" w:ascii="ˎ̥" w:hAnsi="ˎ̥"/>
                <w:spacing w:val="24"/>
                <w:kern w:val="0"/>
              </w:rPr>
              <w:t>15</w:t>
            </w:r>
            <w:r>
              <w:rPr>
                <w:rFonts w:hint="eastAsia" w:ascii="宋体" w:hAnsi="宋体"/>
                <w:spacing w:val="24"/>
                <w:kern w:val="0"/>
              </w:rPr>
              <w:t>米）</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c>
          <w:tcPr>
            <w:tcW w:w="90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眼</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小口井（深</w:t>
            </w:r>
            <w:r>
              <w:rPr>
                <w:rFonts w:hint="eastAsia" w:ascii="Arial" w:hAnsi="Arial" w:cs="Arial"/>
                <w:spacing w:val="8"/>
              </w:rPr>
              <w:t>＜</w:t>
            </w:r>
            <w:r>
              <w:rPr>
                <w:rFonts w:hint="eastAsia" w:ascii="ˎ̥" w:hAnsi="ˎ̥"/>
                <w:spacing w:val="24"/>
                <w:kern w:val="0"/>
              </w:rPr>
              <w:t>15</w:t>
            </w:r>
            <w:r>
              <w:rPr>
                <w:rFonts w:hint="eastAsia" w:ascii="宋体" w:hAnsi="宋体"/>
                <w:spacing w:val="24"/>
                <w:kern w:val="0"/>
              </w:rPr>
              <w:t>米）</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c>
          <w:tcPr>
            <w:tcW w:w="90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手压井</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p>
        </w:tc>
        <w:tc>
          <w:tcPr>
            <w:tcW w:w="90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眼</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2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ˎ̥" w:hAnsi="ˎ̥"/>
                <w:spacing w:val="24"/>
                <w:kern w:val="0"/>
                <w:szCs w:val="21"/>
              </w:rPr>
            </w:pPr>
            <w:r>
              <w:rPr>
                <w:rFonts w:hint="eastAsia" w:ascii="ˎ̥" w:hAnsi="ˎ̥"/>
                <w:spacing w:val="24"/>
                <w:kern w:val="0"/>
              </w:rPr>
              <w:t>涵</w:t>
            </w:r>
          </w:p>
          <w:p>
            <w:pPr>
              <w:widowControl/>
              <w:spacing w:line="300" w:lineRule="exact"/>
              <w:jc w:val="center"/>
              <w:rPr>
                <w:rFonts w:hint="eastAsia" w:ascii="ˎ̥" w:hAnsi="ˎ̥"/>
                <w:spacing w:val="24"/>
                <w:kern w:val="0"/>
                <w:szCs w:val="21"/>
              </w:rPr>
            </w:pPr>
            <w:r>
              <w:rPr>
                <w:rFonts w:hint="eastAsia" w:ascii="ˎ̥" w:hAnsi="ˎ̥"/>
                <w:spacing w:val="24"/>
                <w:kern w:val="0"/>
              </w:rPr>
              <w:t>洞</w:t>
            </w: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盖板涵夸径（1.2</w:t>
            </w:r>
            <w:r>
              <w:rPr>
                <w:rFonts w:hint="eastAsia" w:ascii="宋体" w:hAnsi="宋体"/>
                <w:spacing w:val="24"/>
                <w:kern w:val="0"/>
              </w:rPr>
              <w:t>米以下）</w:t>
            </w:r>
          </w:p>
        </w:tc>
        <w:tc>
          <w:tcPr>
            <w:tcW w:w="3060" w:type="dxa"/>
            <w:tcBorders>
              <w:top w:val="single" w:color="auto" w:sz="4" w:space="0"/>
              <w:left w:val="nil"/>
              <w:bottom w:val="single" w:color="auto" w:sz="4" w:space="0"/>
              <w:right w:val="single" w:color="auto" w:sz="4" w:space="0"/>
            </w:tcBorders>
            <w:vAlign w:val="center"/>
          </w:tcPr>
          <w:p>
            <w:pPr>
              <w:spacing w:line="360" w:lineRule="exact"/>
              <w:rPr>
                <w:rFonts w:ascii="宋体" w:hAnsi="宋体"/>
                <w:kern w:val="0"/>
                <w:szCs w:val="21"/>
              </w:rPr>
            </w:pPr>
            <w:r>
              <w:rPr>
                <w:rFonts w:hint="eastAsia"/>
              </w:rPr>
              <w:t>无涵管，底面铺0.5</w:t>
            </w:r>
            <w:r>
              <w:rPr>
                <w:rFonts w:hint="eastAsia" w:ascii="宋体" w:hAnsi="宋体"/>
              </w:rPr>
              <w:t>米厚毛石，毛石面上做</w:t>
            </w:r>
            <w:r>
              <w:rPr>
                <w:rFonts w:hint="eastAsia"/>
              </w:rPr>
              <w:t>0.2</w:t>
            </w:r>
            <w:r>
              <w:rPr>
                <w:rFonts w:hint="eastAsia" w:ascii="宋体" w:hAnsi="宋体"/>
              </w:rPr>
              <w:t>米厚混凝土，两侧砌</w:t>
            </w:r>
            <w:r>
              <w:rPr>
                <w:rFonts w:hint="eastAsia"/>
              </w:rPr>
              <w:t>0.4</w:t>
            </w:r>
            <w:r>
              <w:rPr>
                <w:rFonts w:hint="eastAsia" w:ascii="宋体" w:hAnsi="宋体"/>
              </w:rPr>
              <w:t>米厚毛石墙。</w:t>
            </w:r>
          </w:p>
        </w:tc>
        <w:tc>
          <w:tcPr>
            <w:tcW w:w="90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 w:val="24"/>
                <w:szCs w:val="24"/>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180～240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拱涵夸径（1.2</w:t>
            </w:r>
            <w:r>
              <w:rPr>
                <w:rFonts w:hint="eastAsia" w:ascii="宋体" w:hAnsi="宋体"/>
                <w:spacing w:val="24"/>
                <w:kern w:val="0"/>
              </w:rPr>
              <w:t>米以下）</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rPr>
              <w:t>涵管直径1.2</w:t>
            </w:r>
            <w:r>
              <w:rPr>
                <w:rFonts w:hint="eastAsia" w:ascii="宋体" w:hAnsi="宋体"/>
              </w:rPr>
              <w:t>米，下铺</w:t>
            </w:r>
            <w:r>
              <w:rPr>
                <w:rFonts w:hint="eastAsia"/>
              </w:rPr>
              <w:t>0.5</w:t>
            </w:r>
            <w:r>
              <w:rPr>
                <w:rFonts w:hint="eastAsia" w:ascii="宋体" w:hAnsi="宋体"/>
              </w:rPr>
              <w:t>米厚毛石，毛石面上做</w:t>
            </w:r>
            <w:r>
              <w:rPr>
                <w:rFonts w:hint="eastAsia"/>
              </w:rPr>
              <w:t>0.2</w:t>
            </w:r>
            <w:r>
              <w:rPr>
                <w:rFonts w:hint="eastAsia" w:ascii="宋体" w:hAnsi="宋体"/>
              </w:rPr>
              <w:t>米厚混凝土，两侧砌</w:t>
            </w:r>
            <w:r>
              <w:rPr>
                <w:rFonts w:hint="eastAsia"/>
              </w:rPr>
              <w:t>0.4</w:t>
            </w:r>
            <w:r>
              <w:rPr>
                <w:rFonts w:hint="eastAsia" w:ascii="宋体" w:hAnsi="宋体"/>
              </w:rPr>
              <w:t>米厚毛石墙。</w:t>
            </w:r>
          </w:p>
        </w:tc>
        <w:tc>
          <w:tcPr>
            <w:tcW w:w="90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220～260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ˎ̥" w:hAnsi="ˎ̥"/>
                <w:spacing w:val="24"/>
                <w:kern w:val="0"/>
                <w:szCs w:val="21"/>
              </w:rPr>
            </w:pPr>
          </w:p>
          <w:p>
            <w:pPr>
              <w:widowControl/>
              <w:spacing w:line="300" w:lineRule="exact"/>
              <w:jc w:val="center"/>
              <w:rPr>
                <w:rFonts w:hint="eastAsia" w:ascii="ˎ̥" w:hAnsi="ˎ̥"/>
                <w:spacing w:val="24"/>
                <w:kern w:val="0"/>
              </w:rPr>
            </w:pPr>
            <w:r>
              <w:rPr>
                <w:rFonts w:hint="eastAsia" w:ascii="ˎ̥" w:hAnsi="ˎ̥"/>
                <w:spacing w:val="24"/>
                <w:kern w:val="0"/>
              </w:rPr>
              <w:t>涵</w:t>
            </w:r>
          </w:p>
          <w:p>
            <w:pPr>
              <w:widowControl/>
              <w:spacing w:line="300" w:lineRule="exact"/>
              <w:jc w:val="center"/>
              <w:rPr>
                <w:rFonts w:hint="eastAsia" w:ascii="ˎ̥" w:hAnsi="ˎ̥"/>
                <w:spacing w:val="24"/>
                <w:kern w:val="0"/>
              </w:rPr>
            </w:pPr>
            <w:r>
              <w:rPr>
                <w:rFonts w:hint="eastAsia" w:ascii="ˎ̥" w:hAnsi="ˎ̥"/>
                <w:spacing w:val="24"/>
                <w:kern w:val="0"/>
              </w:rPr>
              <w:t>管</w:t>
            </w:r>
          </w:p>
          <w:p>
            <w:pPr>
              <w:widowControl/>
              <w:spacing w:line="300" w:lineRule="exact"/>
              <w:jc w:val="center"/>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直径≥1</w:t>
            </w:r>
            <w:r>
              <w:rPr>
                <w:rFonts w:hint="eastAsia" w:ascii="宋体" w:hAnsi="宋体"/>
                <w:spacing w:val="24"/>
                <w:kern w:val="0"/>
              </w:rPr>
              <w:t>米</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sz w:val="24"/>
                <w:szCs w:val="24"/>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ˎ̥" w:hAnsi="ˎ̥"/>
                <w:spacing w:val="24"/>
                <w:kern w:val="0"/>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直径＜1</w:t>
            </w:r>
            <w:r>
              <w:rPr>
                <w:rFonts w:hint="eastAsia" w:ascii="宋体" w:hAnsi="宋体"/>
                <w:spacing w:val="24"/>
                <w:kern w:val="0"/>
              </w:rPr>
              <w:t>米</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2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ˎ̥" w:hAnsi="ˎ̥"/>
                <w:spacing w:val="24"/>
                <w:kern w:val="0"/>
                <w:szCs w:val="21"/>
              </w:rPr>
            </w:pPr>
            <w:r>
              <w:rPr>
                <w:rFonts w:hint="eastAsia" w:ascii="ˎ̥" w:hAnsi="ˎ̥"/>
                <w:spacing w:val="24"/>
                <w:kern w:val="0"/>
              </w:rPr>
              <w:t>电</w:t>
            </w:r>
          </w:p>
          <w:p>
            <w:pPr>
              <w:spacing w:line="300" w:lineRule="exact"/>
              <w:jc w:val="center"/>
              <w:rPr>
                <w:szCs w:val="21"/>
              </w:rPr>
            </w:pPr>
            <w:r>
              <w:rPr>
                <w:rFonts w:hint="eastAsia" w:ascii="ˎ̥" w:hAnsi="ˎ̥"/>
                <w:spacing w:val="24"/>
                <w:kern w:val="0"/>
              </w:rPr>
              <w:t>力</w:t>
            </w: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木杆、水泥杆</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sz w:val="24"/>
                <w:szCs w:val="24"/>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水泥行条</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sz w:val="24"/>
                <w:szCs w:val="24"/>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2344"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ˎ̥" w:hAnsi="ˎ̥"/>
                <w:spacing w:val="24"/>
                <w:kern w:val="0"/>
                <w:szCs w:val="21"/>
              </w:rPr>
            </w:pPr>
            <w:r>
              <w:rPr>
                <w:rFonts w:hint="eastAsia" w:ascii="ˎ̥" w:hAnsi="ˎ̥"/>
                <w:spacing w:val="24"/>
                <w:kern w:val="0"/>
              </w:rPr>
              <w:t>毛竹</w:t>
            </w:r>
          </w:p>
        </w:tc>
        <w:tc>
          <w:tcPr>
            <w:tcW w:w="306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kern w:val="0"/>
                <w:sz w:val="24"/>
                <w:szCs w:val="24"/>
              </w:rPr>
            </w:pPr>
            <w:r>
              <w:rPr>
                <w:rFonts w:hint="eastAsia" w:ascii="宋体" w:hAnsi="宋体"/>
                <w:kern w:val="0"/>
                <w:sz w:val="24"/>
                <w:szCs w:val="24"/>
              </w:rPr>
              <w:t>m</w:t>
            </w:r>
          </w:p>
        </w:tc>
        <w:tc>
          <w:tcPr>
            <w:tcW w:w="18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kern w:val="0"/>
                <w:szCs w:val="21"/>
              </w:rPr>
            </w:pPr>
            <w:r>
              <w:rPr>
                <w:rFonts w:hint="eastAsia" w:ascii="宋体" w:hAnsi="宋体"/>
                <w:kern w:val="0"/>
              </w:rPr>
              <w:t>30</w:t>
            </w:r>
          </w:p>
        </w:tc>
      </w:tr>
    </w:tbl>
    <w:p>
      <w:pPr>
        <w:spacing w:line="300" w:lineRule="exact"/>
        <w:ind w:firstLine="437"/>
        <w:rPr>
          <w:rFonts w:ascii="宋体" w:hAnsi="宋体"/>
          <w:szCs w:val="21"/>
        </w:rPr>
      </w:pPr>
      <w:r>
        <w:rPr>
          <w:rFonts w:hint="eastAsia" w:ascii="宋体" w:hAnsi="宋体"/>
        </w:rPr>
        <w:t>说明：1、对在特殊地质构造（如岩石）地区打凿的机井，按照水利部门相关规定的行业标准给予补偿。</w:t>
      </w:r>
    </w:p>
    <w:p>
      <w:pPr>
        <w:spacing w:line="300" w:lineRule="exact"/>
        <w:ind w:firstLine="437"/>
        <w:rPr>
          <w:rFonts w:ascii="宋体" w:hAnsi="宋体"/>
        </w:rPr>
      </w:pPr>
      <w:r>
        <w:rPr>
          <w:rFonts w:hint="eastAsia" w:ascii="宋体" w:hAnsi="宋体"/>
        </w:rPr>
        <w:t>2、对变压器，按照电力部门相关规定和行业标准给予补偿。电力、通讯设施类，继续使用的按迁建费补偿，废弃的设施不予补偿。</w:t>
      </w:r>
    </w:p>
    <w:p>
      <w:pPr>
        <w:spacing w:line="300" w:lineRule="exact"/>
        <w:ind w:firstLine="437"/>
        <w:rPr>
          <w:rFonts w:ascii="宋体" w:hAnsi="宋体"/>
        </w:rPr>
      </w:pPr>
      <w:r>
        <w:rPr>
          <w:rFonts w:hint="eastAsia" w:ascii="宋体" w:hAnsi="宋体"/>
        </w:rPr>
        <w:t>3、对桥以及大型涵洞、电力排灌站、石油管道等进行评估补偿。</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七、水田养殖补偿标准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水产养殖池塘，补偿标准</w:t>
      </w:r>
      <w:r>
        <w:rPr>
          <w:rFonts w:ascii="仿宋_GB2312" w:hAnsi="宋体" w:eastAsia="仿宋_GB2312"/>
          <w:sz w:val="28"/>
          <w:szCs w:val="28"/>
        </w:rPr>
        <w:t>2400元/亩。苇塘、藕塘，补偿标准2400元/亩。</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八、青苗补偿标准</w:t>
      </w:r>
    </w:p>
    <w:p>
      <w:pPr>
        <w:spacing w:line="560" w:lineRule="exact"/>
        <w:ind w:firstLine="560" w:firstLineChars="200"/>
        <w:rPr>
          <w:rFonts w:ascii="仿宋_GB2312" w:hAnsi="黑体" w:eastAsia="仿宋_GB2312"/>
          <w:sz w:val="28"/>
          <w:szCs w:val="28"/>
        </w:rPr>
      </w:pPr>
      <w:r>
        <w:rPr>
          <w:rFonts w:hint="eastAsia" w:ascii="仿宋_GB2312" w:hAnsi="宋体" w:eastAsia="仿宋_GB2312"/>
          <w:sz w:val="28"/>
          <w:szCs w:val="28"/>
        </w:rPr>
        <w:t>青苗补偿按农作物产值标准确定</w:t>
      </w:r>
      <w:r>
        <w:rPr>
          <w:rFonts w:hint="eastAsia" w:ascii="宋体" w:hAnsi="宋体"/>
          <w:kern w:val="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143"/>
        <w:gridCol w:w="2285"/>
        <w:gridCol w:w="2285"/>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rPr>
              <w:t>名称</w:t>
            </w:r>
          </w:p>
        </w:tc>
        <w:tc>
          <w:tcPr>
            <w:tcW w:w="2285"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rPr>
              <w:t>单位</w:t>
            </w:r>
          </w:p>
        </w:tc>
        <w:tc>
          <w:tcPr>
            <w:tcW w:w="2285"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rPr>
              <w:t>补偿价格</w:t>
            </w:r>
          </w:p>
        </w:tc>
        <w:tc>
          <w:tcPr>
            <w:tcW w:w="2285" w:type="dxa"/>
            <w:tcBorders>
              <w:top w:val="single" w:color="auto" w:sz="4" w:space="0"/>
              <w:left w:val="nil"/>
              <w:bottom w:val="single" w:color="auto" w:sz="4" w:space="0"/>
              <w:right w:val="single" w:color="auto" w:sz="4" w:space="0"/>
            </w:tcBorders>
            <w:vAlign w:val="center"/>
          </w:tcPr>
          <w:p>
            <w:pPr>
              <w:jc w:val="center"/>
              <w:rPr>
                <w:b/>
                <w:szCs w:val="21"/>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青苗</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元/</w:t>
            </w:r>
            <w:r>
              <w:rPr>
                <w:rFonts w:hint="eastAsia" w:ascii="宋体" w:hAnsi="宋体"/>
              </w:rPr>
              <w:t>亩</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980</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苗圃</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元/</w:t>
            </w:r>
            <w:r>
              <w:rPr>
                <w:rFonts w:hint="eastAsia" w:ascii="宋体" w:hAnsi="宋体"/>
              </w:rPr>
              <w:t>亩</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5000</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株数密度≥400</w:t>
            </w:r>
            <w:r>
              <w:rPr>
                <w:rFonts w:hint="eastAsia" w:ascii="宋体" w:hAnsi="宋体"/>
              </w:rPr>
              <w:t>株</w:t>
            </w:r>
            <w:r>
              <w:rPr>
                <w:rFonts w:hint="eastAsia"/>
              </w:rPr>
              <w:t>/</w:t>
            </w:r>
            <w:r>
              <w:rPr>
                <w:rFonts w:hint="eastAsia" w:ascii="宋体" w:hAnsi="宋体"/>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42" w:type="dxa"/>
            <w:vMerge w:val="restart"/>
            <w:tcBorders>
              <w:top w:val="nil"/>
              <w:left w:val="single" w:color="auto" w:sz="4" w:space="0"/>
              <w:bottom w:val="single" w:color="auto" w:sz="4" w:space="0"/>
              <w:right w:val="single" w:color="auto" w:sz="4" w:space="0"/>
            </w:tcBorders>
            <w:vAlign w:val="center"/>
          </w:tcPr>
          <w:p>
            <w:pPr>
              <w:jc w:val="center"/>
              <w:rPr>
                <w:szCs w:val="21"/>
              </w:rPr>
            </w:pPr>
            <w:r>
              <w:rPr>
                <w:rFonts w:hint="eastAsia"/>
              </w:rPr>
              <w:t>中药材</w:t>
            </w:r>
          </w:p>
        </w:tc>
        <w:tc>
          <w:tcPr>
            <w:tcW w:w="1143"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多年生</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元/</w:t>
            </w:r>
            <w:r>
              <w:rPr>
                <w:rFonts w:hint="eastAsia" w:ascii="宋体" w:hAnsi="宋体"/>
              </w:rPr>
              <w:t>亩</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6000</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42"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1143"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一年生</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元/</w:t>
            </w:r>
            <w:r>
              <w:rPr>
                <w:rFonts w:hint="eastAsia" w:ascii="宋体" w:hAnsi="宋体"/>
              </w:rPr>
              <w:t>亩</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3000</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42" w:type="dxa"/>
            <w:vMerge w:val="continue"/>
            <w:tcBorders>
              <w:top w:val="nil"/>
              <w:left w:val="single" w:color="auto" w:sz="4" w:space="0"/>
              <w:bottom w:val="single" w:color="auto" w:sz="4" w:space="0"/>
              <w:right w:val="single" w:color="auto" w:sz="4" w:space="0"/>
            </w:tcBorders>
            <w:vAlign w:val="center"/>
          </w:tcPr>
          <w:p>
            <w:pPr>
              <w:widowControl/>
              <w:jc w:val="left"/>
              <w:rPr>
                <w:szCs w:val="21"/>
              </w:rPr>
            </w:pPr>
          </w:p>
        </w:tc>
        <w:tc>
          <w:tcPr>
            <w:tcW w:w="1143"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大棚种植</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元/</w:t>
            </w:r>
            <w:r>
              <w:rPr>
                <w:rFonts w:hint="eastAsia" w:ascii="宋体" w:hAnsi="宋体"/>
              </w:rPr>
              <w:t>亩</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5000</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菜地</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元/</w:t>
            </w:r>
            <w:r>
              <w:rPr>
                <w:rFonts w:hint="eastAsia" w:ascii="宋体" w:hAnsi="宋体"/>
              </w:rPr>
              <w:t>亩</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r>
              <w:rPr>
                <w:rFonts w:hint="eastAsia"/>
              </w:rPr>
              <w:t>2000</w:t>
            </w:r>
          </w:p>
        </w:tc>
        <w:tc>
          <w:tcPr>
            <w:tcW w:w="2285" w:type="dxa"/>
            <w:tcBorders>
              <w:top w:val="single" w:color="auto" w:sz="4" w:space="0"/>
              <w:left w:val="nil"/>
              <w:bottom w:val="single" w:color="auto" w:sz="4" w:space="0"/>
              <w:right w:val="single" w:color="auto" w:sz="4" w:space="0"/>
            </w:tcBorders>
            <w:vAlign w:val="center"/>
          </w:tcPr>
          <w:p>
            <w:pPr>
              <w:jc w:val="center"/>
              <w:rPr>
                <w:szCs w:val="21"/>
              </w:rPr>
            </w:pPr>
          </w:p>
        </w:tc>
      </w:tr>
    </w:tbl>
    <w:p>
      <w:pPr>
        <w:rPr>
          <w:szCs w:val="21"/>
        </w:rPr>
      </w:pPr>
      <w: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
    <w:p/>
    <w:p/>
    <w:p/>
    <w:p>
      <w:r>
        <w:t xml:space="preserve"> </w:t>
      </w:r>
    </w:p>
    <w:p>
      <w:pPr>
        <w:rPr>
          <w:rFonts w:hint="eastAsia" w:ascii="仿宋_GB2312" w:eastAsia="仿宋_GB2312"/>
          <w:sz w:val="28"/>
          <w:szCs w:val="28"/>
        </w:rPr>
      </w:pPr>
      <w:r>
        <w:t xml:space="preserve"> </w:t>
      </w:r>
    </w:p>
    <w:p>
      <w:pPr>
        <w:spacing w:line="440" w:lineRule="exact"/>
        <w:outlineLvl w:val="0"/>
        <w:rPr>
          <w:rFonts w:hint="eastAsia" w:ascii="仿宋_GB2312" w:hAnsi="新宋体" w:eastAsia="仿宋_GB2312"/>
          <w:b/>
          <w:sz w:val="28"/>
          <w:szCs w:val="28"/>
        </w:rPr>
      </w:pPr>
    </w:p>
    <w:p>
      <w:pPr>
        <w:pStyle w:val="2"/>
        <w:spacing w:line="440" w:lineRule="exact"/>
        <w:ind w:leftChars="0"/>
        <w:rPr>
          <w:rFonts w:hint="eastAsia"/>
          <w:sz w:val="28"/>
          <w:szCs w:val="28"/>
        </w:rPr>
      </w:pPr>
      <w:r>
        <w:rPr>
          <w:rFonts w:hint="eastAsia"/>
          <w:sz w:val="28"/>
          <w:szCs w:val="28"/>
        </w:rPr>
        <w:pict>
          <v:line id="_x0000_s1027" o:spid="_x0000_s1027" o:spt="20" style="position:absolute;left:0pt;margin-left:0pt;margin-top:3.2pt;height:0pt;width:446.25pt;mso-wrap-distance-bottom:0pt;mso-wrap-distance-top:0pt;z-index:251661312;mso-width-relative:page;mso-height-relative:page;" coordsize="21600,21600">
            <v:path arrowok="t"/>
            <v:fill focussize="0,0"/>
            <v:stroke weight="1.5pt"/>
            <v:imagedata o:title=""/>
            <o:lock v:ext="edit"/>
            <w10:wrap type="topAndBottom"/>
          </v:line>
        </w:pict>
      </w:r>
      <w:r>
        <w:rPr>
          <w:rFonts w:hint="eastAsia"/>
          <w:sz w:val="28"/>
          <w:szCs w:val="28"/>
        </w:rPr>
        <w:t>抄送：县委各部门，县人大常委会办公室，县政协办公室，县纪委监委，</w:t>
      </w:r>
    </w:p>
    <w:p>
      <w:pPr>
        <w:pStyle w:val="2"/>
        <w:spacing w:line="440" w:lineRule="exact"/>
        <w:ind w:leftChars="0"/>
        <w:rPr>
          <w:rFonts w:hint="eastAsia"/>
          <w:sz w:val="28"/>
          <w:szCs w:val="28"/>
        </w:rPr>
      </w:pPr>
      <w:r>
        <w:rPr>
          <w:rFonts w:hint="eastAsia"/>
          <w:sz w:val="28"/>
          <w:szCs w:val="28"/>
        </w:rPr>
        <w:t xml:space="preserve">      县法院、县检察院，县人武部。 </w:t>
      </w:r>
    </w:p>
    <w:p>
      <w:pPr>
        <w:spacing w:line="440" w:lineRule="exact"/>
        <w:ind w:firstLine="140" w:firstLineChars="50"/>
        <w:rPr>
          <w:rFonts w:hint="eastAsia" w:ascii="仿宋_GB2312" w:eastAsia="仿宋_GB2312"/>
          <w:sz w:val="28"/>
          <w:szCs w:val="28"/>
        </w:rPr>
      </w:pPr>
      <w:r>
        <w:rPr>
          <w:rFonts w:hint="eastAsia" w:ascii="仿宋_GB2312" w:eastAsia="仿宋_GB2312"/>
          <w:sz w:val="28"/>
          <w:szCs w:val="28"/>
        </w:rPr>
        <w:pict>
          <v:line id="_x0000_s1028" o:spid="_x0000_s1028" o:spt="20" style="position:absolute;left:0pt;margin-left:0pt;margin-top:3.2pt;height:0pt;width:446.25pt;mso-wrap-distance-bottom:0pt;mso-wrap-distance-top:0pt;z-index:251662336;mso-width-relative:page;mso-height-relative:page;" coordsize="21600,21600">
            <v:path arrowok="t"/>
            <v:fill focussize="0,0"/>
            <v:stroke/>
            <v:imagedata o:title=""/>
            <o:lock v:ext="edit"/>
            <w10:wrap type="topAndBottom"/>
          </v:line>
        </w:pict>
      </w:r>
      <w:r>
        <w:rPr>
          <w:rFonts w:hint="eastAsia" w:ascii="仿宋_GB2312" w:eastAsia="仿宋_GB2312"/>
          <w:sz w:val="28"/>
          <w:szCs w:val="28"/>
        </w:rPr>
        <w:t>萧县人民政府办公室               　　 　　2020年5月6日印发</w:t>
      </w:r>
    </w:p>
    <w:p>
      <w:pPr>
        <w:pStyle w:val="2"/>
        <w:spacing w:line="440" w:lineRule="exact"/>
        <w:ind w:left="65" w:leftChars="31" w:right="480"/>
        <w:jc w:val="right"/>
        <w:rPr>
          <w:rFonts w:hint="eastAsia" w:hAnsi="仿宋_GB2312" w:cs="仿宋_GB2312"/>
          <w:sz w:val="28"/>
          <w:szCs w:val="28"/>
        </w:rPr>
      </w:pPr>
      <w:r>
        <w:rPr>
          <w:rFonts w:hint="eastAsia"/>
          <w:sz w:val="28"/>
          <w:szCs w:val="28"/>
        </w:rPr>
        <w:pict>
          <v:line id="_x0000_s1029" o:spid="_x0000_s1029" o:spt="20" style="position:absolute;left:0pt;margin-left:0pt;margin-top:2.6pt;height:0pt;width:446.25pt;mso-wrap-distance-bottom:0pt;mso-wrap-distance-top:0pt;z-index:251663360;mso-width-relative:page;mso-height-relative:page;" coordsize="21600,21600" o:allowincell="f">
            <v:path arrowok="t"/>
            <v:fill focussize="0,0"/>
            <v:stroke weight="1.5pt"/>
            <v:imagedata o:title=""/>
            <o:lock v:ext="edit"/>
            <w10:wrap type="topAndBottom"/>
          </v:line>
        </w:pict>
      </w:r>
      <w:bookmarkStart w:id="0" w:name="_GoBack"/>
      <w:bookmarkEnd w:id="0"/>
    </w:p>
    <w:sectPr>
      <w:footerReference r:id="rId3" w:type="default"/>
      <w:footerReference r:id="rId4" w:type="even"/>
      <w:pgSz w:w="11906" w:h="16838"/>
      <w:pgMar w:top="1985" w:right="1474" w:bottom="1418" w:left="1474" w:header="851" w:footer="102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C7D53"/>
    <w:multiLevelType w:val="multilevel"/>
    <w:tmpl w:val="246C7D53"/>
    <w:lvl w:ilvl="0" w:tentative="0">
      <w:start w:val="2"/>
      <w:numFmt w:val="japaneseCounting"/>
      <w:lvlText w:val="第%1章"/>
      <w:lvlJc w:val="left"/>
      <w:pPr>
        <w:tabs>
          <w:tab w:val="left" w:pos="1284"/>
        </w:tabs>
        <w:ind w:left="1284" w:hanging="1284"/>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5FF03368"/>
    <w:multiLevelType w:val="multilevel"/>
    <w:tmpl w:val="5FF03368"/>
    <w:lvl w:ilvl="0" w:tentative="0">
      <w:start w:val="1"/>
      <w:numFmt w:val="japaneseCounting"/>
      <w:lvlText w:val="第%1章"/>
      <w:lvlJc w:val="left"/>
      <w:pPr>
        <w:tabs>
          <w:tab w:val="left" w:pos="1284"/>
        </w:tabs>
        <w:ind w:left="1284" w:hanging="1284"/>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77C35324"/>
    <w:multiLevelType w:val="multilevel"/>
    <w:tmpl w:val="77C35324"/>
    <w:lvl w:ilvl="0" w:tentative="0">
      <w:start w:val="3"/>
      <w:numFmt w:val="japaneseCounting"/>
      <w:lvlText w:val="第%1章"/>
      <w:lvlJc w:val="left"/>
      <w:pPr>
        <w:tabs>
          <w:tab w:val="left" w:pos="1284"/>
        </w:tabs>
        <w:ind w:left="1284" w:hanging="1284"/>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1170"/>
    <w:rsid w:val="00002EAE"/>
    <w:rsid w:val="00003F3F"/>
    <w:rsid w:val="00004BC3"/>
    <w:rsid w:val="00005B71"/>
    <w:rsid w:val="00005B72"/>
    <w:rsid w:val="00006D18"/>
    <w:rsid w:val="00012641"/>
    <w:rsid w:val="00015C81"/>
    <w:rsid w:val="0002142E"/>
    <w:rsid w:val="0002712D"/>
    <w:rsid w:val="000302D7"/>
    <w:rsid w:val="00032323"/>
    <w:rsid w:val="000355CD"/>
    <w:rsid w:val="00036FCA"/>
    <w:rsid w:val="00037D99"/>
    <w:rsid w:val="00040263"/>
    <w:rsid w:val="00040C6A"/>
    <w:rsid w:val="0004228C"/>
    <w:rsid w:val="00047C70"/>
    <w:rsid w:val="0005005F"/>
    <w:rsid w:val="000521CF"/>
    <w:rsid w:val="00052830"/>
    <w:rsid w:val="0005575C"/>
    <w:rsid w:val="00055AC9"/>
    <w:rsid w:val="00056222"/>
    <w:rsid w:val="000616D6"/>
    <w:rsid w:val="00063DC6"/>
    <w:rsid w:val="00067605"/>
    <w:rsid w:val="00070755"/>
    <w:rsid w:val="00077285"/>
    <w:rsid w:val="000824B0"/>
    <w:rsid w:val="00086FE3"/>
    <w:rsid w:val="00087253"/>
    <w:rsid w:val="000918EA"/>
    <w:rsid w:val="000932C3"/>
    <w:rsid w:val="000950A0"/>
    <w:rsid w:val="00095DDF"/>
    <w:rsid w:val="00095ED0"/>
    <w:rsid w:val="00097058"/>
    <w:rsid w:val="00097D46"/>
    <w:rsid w:val="000A0AE6"/>
    <w:rsid w:val="000A2028"/>
    <w:rsid w:val="000A3760"/>
    <w:rsid w:val="000A3BD7"/>
    <w:rsid w:val="000A5147"/>
    <w:rsid w:val="000A5DCF"/>
    <w:rsid w:val="000B1FCD"/>
    <w:rsid w:val="000B2F67"/>
    <w:rsid w:val="000C144E"/>
    <w:rsid w:val="000C3E00"/>
    <w:rsid w:val="000C4F84"/>
    <w:rsid w:val="000C5472"/>
    <w:rsid w:val="000D02A9"/>
    <w:rsid w:val="000D142F"/>
    <w:rsid w:val="000D2FB3"/>
    <w:rsid w:val="000D4C1D"/>
    <w:rsid w:val="000D4EF1"/>
    <w:rsid w:val="000D59E5"/>
    <w:rsid w:val="000E2621"/>
    <w:rsid w:val="000E3C89"/>
    <w:rsid w:val="000E65B5"/>
    <w:rsid w:val="000F018E"/>
    <w:rsid w:val="000F0826"/>
    <w:rsid w:val="000F110A"/>
    <w:rsid w:val="000F18B0"/>
    <w:rsid w:val="000F1E14"/>
    <w:rsid w:val="000F27A4"/>
    <w:rsid w:val="000F4252"/>
    <w:rsid w:val="000F73B8"/>
    <w:rsid w:val="000F7D22"/>
    <w:rsid w:val="000F7FA1"/>
    <w:rsid w:val="00100FC3"/>
    <w:rsid w:val="0010150A"/>
    <w:rsid w:val="00105768"/>
    <w:rsid w:val="001115B4"/>
    <w:rsid w:val="00111965"/>
    <w:rsid w:val="00111DE7"/>
    <w:rsid w:val="0011289F"/>
    <w:rsid w:val="001142AF"/>
    <w:rsid w:val="0011676D"/>
    <w:rsid w:val="00120AB1"/>
    <w:rsid w:val="00122A7A"/>
    <w:rsid w:val="00122B3F"/>
    <w:rsid w:val="00122C70"/>
    <w:rsid w:val="0012379B"/>
    <w:rsid w:val="00126CD6"/>
    <w:rsid w:val="00127BA0"/>
    <w:rsid w:val="00130A71"/>
    <w:rsid w:val="00132186"/>
    <w:rsid w:val="00134C05"/>
    <w:rsid w:val="0013553C"/>
    <w:rsid w:val="00140037"/>
    <w:rsid w:val="001416C4"/>
    <w:rsid w:val="00145385"/>
    <w:rsid w:val="001456CA"/>
    <w:rsid w:val="00145CD6"/>
    <w:rsid w:val="001501E0"/>
    <w:rsid w:val="00150A14"/>
    <w:rsid w:val="00150BC2"/>
    <w:rsid w:val="0015241E"/>
    <w:rsid w:val="00153710"/>
    <w:rsid w:val="0015560A"/>
    <w:rsid w:val="00155A84"/>
    <w:rsid w:val="001565B1"/>
    <w:rsid w:val="00156FC8"/>
    <w:rsid w:val="00161393"/>
    <w:rsid w:val="001620C5"/>
    <w:rsid w:val="001641BF"/>
    <w:rsid w:val="00165433"/>
    <w:rsid w:val="001666D0"/>
    <w:rsid w:val="00172444"/>
    <w:rsid w:val="0018009B"/>
    <w:rsid w:val="00182BCC"/>
    <w:rsid w:val="0018482B"/>
    <w:rsid w:val="001848BA"/>
    <w:rsid w:val="00184F31"/>
    <w:rsid w:val="00186031"/>
    <w:rsid w:val="00186336"/>
    <w:rsid w:val="00187D24"/>
    <w:rsid w:val="00192C4B"/>
    <w:rsid w:val="001932B5"/>
    <w:rsid w:val="001962F5"/>
    <w:rsid w:val="0019773D"/>
    <w:rsid w:val="001A0A2A"/>
    <w:rsid w:val="001A1DCD"/>
    <w:rsid w:val="001A416B"/>
    <w:rsid w:val="001A735A"/>
    <w:rsid w:val="001A7DFE"/>
    <w:rsid w:val="001B077A"/>
    <w:rsid w:val="001B08BE"/>
    <w:rsid w:val="001B179A"/>
    <w:rsid w:val="001B1EFB"/>
    <w:rsid w:val="001B289E"/>
    <w:rsid w:val="001B7DF4"/>
    <w:rsid w:val="001C0DCE"/>
    <w:rsid w:val="001C5627"/>
    <w:rsid w:val="001C58B9"/>
    <w:rsid w:val="001D3A4A"/>
    <w:rsid w:val="001E0557"/>
    <w:rsid w:val="001E0A28"/>
    <w:rsid w:val="001E1B94"/>
    <w:rsid w:val="001E720D"/>
    <w:rsid w:val="002030CA"/>
    <w:rsid w:val="0020700E"/>
    <w:rsid w:val="00207C5C"/>
    <w:rsid w:val="00213FC6"/>
    <w:rsid w:val="00215BCB"/>
    <w:rsid w:val="00216C84"/>
    <w:rsid w:val="00217DA1"/>
    <w:rsid w:val="00221C3A"/>
    <w:rsid w:val="00222AA3"/>
    <w:rsid w:val="0022412C"/>
    <w:rsid w:val="0022528E"/>
    <w:rsid w:val="0022651E"/>
    <w:rsid w:val="00231A64"/>
    <w:rsid w:val="00233FDA"/>
    <w:rsid w:val="00236A7E"/>
    <w:rsid w:val="00236F8E"/>
    <w:rsid w:val="00237E08"/>
    <w:rsid w:val="002427A8"/>
    <w:rsid w:val="00242A97"/>
    <w:rsid w:val="00245C5D"/>
    <w:rsid w:val="002465A8"/>
    <w:rsid w:val="00251B39"/>
    <w:rsid w:val="00253A08"/>
    <w:rsid w:val="00257E15"/>
    <w:rsid w:val="0026063F"/>
    <w:rsid w:val="002610DB"/>
    <w:rsid w:val="00262A04"/>
    <w:rsid w:val="00264894"/>
    <w:rsid w:val="00266CE2"/>
    <w:rsid w:val="00270088"/>
    <w:rsid w:val="00270DE2"/>
    <w:rsid w:val="0027775C"/>
    <w:rsid w:val="00282584"/>
    <w:rsid w:val="00284903"/>
    <w:rsid w:val="002851E6"/>
    <w:rsid w:val="00286A72"/>
    <w:rsid w:val="00291052"/>
    <w:rsid w:val="00291C81"/>
    <w:rsid w:val="00295883"/>
    <w:rsid w:val="002964BB"/>
    <w:rsid w:val="00296F63"/>
    <w:rsid w:val="002A08F3"/>
    <w:rsid w:val="002A7096"/>
    <w:rsid w:val="002B2FEF"/>
    <w:rsid w:val="002B31DE"/>
    <w:rsid w:val="002B65DD"/>
    <w:rsid w:val="002B756C"/>
    <w:rsid w:val="002C3CD6"/>
    <w:rsid w:val="002C3DDE"/>
    <w:rsid w:val="002C499E"/>
    <w:rsid w:val="002C56B3"/>
    <w:rsid w:val="002C62BD"/>
    <w:rsid w:val="002C7B03"/>
    <w:rsid w:val="002D1CF8"/>
    <w:rsid w:val="002D2F01"/>
    <w:rsid w:val="002D479A"/>
    <w:rsid w:val="002D4EEB"/>
    <w:rsid w:val="002D6EF1"/>
    <w:rsid w:val="002D7471"/>
    <w:rsid w:val="002D7CB5"/>
    <w:rsid w:val="002E2500"/>
    <w:rsid w:val="002E338F"/>
    <w:rsid w:val="002E4C0B"/>
    <w:rsid w:val="002E6439"/>
    <w:rsid w:val="002F1178"/>
    <w:rsid w:val="002F1580"/>
    <w:rsid w:val="002F6440"/>
    <w:rsid w:val="0030019D"/>
    <w:rsid w:val="003027AF"/>
    <w:rsid w:val="00311EDC"/>
    <w:rsid w:val="00313416"/>
    <w:rsid w:val="00314BC6"/>
    <w:rsid w:val="0031527A"/>
    <w:rsid w:val="00316932"/>
    <w:rsid w:val="0032116F"/>
    <w:rsid w:val="00321662"/>
    <w:rsid w:val="00321A1D"/>
    <w:rsid w:val="003243A1"/>
    <w:rsid w:val="00324C24"/>
    <w:rsid w:val="00325770"/>
    <w:rsid w:val="003307A1"/>
    <w:rsid w:val="00332DE7"/>
    <w:rsid w:val="00337962"/>
    <w:rsid w:val="00342C1E"/>
    <w:rsid w:val="003434BC"/>
    <w:rsid w:val="003438C8"/>
    <w:rsid w:val="003505D1"/>
    <w:rsid w:val="00354202"/>
    <w:rsid w:val="00354A8C"/>
    <w:rsid w:val="00355F1B"/>
    <w:rsid w:val="00363265"/>
    <w:rsid w:val="003645D1"/>
    <w:rsid w:val="003647A4"/>
    <w:rsid w:val="00364857"/>
    <w:rsid w:val="00370F81"/>
    <w:rsid w:val="00373D32"/>
    <w:rsid w:val="003754B9"/>
    <w:rsid w:val="003754BA"/>
    <w:rsid w:val="00375B92"/>
    <w:rsid w:val="00375CD7"/>
    <w:rsid w:val="003800A5"/>
    <w:rsid w:val="00380D52"/>
    <w:rsid w:val="003829B4"/>
    <w:rsid w:val="00382E7C"/>
    <w:rsid w:val="00384CBC"/>
    <w:rsid w:val="003868D8"/>
    <w:rsid w:val="00386F4C"/>
    <w:rsid w:val="00386FAC"/>
    <w:rsid w:val="00390AB2"/>
    <w:rsid w:val="0039147E"/>
    <w:rsid w:val="00392218"/>
    <w:rsid w:val="00394492"/>
    <w:rsid w:val="0039508A"/>
    <w:rsid w:val="003A3164"/>
    <w:rsid w:val="003A3534"/>
    <w:rsid w:val="003A3CF9"/>
    <w:rsid w:val="003A48E5"/>
    <w:rsid w:val="003A4B13"/>
    <w:rsid w:val="003A4DD0"/>
    <w:rsid w:val="003A5102"/>
    <w:rsid w:val="003A7264"/>
    <w:rsid w:val="003A7AE3"/>
    <w:rsid w:val="003B02A6"/>
    <w:rsid w:val="003B226C"/>
    <w:rsid w:val="003B25B3"/>
    <w:rsid w:val="003B28DD"/>
    <w:rsid w:val="003B37AD"/>
    <w:rsid w:val="003B3D1B"/>
    <w:rsid w:val="003B6EA7"/>
    <w:rsid w:val="003B768F"/>
    <w:rsid w:val="003C0745"/>
    <w:rsid w:val="003C0AC1"/>
    <w:rsid w:val="003C25EF"/>
    <w:rsid w:val="003C4F76"/>
    <w:rsid w:val="003C50B6"/>
    <w:rsid w:val="003C692C"/>
    <w:rsid w:val="003D0867"/>
    <w:rsid w:val="003D0AB2"/>
    <w:rsid w:val="003D63C1"/>
    <w:rsid w:val="003D67B4"/>
    <w:rsid w:val="003D6E58"/>
    <w:rsid w:val="003E31FF"/>
    <w:rsid w:val="003E412C"/>
    <w:rsid w:val="003E5434"/>
    <w:rsid w:val="003E5C41"/>
    <w:rsid w:val="003E68BE"/>
    <w:rsid w:val="003F1F35"/>
    <w:rsid w:val="003F2905"/>
    <w:rsid w:val="003F2D3C"/>
    <w:rsid w:val="003F6164"/>
    <w:rsid w:val="003F7104"/>
    <w:rsid w:val="00400366"/>
    <w:rsid w:val="004003D4"/>
    <w:rsid w:val="004013BB"/>
    <w:rsid w:val="00402B1A"/>
    <w:rsid w:val="00403250"/>
    <w:rsid w:val="00403D89"/>
    <w:rsid w:val="00405210"/>
    <w:rsid w:val="00406B42"/>
    <w:rsid w:val="00406D30"/>
    <w:rsid w:val="004071EC"/>
    <w:rsid w:val="00411F46"/>
    <w:rsid w:val="00412914"/>
    <w:rsid w:val="00424734"/>
    <w:rsid w:val="00424C11"/>
    <w:rsid w:val="004323CD"/>
    <w:rsid w:val="0043247E"/>
    <w:rsid w:val="004330EA"/>
    <w:rsid w:val="00437EED"/>
    <w:rsid w:val="00440A74"/>
    <w:rsid w:val="004418E7"/>
    <w:rsid w:val="004429EB"/>
    <w:rsid w:val="00443B7D"/>
    <w:rsid w:val="00446A5D"/>
    <w:rsid w:val="004551C7"/>
    <w:rsid w:val="004552CE"/>
    <w:rsid w:val="004554AD"/>
    <w:rsid w:val="00455793"/>
    <w:rsid w:val="00457A35"/>
    <w:rsid w:val="00457F31"/>
    <w:rsid w:val="004614DF"/>
    <w:rsid w:val="004615DB"/>
    <w:rsid w:val="00461D4D"/>
    <w:rsid w:val="004623F4"/>
    <w:rsid w:val="004630F8"/>
    <w:rsid w:val="004637FD"/>
    <w:rsid w:val="00463A56"/>
    <w:rsid w:val="00463BC4"/>
    <w:rsid w:val="00463C7D"/>
    <w:rsid w:val="00464BF0"/>
    <w:rsid w:val="004660B3"/>
    <w:rsid w:val="004665E0"/>
    <w:rsid w:val="0046755D"/>
    <w:rsid w:val="004719E1"/>
    <w:rsid w:val="00472B79"/>
    <w:rsid w:val="00472C2B"/>
    <w:rsid w:val="00474129"/>
    <w:rsid w:val="00474276"/>
    <w:rsid w:val="00475B2C"/>
    <w:rsid w:val="004762CD"/>
    <w:rsid w:val="00477DAB"/>
    <w:rsid w:val="004814A4"/>
    <w:rsid w:val="00484AC0"/>
    <w:rsid w:val="00493540"/>
    <w:rsid w:val="0049451D"/>
    <w:rsid w:val="004949CF"/>
    <w:rsid w:val="00496C16"/>
    <w:rsid w:val="004A1ECA"/>
    <w:rsid w:val="004A60BF"/>
    <w:rsid w:val="004A68D9"/>
    <w:rsid w:val="004B1A8E"/>
    <w:rsid w:val="004B49B1"/>
    <w:rsid w:val="004B6F60"/>
    <w:rsid w:val="004B7E94"/>
    <w:rsid w:val="004C02D7"/>
    <w:rsid w:val="004C2F9B"/>
    <w:rsid w:val="004C39DD"/>
    <w:rsid w:val="004C45CB"/>
    <w:rsid w:val="004C4EF2"/>
    <w:rsid w:val="004C769B"/>
    <w:rsid w:val="004D06F8"/>
    <w:rsid w:val="004D2D13"/>
    <w:rsid w:val="004D2FD4"/>
    <w:rsid w:val="004D3785"/>
    <w:rsid w:val="004D6503"/>
    <w:rsid w:val="004D7D6A"/>
    <w:rsid w:val="004E1041"/>
    <w:rsid w:val="004E118E"/>
    <w:rsid w:val="004E537E"/>
    <w:rsid w:val="004E6E39"/>
    <w:rsid w:val="004F21DE"/>
    <w:rsid w:val="004F2E6C"/>
    <w:rsid w:val="004F52CA"/>
    <w:rsid w:val="004F6A57"/>
    <w:rsid w:val="004F71BA"/>
    <w:rsid w:val="004F72E9"/>
    <w:rsid w:val="00501129"/>
    <w:rsid w:val="00502F54"/>
    <w:rsid w:val="00504988"/>
    <w:rsid w:val="00504A86"/>
    <w:rsid w:val="00506F29"/>
    <w:rsid w:val="0050721A"/>
    <w:rsid w:val="00514421"/>
    <w:rsid w:val="00521495"/>
    <w:rsid w:val="0052387F"/>
    <w:rsid w:val="005252BD"/>
    <w:rsid w:val="00525836"/>
    <w:rsid w:val="00525B65"/>
    <w:rsid w:val="00525EB4"/>
    <w:rsid w:val="00527075"/>
    <w:rsid w:val="005316E7"/>
    <w:rsid w:val="00532191"/>
    <w:rsid w:val="00532B06"/>
    <w:rsid w:val="0053374B"/>
    <w:rsid w:val="00534F4C"/>
    <w:rsid w:val="0053506B"/>
    <w:rsid w:val="00537E5F"/>
    <w:rsid w:val="00540E4C"/>
    <w:rsid w:val="00540FFA"/>
    <w:rsid w:val="00541247"/>
    <w:rsid w:val="00542BE0"/>
    <w:rsid w:val="00543A7C"/>
    <w:rsid w:val="00544AE2"/>
    <w:rsid w:val="00544C8B"/>
    <w:rsid w:val="00546219"/>
    <w:rsid w:val="00546ACB"/>
    <w:rsid w:val="005543B6"/>
    <w:rsid w:val="0055631C"/>
    <w:rsid w:val="005567D6"/>
    <w:rsid w:val="005603AC"/>
    <w:rsid w:val="005624DC"/>
    <w:rsid w:val="00564ACB"/>
    <w:rsid w:val="00565CC8"/>
    <w:rsid w:val="0056635A"/>
    <w:rsid w:val="00567241"/>
    <w:rsid w:val="00571E52"/>
    <w:rsid w:val="00572757"/>
    <w:rsid w:val="005732D4"/>
    <w:rsid w:val="005738BF"/>
    <w:rsid w:val="00575413"/>
    <w:rsid w:val="00576C3D"/>
    <w:rsid w:val="00577164"/>
    <w:rsid w:val="0057766A"/>
    <w:rsid w:val="005804C8"/>
    <w:rsid w:val="0058434E"/>
    <w:rsid w:val="005968B9"/>
    <w:rsid w:val="005A1636"/>
    <w:rsid w:val="005A2538"/>
    <w:rsid w:val="005A37E4"/>
    <w:rsid w:val="005B0DEC"/>
    <w:rsid w:val="005B2306"/>
    <w:rsid w:val="005B384F"/>
    <w:rsid w:val="005B6971"/>
    <w:rsid w:val="005B6EC3"/>
    <w:rsid w:val="005B7BE8"/>
    <w:rsid w:val="005C069A"/>
    <w:rsid w:val="005C1A84"/>
    <w:rsid w:val="005C3575"/>
    <w:rsid w:val="005C4148"/>
    <w:rsid w:val="005C65F9"/>
    <w:rsid w:val="005C6655"/>
    <w:rsid w:val="005D4470"/>
    <w:rsid w:val="005D5249"/>
    <w:rsid w:val="005D555B"/>
    <w:rsid w:val="005D5980"/>
    <w:rsid w:val="005E2390"/>
    <w:rsid w:val="005E3473"/>
    <w:rsid w:val="005E3BC0"/>
    <w:rsid w:val="005E4D15"/>
    <w:rsid w:val="005F2B10"/>
    <w:rsid w:val="005F3D8C"/>
    <w:rsid w:val="005F4C20"/>
    <w:rsid w:val="005F62FA"/>
    <w:rsid w:val="005F634C"/>
    <w:rsid w:val="005F7376"/>
    <w:rsid w:val="00604512"/>
    <w:rsid w:val="00604877"/>
    <w:rsid w:val="006052A2"/>
    <w:rsid w:val="00605CCD"/>
    <w:rsid w:val="00607DB2"/>
    <w:rsid w:val="006108D2"/>
    <w:rsid w:val="00612D02"/>
    <w:rsid w:val="006143AA"/>
    <w:rsid w:val="00614F21"/>
    <w:rsid w:val="006155FF"/>
    <w:rsid w:val="00620F2C"/>
    <w:rsid w:val="00626B06"/>
    <w:rsid w:val="00626D85"/>
    <w:rsid w:val="006331D3"/>
    <w:rsid w:val="006336F3"/>
    <w:rsid w:val="006419B0"/>
    <w:rsid w:val="00641EF0"/>
    <w:rsid w:val="006439F0"/>
    <w:rsid w:val="006462F6"/>
    <w:rsid w:val="00646CC7"/>
    <w:rsid w:val="00651C9D"/>
    <w:rsid w:val="00653F17"/>
    <w:rsid w:val="00654BE8"/>
    <w:rsid w:val="00657FB4"/>
    <w:rsid w:val="0066464E"/>
    <w:rsid w:val="006663EC"/>
    <w:rsid w:val="006667B8"/>
    <w:rsid w:val="00666E5E"/>
    <w:rsid w:val="00670227"/>
    <w:rsid w:val="00672295"/>
    <w:rsid w:val="006724C7"/>
    <w:rsid w:val="00672BAE"/>
    <w:rsid w:val="00674947"/>
    <w:rsid w:val="0067580C"/>
    <w:rsid w:val="006759BC"/>
    <w:rsid w:val="00675F6C"/>
    <w:rsid w:val="006760F9"/>
    <w:rsid w:val="00677FD6"/>
    <w:rsid w:val="006817C4"/>
    <w:rsid w:val="00681A08"/>
    <w:rsid w:val="00682375"/>
    <w:rsid w:val="00682931"/>
    <w:rsid w:val="00682C6E"/>
    <w:rsid w:val="0068333F"/>
    <w:rsid w:val="0068338F"/>
    <w:rsid w:val="006859C0"/>
    <w:rsid w:val="00687707"/>
    <w:rsid w:val="00687D80"/>
    <w:rsid w:val="0069018A"/>
    <w:rsid w:val="00691222"/>
    <w:rsid w:val="00691382"/>
    <w:rsid w:val="00694D6D"/>
    <w:rsid w:val="00696908"/>
    <w:rsid w:val="00697D4F"/>
    <w:rsid w:val="006A22D5"/>
    <w:rsid w:val="006A2A54"/>
    <w:rsid w:val="006A3795"/>
    <w:rsid w:val="006A3E5D"/>
    <w:rsid w:val="006A4DAF"/>
    <w:rsid w:val="006A4FD4"/>
    <w:rsid w:val="006A7540"/>
    <w:rsid w:val="006B1B9A"/>
    <w:rsid w:val="006B47C7"/>
    <w:rsid w:val="006B53DB"/>
    <w:rsid w:val="006C2017"/>
    <w:rsid w:val="006C461A"/>
    <w:rsid w:val="006C5CA2"/>
    <w:rsid w:val="006C68EC"/>
    <w:rsid w:val="006C70A4"/>
    <w:rsid w:val="006D25F1"/>
    <w:rsid w:val="006D3960"/>
    <w:rsid w:val="006D44EC"/>
    <w:rsid w:val="006D549E"/>
    <w:rsid w:val="006D7D25"/>
    <w:rsid w:val="006E1079"/>
    <w:rsid w:val="006E113D"/>
    <w:rsid w:val="006E44CB"/>
    <w:rsid w:val="006E4837"/>
    <w:rsid w:val="006E71FC"/>
    <w:rsid w:val="006F28D5"/>
    <w:rsid w:val="006F29D8"/>
    <w:rsid w:val="006F3774"/>
    <w:rsid w:val="006F4415"/>
    <w:rsid w:val="006F4640"/>
    <w:rsid w:val="006F4A22"/>
    <w:rsid w:val="006F56D9"/>
    <w:rsid w:val="006F6C45"/>
    <w:rsid w:val="00700C96"/>
    <w:rsid w:val="007015B9"/>
    <w:rsid w:val="007020C3"/>
    <w:rsid w:val="00705503"/>
    <w:rsid w:val="00706B63"/>
    <w:rsid w:val="00710442"/>
    <w:rsid w:val="00710B47"/>
    <w:rsid w:val="00714605"/>
    <w:rsid w:val="007159BC"/>
    <w:rsid w:val="00716323"/>
    <w:rsid w:val="0071743E"/>
    <w:rsid w:val="007203EA"/>
    <w:rsid w:val="00720FC6"/>
    <w:rsid w:val="00721457"/>
    <w:rsid w:val="00721F53"/>
    <w:rsid w:val="00723125"/>
    <w:rsid w:val="00723DC0"/>
    <w:rsid w:val="00724912"/>
    <w:rsid w:val="0072771F"/>
    <w:rsid w:val="00732909"/>
    <w:rsid w:val="00732EFA"/>
    <w:rsid w:val="00733315"/>
    <w:rsid w:val="0073435C"/>
    <w:rsid w:val="007343CC"/>
    <w:rsid w:val="00736809"/>
    <w:rsid w:val="00737437"/>
    <w:rsid w:val="007409BD"/>
    <w:rsid w:val="00741BFD"/>
    <w:rsid w:val="00744919"/>
    <w:rsid w:val="00744CFB"/>
    <w:rsid w:val="007472AF"/>
    <w:rsid w:val="00747428"/>
    <w:rsid w:val="007476C9"/>
    <w:rsid w:val="00752393"/>
    <w:rsid w:val="00753662"/>
    <w:rsid w:val="00753F85"/>
    <w:rsid w:val="00755140"/>
    <w:rsid w:val="00755367"/>
    <w:rsid w:val="00760549"/>
    <w:rsid w:val="00760E94"/>
    <w:rsid w:val="00763737"/>
    <w:rsid w:val="00767FF1"/>
    <w:rsid w:val="007701CC"/>
    <w:rsid w:val="00774A0D"/>
    <w:rsid w:val="00774BD1"/>
    <w:rsid w:val="00775EA3"/>
    <w:rsid w:val="00776BC0"/>
    <w:rsid w:val="0078349C"/>
    <w:rsid w:val="007859BD"/>
    <w:rsid w:val="00791F3B"/>
    <w:rsid w:val="00792460"/>
    <w:rsid w:val="007947A7"/>
    <w:rsid w:val="007958AE"/>
    <w:rsid w:val="007965F4"/>
    <w:rsid w:val="00797807"/>
    <w:rsid w:val="00797FD4"/>
    <w:rsid w:val="007A0FF4"/>
    <w:rsid w:val="007A11A8"/>
    <w:rsid w:val="007A54E0"/>
    <w:rsid w:val="007A5AE8"/>
    <w:rsid w:val="007A6337"/>
    <w:rsid w:val="007A7F93"/>
    <w:rsid w:val="007B052B"/>
    <w:rsid w:val="007B3C7C"/>
    <w:rsid w:val="007B3DC3"/>
    <w:rsid w:val="007B5757"/>
    <w:rsid w:val="007B6409"/>
    <w:rsid w:val="007B6B79"/>
    <w:rsid w:val="007C307F"/>
    <w:rsid w:val="007C343C"/>
    <w:rsid w:val="007C4858"/>
    <w:rsid w:val="007C530D"/>
    <w:rsid w:val="007C749F"/>
    <w:rsid w:val="007D16EB"/>
    <w:rsid w:val="007D1EDD"/>
    <w:rsid w:val="007D5DE7"/>
    <w:rsid w:val="007D5FC6"/>
    <w:rsid w:val="007D67B7"/>
    <w:rsid w:val="007E0E0A"/>
    <w:rsid w:val="007E1172"/>
    <w:rsid w:val="007E3DAD"/>
    <w:rsid w:val="007E588C"/>
    <w:rsid w:val="007E5CF9"/>
    <w:rsid w:val="007F0756"/>
    <w:rsid w:val="007F0B2D"/>
    <w:rsid w:val="007F1B99"/>
    <w:rsid w:val="007F265F"/>
    <w:rsid w:val="007F375A"/>
    <w:rsid w:val="007F3AFE"/>
    <w:rsid w:val="007F64B1"/>
    <w:rsid w:val="007F6669"/>
    <w:rsid w:val="007F6E9F"/>
    <w:rsid w:val="007F7F8C"/>
    <w:rsid w:val="008008D5"/>
    <w:rsid w:val="00801E95"/>
    <w:rsid w:val="00802206"/>
    <w:rsid w:val="008037AE"/>
    <w:rsid w:val="0080645E"/>
    <w:rsid w:val="00807D30"/>
    <w:rsid w:val="00810051"/>
    <w:rsid w:val="00811E24"/>
    <w:rsid w:val="00812DBB"/>
    <w:rsid w:val="0081461D"/>
    <w:rsid w:val="0081513A"/>
    <w:rsid w:val="008151A3"/>
    <w:rsid w:val="00817247"/>
    <w:rsid w:val="00821537"/>
    <w:rsid w:val="00827E5F"/>
    <w:rsid w:val="008308D4"/>
    <w:rsid w:val="008315B5"/>
    <w:rsid w:val="0083609C"/>
    <w:rsid w:val="00836A5E"/>
    <w:rsid w:val="0084142F"/>
    <w:rsid w:val="00844861"/>
    <w:rsid w:val="00844A14"/>
    <w:rsid w:val="00846F51"/>
    <w:rsid w:val="00852908"/>
    <w:rsid w:val="00853BB8"/>
    <w:rsid w:val="008548D4"/>
    <w:rsid w:val="00854C69"/>
    <w:rsid w:val="00856079"/>
    <w:rsid w:val="00856A3B"/>
    <w:rsid w:val="00861734"/>
    <w:rsid w:val="008618B4"/>
    <w:rsid w:val="00864D3F"/>
    <w:rsid w:val="0087019B"/>
    <w:rsid w:val="00871ADA"/>
    <w:rsid w:val="00871AED"/>
    <w:rsid w:val="00876DC1"/>
    <w:rsid w:val="0088008E"/>
    <w:rsid w:val="00884B63"/>
    <w:rsid w:val="00885652"/>
    <w:rsid w:val="00891963"/>
    <w:rsid w:val="008978E1"/>
    <w:rsid w:val="008A0E47"/>
    <w:rsid w:val="008A309C"/>
    <w:rsid w:val="008A49DD"/>
    <w:rsid w:val="008A4A0A"/>
    <w:rsid w:val="008A5157"/>
    <w:rsid w:val="008A68AA"/>
    <w:rsid w:val="008B5A99"/>
    <w:rsid w:val="008B680B"/>
    <w:rsid w:val="008C3045"/>
    <w:rsid w:val="008C4DF8"/>
    <w:rsid w:val="008C5661"/>
    <w:rsid w:val="008C7EEA"/>
    <w:rsid w:val="008D0669"/>
    <w:rsid w:val="008E170F"/>
    <w:rsid w:val="008E2EE2"/>
    <w:rsid w:val="008E39DC"/>
    <w:rsid w:val="008E480A"/>
    <w:rsid w:val="008F3651"/>
    <w:rsid w:val="008F44B5"/>
    <w:rsid w:val="008F66FC"/>
    <w:rsid w:val="008F76E1"/>
    <w:rsid w:val="009018CD"/>
    <w:rsid w:val="0090413F"/>
    <w:rsid w:val="00904174"/>
    <w:rsid w:val="00905309"/>
    <w:rsid w:val="009062BC"/>
    <w:rsid w:val="0090653A"/>
    <w:rsid w:val="00910486"/>
    <w:rsid w:val="009110DD"/>
    <w:rsid w:val="00911E8A"/>
    <w:rsid w:val="009148D0"/>
    <w:rsid w:val="00917227"/>
    <w:rsid w:val="0092067E"/>
    <w:rsid w:val="00922A6A"/>
    <w:rsid w:val="00923414"/>
    <w:rsid w:val="00924F2B"/>
    <w:rsid w:val="00925820"/>
    <w:rsid w:val="0092639D"/>
    <w:rsid w:val="00926A05"/>
    <w:rsid w:val="00927D80"/>
    <w:rsid w:val="00931836"/>
    <w:rsid w:val="00932488"/>
    <w:rsid w:val="00932B60"/>
    <w:rsid w:val="009333F5"/>
    <w:rsid w:val="009337FD"/>
    <w:rsid w:val="00933811"/>
    <w:rsid w:val="00933A83"/>
    <w:rsid w:val="00933F84"/>
    <w:rsid w:val="0093596C"/>
    <w:rsid w:val="00937416"/>
    <w:rsid w:val="00940E6C"/>
    <w:rsid w:val="00944C9B"/>
    <w:rsid w:val="00944ECA"/>
    <w:rsid w:val="00945BFE"/>
    <w:rsid w:val="00947629"/>
    <w:rsid w:val="00950700"/>
    <w:rsid w:val="00951582"/>
    <w:rsid w:val="00953F95"/>
    <w:rsid w:val="00954788"/>
    <w:rsid w:val="009559F9"/>
    <w:rsid w:val="00956FF5"/>
    <w:rsid w:val="00960660"/>
    <w:rsid w:val="00963610"/>
    <w:rsid w:val="00964832"/>
    <w:rsid w:val="00967702"/>
    <w:rsid w:val="00967716"/>
    <w:rsid w:val="00971A2E"/>
    <w:rsid w:val="00971D7A"/>
    <w:rsid w:val="0097393A"/>
    <w:rsid w:val="0097395E"/>
    <w:rsid w:val="009750F5"/>
    <w:rsid w:val="00975C24"/>
    <w:rsid w:val="00977208"/>
    <w:rsid w:val="009804A7"/>
    <w:rsid w:val="00980B25"/>
    <w:rsid w:val="00981BE5"/>
    <w:rsid w:val="009826EE"/>
    <w:rsid w:val="00982BAE"/>
    <w:rsid w:val="00983C2C"/>
    <w:rsid w:val="0098781B"/>
    <w:rsid w:val="00987D89"/>
    <w:rsid w:val="00992D81"/>
    <w:rsid w:val="0099399E"/>
    <w:rsid w:val="00994AF9"/>
    <w:rsid w:val="009975CC"/>
    <w:rsid w:val="009A4B4B"/>
    <w:rsid w:val="009A4CDD"/>
    <w:rsid w:val="009A6BD7"/>
    <w:rsid w:val="009B3320"/>
    <w:rsid w:val="009B43AE"/>
    <w:rsid w:val="009B581A"/>
    <w:rsid w:val="009B6A95"/>
    <w:rsid w:val="009B75A0"/>
    <w:rsid w:val="009B77EE"/>
    <w:rsid w:val="009B7D41"/>
    <w:rsid w:val="009C0D23"/>
    <w:rsid w:val="009C33CE"/>
    <w:rsid w:val="009C4681"/>
    <w:rsid w:val="009C49E8"/>
    <w:rsid w:val="009C5676"/>
    <w:rsid w:val="009C6A84"/>
    <w:rsid w:val="009C7C19"/>
    <w:rsid w:val="009D0526"/>
    <w:rsid w:val="009D0A63"/>
    <w:rsid w:val="009D451F"/>
    <w:rsid w:val="009D491A"/>
    <w:rsid w:val="009D4A1E"/>
    <w:rsid w:val="009D6076"/>
    <w:rsid w:val="009E012E"/>
    <w:rsid w:val="009E2314"/>
    <w:rsid w:val="009E5E22"/>
    <w:rsid w:val="009E7968"/>
    <w:rsid w:val="009F3D70"/>
    <w:rsid w:val="009F5937"/>
    <w:rsid w:val="009F5F58"/>
    <w:rsid w:val="009F7073"/>
    <w:rsid w:val="009F7BAC"/>
    <w:rsid w:val="00A0108B"/>
    <w:rsid w:val="00A05E47"/>
    <w:rsid w:val="00A06236"/>
    <w:rsid w:val="00A0647D"/>
    <w:rsid w:val="00A14FFF"/>
    <w:rsid w:val="00A2166A"/>
    <w:rsid w:val="00A2350C"/>
    <w:rsid w:val="00A246FC"/>
    <w:rsid w:val="00A25416"/>
    <w:rsid w:val="00A257EF"/>
    <w:rsid w:val="00A2639C"/>
    <w:rsid w:val="00A26BD6"/>
    <w:rsid w:val="00A272DC"/>
    <w:rsid w:val="00A3002C"/>
    <w:rsid w:val="00A312A2"/>
    <w:rsid w:val="00A31BD4"/>
    <w:rsid w:val="00A329B9"/>
    <w:rsid w:val="00A33D1D"/>
    <w:rsid w:val="00A3589B"/>
    <w:rsid w:val="00A35AFF"/>
    <w:rsid w:val="00A36CB4"/>
    <w:rsid w:val="00A37422"/>
    <w:rsid w:val="00A37CC7"/>
    <w:rsid w:val="00A4031E"/>
    <w:rsid w:val="00A419F1"/>
    <w:rsid w:val="00A44A57"/>
    <w:rsid w:val="00A45763"/>
    <w:rsid w:val="00A510FF"/>
    <w:rsid w:val="00A53C83"/>
    <w:rsid w:val="00A53FD0"/>
    <w:rsid w:val="00A5474B"/>
    <w:rsid w:val="00A5511D"/>
    <w:rsid w:val="00A55CA2"/>
    <w:rsid w:val="00A56443"/>
    <w:rsid w:val="00A57589"/>
    <w:rsid w:val="00A600AD"/>
    <w:rsid w:val="00A64C66"/>
    <w:rsid w:val="00A650D6"/>
    <w:rsid w:val="00A653EA"/>
    <w:rsid w:val="00A66E42"/>
    <w:rsid w:val="00A7097E"/>
    <w:rsid w:val="00A716B4"/>
    <w:rsid w:val="00A753CD"/>
    <w:rsid w:val="00A7581A"/>
    <w:rsid w:val="00A759B1"/>
    <w:rsid w:val="00A76301"/>
    <w:rsid w:val="00A92C54"/>
    <w:rsid w:val="00AA30F7"/>
    <w:rsid w:val="00AA50C6"/>
    <w:rsid w:val="00AB1367"/>
    <w:rsid w:val="00AB7847"/>
    <w:rsid w:val="00AC0146"/>
    <w:rsid w:val="00AC0266"/>
    <w:rsid w:val="00AC0CC6"/>
    <w:rsid w:val="00AC1F98"/>
    <w:rsid w:val="00AC4A2B"/>
    <w:rsid w:val="00AC7F7C"/>
    <w:rsid w:val="00AD54A6"/>
    <w:rsid w:val="00AE0CDA"/>
    <w:rsid w:val="00AE1706"/>
    <w:rsid w:val="00AE52B4"/>
    <w:rsid w:val="00AE5699"/>
    <w:rsid w:val="00AE5ACB"/>
    <w:rsid w:val="00AE6025"/>
    <w:rsid w:val="00AE63D0"/>
    <w:rsid w:val="00AE6D2B"/>
    <w:rsid w:val="00AE702E"/>
    <w:rsid w:val="00AF134D"/>
    <w:rsid w:val="00AF1F56"/>
    <w:rsid w:val="00B00669"/>
    <w:rsid w:val="00B00EBC"/>
    <w:rsid w:val="00B02384"/>
    <w:rsid w:val="00B03FBE"/>
    <w:rsid w:val="00B06A02"/>
    <w:rsid w:val="00B07116"/>
    <w:rsid w:val="00B10DAB"/>
    <w:rsid w:val="00B142DD"/>
    <w:rsid w:val="00B175B5"/>
    <w:rsid w:val="00B20B05"/>
    <w:rsid w:val="00B23921"/>
    <w:rsid w:val="00B23B2F"/>
    <w:rsid w:val="00B251DE"/>
    <w:rsid w:val="00B25D78"/>
    <w:rsid w:val="00B27B6E"/>
    <w:rsid w:val="00B30205"/>
    <w:rsid w:val="00B33772"/>
    <w:rsid w:val="00B37E10"/>
    <w:rsid w:val="00B401AF"/>
    <w:rsid w:val="00B41AF9"/>
    <w:rsid w:val="00B4224A"/>
    <w:rsid w:val="00B4245C"/>
    <w:rsid w:val="00B46449"/>
    <w:rsid w:val="00B52132"/>
    <w:rsid w:val="00B5260E"/>
    <w:rsid w:val="00B526FA"/>
    <w:rsid w:val="00B53008"/>
    <w:rsid w:val="00B61A3F"/>
    <w:rsid w:val="00B61D28"/>
    <w:rsid w:val="00B624A7"/>
    <w:rsid w:val="00B71093"/>
    <w:rsid w:val="00B72939"/>
    <w:rsid w:val="00B76D60"/>
    <w:rsid w:val="00B774AB"/>
    <w:rsid w:val="00B80D48"/>
    <w:rsid w:val="00B82871"/>
    <w:rsid w:val="00B8608C"/>
    <w:rsid w:val="00B86A87"/>
    <w:rsid w:val="00B91180"/>
    <w:rsid w:val="00B921B6"/>
    <w:rsid w:val="00B94192"/>
    <w:rsid w:val="00B947AA"/>
    <w:rsid w:val="00BA17CC"/>
    <w:rsid w:val="00BA25AE"/>
    <w:rsid w:val="00BA34EF"/>
    <w:rsid w:val="00BA4B61"/>
    <w:rsid w:val="00BA550B"/>
    <w:rsid w:val="00BA6F84"/>
    <w:rsid w:val="00BA7406"/>
    <w:rsid w:val="00BB0025"/>
    <w:rsid w:val="00BB0FD1"/>
    <w:rsid w:val="00BB2577"/>
    <w:rsid w:val="00BB25D1"/>
    <w:rsid w:val="00BB37F4"/>
    <w:rsid w:val="00BB5D72"/>
    <w:rsid w:val="00BB77A8"/>
    <w:rsid w:val="00BC19D7"/>
    <w:rsid w:val="00BC3F5B"/>
    <w:rsid w:val="00BC6AFA"/>
    <w:rsid w:val="00BD24FF"/>
    <w:rsid w:val="00BD49F1"/>
    <w:rsid w:val="00BD56AD"/>
    <w:rsid w:val="00BD5BBD"/>
    <w:rsid w:val="00BD6C5C"/>
    <w:rsid w:val="00BD7239"/>
    <w:rsid w:val="00BD7BEB"/>
    <w:rsid w:val="00BE1511"/>
    <w:rsid w:val="00BE291C"/>
    <w:rsid w:val="00BE2BDB"/>
    <w:rsid w:val="00BE32F3"/>
    <w:rsid w:val="00BE672A"/>
    <w:rsid w:val="00BE7647"/>
    <w:rsid w:val="00BF1C28"/>
    <w:rsid w:val="00BF29EC"/>
    <w:rsid w:val="00BF5B57"/>
    <w:rsid w:val="00BF7948"/>
    <w:rsid w:val="00C00B2C"/>
    <w:rsid w:val="00C06DE6"/>
    <w:rsid w:val="00C06E09"/>
    <w:rsid w:val="00C07364"/>
    <w:rsid w:val="00C1149A"/>
    <w:rsid w:val="00C116B1"/>
    <w:rsid w:val="00C1480B"/>
    <w:rsid w:val="00C15B0F"/>
    <w:rsid w:val="00C16BBE"/>
    <w:rsid w:val="00C1720F"/>
    <w:rsid w:val="00C20545"/>
    <w:rsid w:val="00C20A39"/>
    <w:rsid w:val="00C23CD2"/>
    <w:rsid w:val="00C24DFC"/>
    <w:rsid w:val="00C2579A"/>
    <w:rsid w:val="00C30104"/>
    <w:rsid w:val="00C33202"/>
    <w:rsid w:val="00C360AA"/>
    <w:rsid w:val="00C364F6"/>
    <w:rsid w:val="00C37914"/>
    <w:rsid w:val="00C4249E"/>
    <w:rsid w:val="00C443F0"/>
    <w:rsid w:val="00C46AED"/>
    <w:rsid w:val="00C46FBE"/>
    <w:rsid w:val="00C476C7"/>
    <w:rsid w:val="00C478D8"/>
    <w:rsid w:val="00C51AD6"/>
    <w:rsid w:val="00C5659D"/>
    <w:rsid w:val="00C56D03"/>
    <w:rsid w:val="00C57851"/>
    <w:rsid w:val="00C62E9A"/>
    <w:rsid w:val="00C6354A"/>
    <w:rsid w:val="00C64E00"/>
    <w:rsid w:val="00C709A6"/>
    <w:rsid w:val="00C72001"/>
    <w:rsid w:val="00C739BA"/>
    <w:rsid w:val="00C7490E"/>
    <w:rsid w:val="00C7546D"/>
    <w:rsid w:val="00C75502"/>
    <w:rsid w:val="00C75C7E"/>
    <w:rsid w:val="00C76969"/>
    <w:rsid w:val="00C76C46"/>
    <w:rsid w:val="00C80168"/>
    <w:rsid w:val="00C803A3"/>
    <w:rsid w:val="00C80BE8"/>
    <w:rsid w:val="00C83D0B"/>
    <w:rsid w:val="00C86AF8"/>
    <w:rsid w:val="00C90FEF"/>
    <w:rsid w:val="00C93987"/>
    <w:rsid w:val="00C95EA0"/>
    <w:rsid w:val="00C968CB"/>
    <w:rsid w:val="00CA03B3"/>
    <w:rsid w:val="00CA73B3"/>
    <w:rsid w:val="00CA76A3"/>
    <w:rsid w:val="00CA7E96"/>
    <w:rsid w:val="00CB10AF"/>
    <w:rsid w:val="00CB7574"/>
    <w:rsid w:val="00CC0D0A"/>
    <w:rsid w:val="00CC1854"/>
    <w:rsid w:val="00CC313E"/>
    <w:rsid w:val="00CC3585"/>
    <w:rsid w:val="00CC419E"/>
    <w:rsid w:val="00CD2F76"/>
    <w:rsid w:val="00CD4288"/>
    <w:rsid w:val="00CD6EE9"/>
    <w:rsid w:val="00CE1A71"/>
    <w:rsid w:val="00CE4E89"/>
    <w:rsid w:val="00CF4C02"/>
    <w:rsid w:val="00CF540B"/>
    <w:rsid w:val="00D00051"/>
    <w:rsid w:val="00D005C3"/>
    <w:rsid w:val="00D021AD"/>
    <w:rsid w:val="00D02DA3"/>
    <w:rsid w:val="00D036DE"/>
    <w:rsid w:val="00D078F5"/>
    <w:rsid w:val="00D10833"/>
    <w:rsid w:val="00D12B5A"/>
    <w:rsid w:val="00D12C55"/>
    <w:rsid w:val="00D134E7"/>
    <w:rsid w:val="00D14DD9"/>
    <w:rsid w:val="00D158F9"/>
    <w:rsid w:val="00D164F0"/>
    <w:rsid w:val="00D16EEE"/>
    <w:rsid w:val="00D20613"/>
    <w:rsid w:val="00D23F34"/>
    <w:rsid w:val="00D24BD8"/>
    <w:rsid w:val="00D26E16"/>
    <w:rsid w:val="00D271EB"/>
    <w:rsid w:val="00D3081E"/>
    <w:rsid w:val="00D33A5D"/>
    <w:rsid w:val="00D34973"/>
    <w:rsid w:val="00D34B79"/>
    <w:rsid w:val="00D37168"/>
    <w:rsid w:val="00D429FD"/>
    <w:rsid w:val="00D43813"/>
    <w:rsid w:val="00D4550A"/>
    <w:rsid w:val="00D4615D"/>
    <w:rsid w:val="00D47CE6"/>
    <w:rsid w:val="00D505D3"/>
    <w:rsid w:val="00D51170"/>
    <w:rsid w:val="00D56157"/>
    <w:rsid w:val="00D64F2D"/>
    <w:rsid w:val="00D65778"/>
    <w:rsid w:val="00D66354"/>
    <w:rsid w:val="00D66F6F"/>
    <w:rsid w:val="00D671E7"/>
    <w:rsid w:val="00D70B24"/>
    <w:rsid w:val="00D7260F"/>
    <w:rsid w:val="00D72F0A"/>
    <w:rsid w:val="00D76ACB"/>
    <w:rsid w:val="00D77976"/>
    <w:rsid w:val="00D77FD8"/>
    <w:rsid w:val="00D80453"/>
    <w:rsid w:val="00D83315"/>
    <w:rsid w:val="00D837E9"/>
    <w:rsid w:val="00D83D12"/>
    <w:rsid w:val="00D86600"/>
    <w:rsid w:val="00D878BA"/>
    <w:rsid w:val="00D900D9"/>
    <w:rsid w:val="00D91E50"/>
    <w:rsid w:val="00D94499"/>
    <w:rsid w:val="00D95FAC"/>
    <w:rsid w:val="00D97098"/>
    <w:rsid w:val="00D97862"/>
    <w:rsid w:val="00DA12AB"/>
    <w:rsid w:val="00DA216B"/>
    <w:rsid w:val="00DA324B"/>
    <w:rsid w:val="00DA4D02"/>
    <w:rsid w:val="00DA6F08"/>
    <w:rsid w:val="00DB1DA8"/>
    <w:rsid w:val="00DB278B"/>
    <w:rsid w:val="00DB306E"/>
    <w:rsid w:val="00DB4776"/>
    <w:rsid w:val="00DB7D43"/>
    <w:rsid w:val="00DC26FF"/>
    <w:rsid w:val="00DC41C2"/>
    <w:rsid w:val="00DC54B7"/>
    <w:rsid w:val="00DC70AE"/>
    <w:rsid w:val="00DC7A56"/>
    <w:rsid w:val="00DD1143"/>
    <w:rsid w:val="00DD15E3"/>
    <w:rsid w:val="00DD275C"/>
    <w:rsid w:val="00DD2928"/>
    <w:rsid w:val="00DD2A51"/>
    <w:rsid w:val="00DD44F0"/>
    <w:rsid w:val="00DD52E9"/>
    <w:rsid w:val="00DD5E87"/>
    <w:rsid w:val="00DD7D9A"/>
    <w:rsid w:val="00DE3D3D"/>
    <w:rsid w:val="00DE4815"/>
    <w:rsid w:val="00DE5BE2"/>
    <w:rsid w:val="00DF067A"/>
    <w:rsid w:val="00DF30DA"/>
    <w:rsid w:val="00DF5415"/>
    <w:rsid w:val="00DF602B"/>
    <w:rsid w:val="00E001EE"/>
    <w:rsid w:val="00E01486"/>
    <w:rsid w:val="00E021D1"/>
    <w:rsid w:val="00E05862"/>
    <w:rsid w:val="00E07B89"/>
    <w:rsid w:val="00E114A0"/>
    <w:rsid w:val="00E14185"/>
    <w:rsid w:val="00E17828"/>
    <w:rsid w:val="00E178D7"/>
    <w:rsid w:val="00E2019A"/>
    <w:rsid w:val="00E21350"/>
    <w:rsid w:val="00E237BA"/>
    <w:rsid w:val="00E253BE"/>
    <w:rsid w:val="00E26831"/>
    <w:rsid w:val="00E30149"/>
    <w:rsid w:val="00E31926"/>
    <w:rsid w:val="00E33FC8"/>
    <w:rsid w:val="00E343CB"/>
    <w:rsid w:val="00E344DE"/>
    <w:rsid w:val="00E36B36"/>
    <w:rsid w:val="00E451F7"/>
    <w:rsid w:val="00E46887"/>
    <w:rsid w:val="00E469AB"/>
    <w:rsid w:val="00E51239"/>
    <w:rsid w:val="00E51826"/>
    <w:rsid w:val="00E525EE"/>
    <w:rsid w:val="00E52ED8"/>
    <w:rsid w:val="00E5313E"/>
    <w:rsid w:val="00E55F1A"/>
    <w:rsid w:val="00E61613"/>
    <w:rsid w:val="00E61989"/>
    <w:rsid w:val="00E63FF8"/>
    <w:rsid w:val="00E707C8"/>
    <w:rsid w:val="00E70C80"/>
    <w:rsid w:val="00E73E0C"/>
    <w:rsid w:val="00E768F9"/>
    <w:rsid w:val="00E8230E"/>
    <w:rsid w:val="00E84744"/>
    <w:rsid w:val="00E84934"/>
    <w:rsid w:val="00E84C79"/>
    <w:rsid w:val="00E84DEB"/>
    <w:rsid w:val="00E85F10"/>
    <w:rsid w:val="00E9026A"/>
    <w:rsid w:val="00E9243E"/>
    <w:rsid w:val="00E928B1"/>
    <w:rsid w:val="00E9513D"/>
    <w:rsid w:val="00E95CBF"/>
    <w:rsid w:val="00E96308"/>
    <w:rsid w:val="00EA2671"/>
    <w:rsid w:val="00EA2724"/>
    <w:rsid w:val="00EA3866"/>
    <w:rsid w:val="00EA53C6"/>
    <w:rsid w:val="00EA659A"/>
    <w:rsid w:val="00EA754A"/>
    <w:rsid w:val="00EB03E1"/>
    <w:rsid w:val="00EB1930"/>
    <w:rsid w:val="00EB20B1"/>
    <w:rsid w:val="00EB4E71"/>
    <w:rsid w:val="00EC0187"/>
    <w:rsid w:val="00EC11E9"/>
    <w:rsid w:val="00EC169A"/>
    <w:rsid w:val="00EC4033"/>
    <w:rsid w:val="00EC5CC1"/>
    <w:rsid w:val="00ED35F5"/>
    <w:rsid w:val="00EE1BD7"/>
    <w:rsid w:val="00EE42F2"/>
    <w:rsid w:val="00EE4D97"/>
    <w:rsid w:val="00EE589C"/>
    <w:rsid w:val="00EE65F5"/>
    <w:rsid w:val="00EF461A"/>
    <w:rsid w:val="00EF4E1E"/>
    <w:rsid w:val="00EF7504"/>
    <w:rsid w:val="00EF7606"/>
    <w:rsid w:val="00F00BE0"/>
    <w:rsid w:val="00F00DE0"/>
    <w:rsid w:val="00F01F5B"/>
    <w:rsid w:val="00F0276A"/>
    <w:rsid w:val="00F03C25"/>
    <w:rsid w:val="00F03DEB"/>
    <w:rsid w:val="00F052A9"/>
    <w:rsid w:val="00F05A9C"/>
    <w:rsid w:val="00F060D7"/>
    <w:rsid w:val="00F1231F"/>
    <w:rsid w:val="00F13E67"/>
    <w:rsid w:val="00F151E8"/>
    <w:rsid w:val="00F156CB"/>
    <w:rsid w:val="00F16C42"/>
    <w:rsid w:val="00F23786"/>
    <w:rsid w:val="00F26573"/>
    <w:rsid w:val="00F27115"/>
    <w:rsid w:val="00F33477"/>
    <w:rsid w:val="00F33B80"/>
    <w:rsid w:val="00F35581"/>
    <w:rsid w:val="00F363EE"/>
    <w:rsid w:val="00F372F3"/>
    <w:rsid w:val="00F40871"/>
    <w:rsid w:val="00F4122D"/>
    <w:rsid w:val="00F434E1"/>
    <w:rsid w:val="00F44775"/>
    <w:rsid w:val="00F45ED1"/>
    <w:rsid w:val="00F46930"/>
    <w:rsid w:val="00F52621"/>
    <w:rsid w:val="00F5624C"/>
    <w:rsid w:val="00F5729B"/>
    <w:rsid w:val="00F57ED4"/>
    <w:rsid w:val="00F60609"/>
    <w:rsid w:val="00F65EBA"/>
    <w:rsid w:val="00F66BF8"/>
    <w:rsid w:val="00F704DF"/>
    <w:rsid w:val="00F7211B"/>
    <w:rsid w:val="00F741DA"/>
    <w:rsid w:val="00F75F1A"/>
    <w:rsid w:val="00F76CC8"/>
    <w:rsid w:val="00F77852"/>
    <w:rsid w:val="00F845B4"/>
    <w:rsid w:val="00F84F27"/>
    <w:rsid w:val="00F85345"/>
    <w:rsid w:val="00F863D6"/>
    <w:rsid w:val="00F87EA4"/>
    <w:rsid w:val="00F90A7C"/>
    <w:rsid w:val="00F95F76"/>
    <w:rsid w:val="00F9642A"/>
    <w:rsid w:val="00FA0513"/>
    <w:rsid w:val="00FA3D19"/>
    <w:rsid w:val="00FA5257"/>
    <w:rsid w:val="00FA7C80"/>
    <w:rsid w:val="00FB09E1"/>
    <w:rsid w:val="00FB127D"/>
    <w:rsid w:val="00FB5A68"/>
    <w:rsid w:val="00FB5FC3"/>
    <w:rsid w:val="00FB7141"/>
    <w:rsid w:val="00FB7CE7"/>
    <w:rsid w:val="00FC1F33"/>
    <w:rsid w:val="00FC4C16"/>
    <w:rsid w:val="00FC4E4E"/>
    <w:rsid w:val="00FC630E"/>
    <w:rsid w:val="00FD099E"/>
    <w:rsid w:val="00FD69EB"/>
    <w:rsid w:val="00FD6A77"/>
    <w:rsid w:val="00FE3A4D"/>
    <w:rsid w:val="00FE43CE"/>
    <w:rsid w:val="00FE5925"/>
    <w:rsid w:val="00FE7020"/>
    <w:rsid w:val="00FF08F8"/>
    <w:rsid w:val="00FF116E"/>
    <w:rsid w:val="00FF3199"/>
    <w:rsid w:val="00FF562A"/>
    <w:rsid w:val="00FF5A06"/>
    <w:rsid w:val="0F174EF2"/>
    <w:rsid w:val="13C90D23"/>
    <w:rsid w:val="19CF3DC4"/>
    <w:rsid w:val="5A8F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uiPriority w:val="0"/>
    <w:pPr>
      <w:ind w:left="100" w:leftChars="2500"/>
    </w:pPr>
    <w:rPr>
      <w:rFonts w:ascii="仿宋_GB2312" w:eastAsia="仿宋_GB2312"/>
      <w:sz w:val="32"/>
      <w:szCs w:val="20"/>
    </w:rPr>
  </w:style>
  <w:style w:type="paragraph" w:styleId="3">
    <w:name w:val="Balloon Text"/>
    <w:basedOn w:val="1"/>
    <w:link w:val="15"/>
    <w:unhideWhenUsed/>
    <w:uiPriority w:val="99"/>
    <w:rPr>
      <w:kern w:val="0"/>
      <w:sz w:val="18"/>
      <w:szCs w:val="18"/>
    </w:rPr>
  </w:style>
  <w:style w:type="paragraph" w:styleId="4">
    <w:name w:val="footer"/>
    <w:basedOn w:val="1"/>
    <w:link w:val="18"/>
    <w:unhideWhenUsed/>
    <w:uiPriority w:val="99"/>
    <w:pPr>
      <w:tabs>
        <w:tab w:val="center" w:pos="4153"/>
        <w:tab w:val="right" w:pos="8306"/>
      </w:tabs>
      <w:snapToGrid w:val="0"/>
      <w:jc w:val="left"/>
    </w:pPr>
    <w:rPr>
      <w:sz w:val="18"/>
      <w:szCs w:val="18"/>
    </w:rPr>
  </w:style>
  <w:style w:type="paragraph" w:styleId="5">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15"/>
    <w:uiPriority w:val="0"/>
    <w:rPr>
      <w:rFonts w:hint="default" w:ascii="Times New Roman" w:hAnsi="Times New Roman" w:cs="Times New Roman"/>
    </w:rPr>
  </w:style>
  <w:style w:type="character" w:customStyle="1" w:styleId="11">
    <w:name w:val="10"/>
    <w:uiPriority w:val="0"/>
    <w:rPr>
      <w:rFonts w:hint="default" w:ascii="Times New Roman" w:hAnsi="Times New Roman" w:cs="Times New Roman"/>
    </w:rPr>
  </w:style>
  <w:style w:type="character" w:customStyle="1" w:styleId="12">
    <w:name w:val="页脚 Char"/>
    <w:link w:val="4"/>
    <w:uiPriority w:val="99"/>
    <w:rPr>
      <w:kern w:val="2"/>
      <w:sz w:val="18"/>
      <w:szCs w:val="18"/>
    </w:rPr>
  </w:style>
  <w:style w:type="character" w:customStyle="1" w:styleId="13">
    <w:name w:val="批注框文本 Char"/>
    <w:link w:val="3"/>
    <w:uiPriority w:val="99"/>
    <w:rPr>
      <w:sz w:val="18"/>
      <w:szCs w:val="18"/>
    </w:rPr>
  </w:style>
  <w:style w:type="character" w:customStyle="1" w:styleId="14">
    <w:name w:val="页眉 Char"/>
    <w:link w:val="5"/>
    <w:uiPriority w:val="99"/>
    <w:rPr>
      <w:kern w:val="2"/>
      <w:sz w:val="18"/>
      <w:szCs w:val="18"/>
    </w:rPr>
  </w:style>
  <w:style w:type="character" w:customStyle="1" w:styleId="15">
    <w:name w:val="批注框文本 Char1"/>
    <w:basedOn w:val="9"/>
    <w:link w:val="3"/>
    <w:uiPriority w:val="0"/>
    <w:rPr>
      <w:kern w:val="2"/>
      <w:sz w:val="18"/>
      <w:szCs w:val="18"/>
    </w:rPr>
  </w:style>
  <w:style w:type="paragraph" w:customStyle="1" w:styleId="16">
    <w:name w:val="p15"/>
    <w:basedOn w:val="1"/>
    <w:uiPriority w:val="0"/>
    <w:pPr>
      <w:widowControl/>
    </w:pPr>
    <w:rPr>
      <w:kern w:val="0"/>
      <w:szCs w:val="21"/>
    </w:rPr>
  </w:style>
  <w:style w:type="character" w:customStyle="1" w:styleId="17">
    <w:name w:val="页眉 Char1"/>
    <w:basedOn w:val="9"/>
    <w:link w:val="5"/>
    <w:uiPriority w:val="0"/>
    <w:rPr>
      <w:kern w:val="2"/>
      <w:sz w:val="18"/>
      <w:szCs w:val="18"/>
    </w:rPr>
  </w:style>
  <w:style w:type="character" w:customStyle="1" w:styleId="18">
    <w:name w:val="页脚 Char1"/>
    <w:basedOn w:val="9"/>
    <w:link w:val="4"/>
    <w:uiPriority w:val="0"/>
    <w:rPr>
      <w:kern w:val="2"/>
      <w:sz w:val="18"/>
      <w:szCs w:val="18"/>
    </w:rPr>
  </w:style>
  <w:style w:type="paragraph" w:customStyle="1" w:styleId="19">
    <w:name w:val="p0"/>
    <w:basedOn w:val="1"/>
    <w:uiPriority w:val="0"/>
    <w:pPr>
      <w:widowControl/>
      <w:ind w:firstLine="420"/>
      <w:jc w:val="left"/>
    </w:pPr>
    <w:rPr>
      <w:kern w:val="0"/>
      <w:sz w:val="20"/>
      <w:szCs w:val="20"/>
    </w:rPr>
  </w:style>
  <w:style w:type="character" w:customStyle="1" w:styleId="20">
    <w:name w:val="日期 Char"/>
    <w:basedOn w:val="9"/>
    <w:link w:val="2"/>
    <w:uiPriority w:val="0"/>
    <w:rPr>
      <w:rFonts w:ascii="仿宋_GB2312" w:eastAsia="仿宋_GB2312"/>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1487</Words>
  <Characters>8482</Characters>
  <Lines>70</Lines>
  <Paragraphs>19</Paragraphs>
  <TotalTime>13</TotalTime>
  <ScaleCrop>false</ScaleCrop>
  <LinksUpToDate>false</LinksUpToDate>
  <CharactersWithSpaces>9950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2020-05-06T08:46:00Z</dcterms:created>
  <dc:creator>崔爱民</dc:creator>
  <cp:lastModifiedBy>Administrator</cp:lastModifiedBy>
  <dcterms:modified xsi:type="dcterms:W3CDTF">2020-05-09T07:50:03Z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