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2312" w:hAnsi="方正仿宋_GB2312" w:eastAsia="方正仿宋_GB2312" w:cs="方正仿宋_GB2312"/>
          <w:sz w:val="36"/>
          <w:szCs w:val="36"/>
          <w:lang w:val="en-US" w:eastAsia="zh-CN"/>
        </w:rPr>
      </w:pPr>
    </w:p>
    <w:p>
      <w:pPr>
        <w:rPr>
          <w:rFonts w:ascii="方正仿宋_GB2312" w:hAnsi="方正仿宋_GB2312" w:eastAsia="方正仿宋_GB2312" w:cs="方正仿宋_GB2312"/>
          <w:sz w:val="36"/>
          <w:szCs w:val="36"/>
        </w:rPr>
      </w:pPr>
    </w:p>
    <w:p>
      <w:pPr>
        <w:rPr>
          <w:rFonts w:ascii="方正仿宋_GB2312" w:hAnsi="方正仿宋_GB2312" w:eastAsia="方正仿宋_GB2312" w:cs="方正仿宋_GB2312"/>
          <w:sz w:val="36"/>
          <w:szCs w:val="36"/>
        </w:rPr>
      </w:pPr>
    </w:p>
    <w:p>
      <w:pPr>
        <w:rPr>
          <w:rFonts w:ascii="方正仿宋_GB2312" w:hAnsi="方正仿宋_GB2312" w:eastAsia="方正仿宋_GB2312" w:cs="方正仿宋_GB2312"/>
          <w:sz w:val="36"/>
          <w:szCs w:val="36"/>
        </w:rPr>
      </w:pPr>
    </w:p>
    <w:p>
      <w:pPr>
        <w:adjustRightInd w:val="0"/>
        <w:snapToGrid w:val="0"/>
        <w:jc w:val="center"/>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200"/>
        <w:jc w:val="both"/>
        <w:textAlignment w:val="auto"/>
        <w:rPr>
          <w:rFonts w:hint="eastAsia" w:ascii="方正仿宋_GB2312" w:eastAsia="方正仿宋_GB2312"/>
          <w:sz w:val="36"/>
          <w:szCs w:val="36"/>
          <w:u w:val="single"/>
          <w:lang w:val="en-US" w:eastAsia="zh-CN"/>
        </w:rPr>
      </w:pPr>
      <w:bookmarkStart w:id="0" w:name="_Hlk57884087"/>
      <w:r>
        <w:rPr>
          <w:rFonts w:hint="eastAsia" w:ascii="方正仿宋_GB2312" w:eastAsia="方正仿宋_GB2312"/>
          <w:sz w:val="36"/>
          <w:szCs w:val="36"/>
        </w:rPr>
        <w:t>项目名称：</w:t>
      </w:r>
      <w:r>
        <w:rPr>
          <w:rFonts w:hint="eastAsia" w:ascii="方正仿宋_GB2312" w:eastAsia="方正仿宋_GB2312"/>
          <w:sz w:val="36"/>
          <w:szCs w:val="36"/>
          <w:u w:val="single"/>
          <w:lang w:val="en-US" w:eastAsia="zh-CN"/>
        </w:rPr>
        <w:t xml:space="preserve">  萧县鑫部建材有限公司新型预拌</w:t>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200"/>
        <w:jc w:val="both"/>
        <w:textAlignment w:val="auto"/>
        <w:rPr>
          <w:rFonts w:hint="default" w:ascii="方正仿宋_GB2312" w:eastAsia="方正仿宋_GB2312"/>
          <w:sz w:val="36"/>
          <w:szCs w:val="36"/>
          <w:lang w:val="en-US" w:eastAsia="zh-CN"/>
        </w:rPr>
      </w:pPr>
      <w:r>
        <w:rPr>
          <w:rFonts w:hint="eastAsia" w:ascii="方正仿宋_GB2312" w:eastAsia="方正仿宋_GB2312"/>
          <w:sz w:val="36"/>
          <w:szCs w:val="36"/>
          <w:u w:val="single"/>
          <w:lang w:val="en-US" w:eastAsia="zh-CN"/>
        </w:rPr>
        <w:t xml:space="preserve">混凝土搅拌站项目  </w:t>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200"/>
        <w:jc w:val="left"/>
        <w:textAlignment w:val="auto"/>
        <w:rPr>
          <w:rFonts w:hint="default" w:ascii="方正仿宋_GB2312" w:eastAsia="方正仿宋_GB2312"/>
          <w:sz w:val="36"/>
          <w:szCs w:val="36"/>
          <w:u w:val="single"/>
          <w:lang w:val="en-US" w:eastAsia="zh-CN"/>
        </w:rPr>
      </w:pPr>
      <w:r>
        <w:rPr>
          <w:rFonts w:hint="eastAsia" w:ascii="方正仿宋_GB2312" w:eastAsia="方正仿宋_GB2312"/>
          <w:sz w:val="36"/>
          <w:szCs w:val="36"/>
        </w:rPr>
        <w:t>建设单位（盖章）：</w:t>
      </w:r>
      <w:r>
        <w:rPr>
          <w:rFonts w:hint="eastAsia" w:ascii="方正仿宋_GB2312" w:eastAsia="方正仿宋_GB2312"/>
          <w:sz w:val="36"/>
          <w:szCs w:val="36"/>
          <w:u w:val="single"/>
          <w:lang w:val="en-US" w:eastAsia="zh-CN"/>
        </w:rPr>
        <w:t xml:space="preserve"> 萧县鑫部建材有限公司 </w:t>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200"/>
        <w:jc w:val="left"/>
        <w:textAlignment w:val="auto"/>
        <w:rPr>
          <w:rFonts w:hint="default" w:ascii="方正仿宋_GB2312" w:eastAsia="方正仿宋_GB2312"/>
          <w:sz w:val="36"/>
          <w:szCs w:val="36"/>
          <w:u w:val="single"/>
          <w:lang w:val="en-US" w:eastAsia="zh-CN"/>
        </w:rPr>
      </w:pPr>
      <w:r>
        <w:rPr>
          <w:rFonts w:hint="eastAsia" w:ascii="方正仿宋_GB2312" w:eastAsia="方正仿宋_GB2312"/>
          <w:sz w:val="36"/>
          <w:szCs w:val="36"/>
        </w:rPr>
        <w:t>编制日期：</w:t>
      </w:r>
      <w:r>
        <w:rPr>
          <w:rFonts w:hint="eastAsia" w:ascii="方正仿宋_GB2312" w:eastAsia="方正仿宋_GB2312"/>
          <w:sz w:val="36"/>
          <w:szCs w:val="36"/>
          <w:u w:val="single"/>
          <w:lang w:val="en-US" w:eastAsia="zh-CN"/>
        </w:rPr>
        <w:t xml:space="preserve">         </w:t>
      </w:r>
      <w:r>
        <w:rPr>
          <w:rFonts w:hint="eastAsia" w:ascii="方正仿宋_GB2312" w:eastAsia="方正仿宋_GB2312"/>
          <w:sz w:val="36"/>
          <w:szCs w:val="36"/>
          <w:u w:val="single"/>
        </w:rPr>
        <w:t>二〇二</w:t>
      </w:r>
      <w:r>
        <w:rPr>
          <w:rFonts w:hint="eastAsia" w:ascii="方正仿宋_GB2312" w:eastAsia="方正仿宋_GB2312"/>
          <w:sz w:val="36"/>
          <w:szCs w:val="36"/>
          <w:u w:val="single"/>
          <w:lang w:val="en-US" w:eastAsia="zh-CN"/>
        </w:rPr>
        <w:t>二</w:t>
      </w:r>
      <w:r>
        <w:rPr>
          <w:rFonts w:hint="eastAsia" w:ascii="方正仿宋_GB2312" w:eastAsia="方正仿宋_GB2312"/>
          <w:sz w:val="36"/>
          <w:szCs w:val="36"/>
          <w:u w:val="single"/>
        </w:rPr>
        <w:t>年</w:t>
      </w:r>
      <w:r>
        <w:rPr>
          <w:rFonts w:hint="eastAsia" w:ascii="方正仿宋_GB2312" w:eastAsia="方正仿宋_GB2312"/>
          <w:sz w:val="36"/>
          <w:szCs w:val="36"/>
          <w:u w:val="single"/>
          <w:lang w:val="en-US" w:eastAsia="zh-CN"/>
        </w:rPr>
        <w:t>五</w:t>
      </w:r>
      <w:r>
        <w:rPr>
          <w:rFonts w:hint="eastAsia" w:ascii="方正仿宋_GB2312" w:eastAsia="方正仿宋_GB2312"/>
          <w:sz w:val="36"/>
          <w:szCs w:val="36"/>
          <w:u w:val="single"/>
        </w:rPr>
        <w:t>月</w:t>
      </w:r>
      <w:r>
        <w:rPr>
          <w:rFonts w:hint="eastAsia" w:ascii="方正仿宋_GB2312" w:eastAsia="方正仿宋_GB2312"/>
          <w:sz w:val="36"/>
          <w:szCs w:val="36"/>
          <w:u w:val="single"/>
          <w:lang w:val="en-US" w:eastAsia="zh-CN"/>
        </w:rPr>
        <w:t xml:space="preserve">       </w:t>
      </w:r>
    </w:p>
    <w:p>
      <w:pPr>
        <w:adjustRightInd w:val="0"/>
        <w:snapToGrid w:val="0"/>
        <w:spacing w:line="288" w:lineRule="auto"/>
        <w:ind w:firstLine="1040"/>
        <w:rPr>
          <w:rFonts w:ascii="方正仿宋_GB2312" w:eastAsia="方正仿宋_GB2312"/>
          <w:sz w:val="36"/>
          <w:szCs w:val="36"/>
          <w:u w:val="single"/>
        </w:rPr>
      </w:pPr>
    </w:p>
    <w:p>
      <w:pPr>
        <w:adjustRightInd w:val="0"/>
        <w:snapToGrid w:val="0"/>
        <w:spacing w:line="288" w:lineRule="auto"/>
        <w:ind w:firstLine="1040"/>
        <w:rPr>
          <w:rFonts w:ascii="方正仿宋_GB2312" w:eastAsia="方正仿宋_GB2312"/>
          <w:sz w:val="36"/>
          <w:szCs w:val="36"/>
        </w:rPr>
      </w:pPr>
    </w:p>
    <w:p>
      <w:pPr>
        <w:adjustRightInd w:val="0"/>
        <w:snapToGrid w:val="0"/>
        <w:spacing w:line="288" w:lineRule="auto"/>
        <w:ind w:firstLine="1040"/>
        <w:rPr>
          <w:rFonts w:ascii="方正仿宋_GB2312" w:eastAsia="方正仿宋_GB2312"/>
          <w:sz w:val="36"/>
          <w:szCs w:val="36"/>
        </w:rPr>
      </w:pPr>
    </w:p>
    <w:bookmarkEnd w:id="0"/>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方正仿宋_GB2312" w:eastAsia="方正仿宋_GB2312"/>
          <w:sz w:val="36"/>
          <w:szCs w:val="36"/>
        </w:rPr>
        <w:sectPr>
          <w:headerReference r:id="rId3" w:type="default"/>
          <w:footerReference r:id="rId4" w:type="default"/>
          <w:footerReference r:id="rId5" w:type="even"/>
          <w:pgSz w:w="11906" w:h="16838"/>
          <w:pgMar w:top="1701" w:right="1531" w:bottom="1701" w:left="1531" w:header="851" w:footer="1077" w:gutter="0"/>
          <w:pgNumType w:start="3"/>
          <w:cols w:space="720" w:num="1"/>
          <w:docGrid w:linePitch="312" w:charSpace="0"/>
        </w:sectPr>
      </w:pPr>
    </w:p>
    <w:p>
      <w:pPr>
        <w:pStyle w:val="24"/>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53"/>
        <w:gridCol w:w="2266"/>
        <w:gridCol w:w="1879"/>
        <w:gridCol w:w="29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53" w:type="dxa"/>
            <w:tcMar>
              <w:top w:w="16" w:type="dxa"/>
              <w:left w:w="16" w:type="dxa"/>
              <w:right w:w="16" w:type="dxa"/>
            </w:tcMar>
            <w:vAlign w:val="center"/>
          </w:tcPr>
          <w:p>
            <w:pPr>
              <w:adjustRightInd w:val="0"/>
              <w:snapToGrid w:val="0"/>
              <w:jc w:val="center"/>
            </w:pPr>
            <w:r>
              <w:t>建设项目名称</w:t>
            </w:r>
          </w:p>
        </w:tc>
        <w:tc>
          <w:tcPr>
            <w:tcW w:w="7117" w:type="dxa"/>
            <w:gridSpan w:val="3"/>
            <w:vAlign w:val="center"/>
          </w:tcPr>
          <w:p>
            <w:pPr>
              <w:adjustRightInd w:val="0"/>
              <w:snapToGrid w:val="0"/>
              <w:jc w:val="center"/>
            </w:pPr>
            <w:r>
              <w:rPr>
                <w:rFonts w:hint="eastAsia"/>
                <w:lang w:val="en-US" w:eastAsia="zh-CN"/>
              </w:rPr>
              <w:t>萧县鑫部建材有限公司</w:t>
            </w:r>
            <w:r>
              <w:rPr>
                <w:rFonts w:hint="default"/>
                <w:lang w:val="en-US" w:eastAsia="zh-CN"/>
              </w:rPr>
              <w:t>新型预拌混凝土搅拌站项目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53" w:type="dxa"/>
            <w:tcMar>
              <w:top w:w="16" w:type="dxa"/>
              <w:left w:w="16" w:type="dxa"/>
              <w:right w:w="16" w:type="dxa"/>
            </w:tcMar>
            <w:vAlign w:val="center"/>
          </w:tcPr>
          <w:p>
            <w:pPr>
              <w:adjustRightInd w:val="0"/>
              <w:snapToGrid w:val="0"/>
              <w:jc w:val="center"/>
            </w:pPr>
            <w:r>
              <w:t>项目代码</w:t>
            </w:r>
          </w:p>
        </w:tc>
        <w:tc>
          <w:tcPr>
            <w:tcW w:w="7117" w:type="dxa"/>
            <w:gridSpan w:val="3"/>
            <w:vAlign w:val="center"/>
          </w:tcPr>
          <w:p>
            <w:pPr>
              <w:adjustRightInd w:val="0"/>
              <w:snapToGrid w:val="0"/>
              <w:jc w:val="center"/>
              <w:rPr>
                <w:rFonts w:hint="default" w:eastAsia="宋体"/>
                <w:lang w:val="en-US" w:eastAsia="zh-CN"/>
              </w:rPr>
            </w:pPr>
            <w:r>
              <w:rPr>
                <w:rFonts w:hint="eastAsia"/>
              </w:rPr>
              <w:t>2</w:t>
            </w:r>
            <w:r>
              <w:rPr>
                <w:rFonts w:hint="eastAsia"/>
                <w:lang w:val="en-US" w:eastAsia="zh-CN"/>
              </w:rPr>
              <w:t>203</w:t>
            </w:r>
            <w:r>
              <w:rPr>
                <w:rFonts w:hint="eastAsia"/>
              </w:rPr>
              <w:t>-3413</w:t>
            </w:r>
            <w:r>
              <w:rPr>
                <w:rFonts w:hint="eastAsia"/>
                <w:lang w:val="en-US" w:eastAsia="zh-CN"/>
              </w:rPr>
              <w:t>22</w:t>
            </w:r>
            <w:r>
              <w:rPr>
                <w:rFonts w:hint="eastAsia"/>
              </w:rPr>
              <w:t>-04-0</w:t>
            </w:r>
            <w:r>
              <w:rPr>
                <w:rFonts w:hint="eastAsia"/>
                <w:lang w:val="en-US" w:eastAsia="zh-CN"/>
              </w:rPr>
              <w:t>1</w:t>
            </w:r>
            <w:r>
              <w:rPr>
                <w:rFonts w:hint="eastAsia"/>
              </w:rPr>
              <w:t>-</w:t>
            </w:r>
            <w:r>
              <w:rPr>
                <w:rFonts w:hint="eastAsia"/>
                <w:lang w:val="en-US" w:eastAsia="zh-CN"/>
              </w:rPr>
              <w:t>925490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53" w:type="dxa"/>
            <w:tcMar>
              <w:top w:w="16" w:type="dxa"/>
              <w:left w:w="16" w:type="dxa"/>
              <w:right w:w="16" w:type="dxa"/>
            </w:tcMar>
            <w:vAlign w:val="center"/>
          </w:tcPr>
          <w:p>
            <w:pPr>
              <w:adjustRightInd w:val="0"/>
              <w:snapToGrid w:val="0"/>
              <w:jc w:val="center"/>
            </w:pPr>
            <w:r>
              <w:t>建设单位联系人</w:t>
            </w:r>
          </w:p>
        </w:tc>
        <w:tc>
          <w:tcPr>
            <w:tcW w:w="2266" w:type="dxa"/>
            <w:vAlign w:val="center"/>
          </w:tcPr>
          <w:p>
            <w:pPr>
              <w:adjustRightInd w:val="0"/>
              <w:snapToGrid w:val="0"/>
              <w:jc w:val="center"/>
              <w:rPr>
                <w:rFonts w:hint="default" w:eastAsia="宋体"/>
                <w:lang w:val="en-US" w:eastAsia="zh-CN"/>
              </w:rPr>
            </w:pPr>
            <w:r>
              <w:rPr>
                <w:rFonts w:hint="eastAsia"/>
                <w:lang w:val="en-US" w:eastAsia="zh-CN"/>
              </w:rPr>
              <w:t>***</w:t>
            </w:r>
          </w:p>
        </w:tc>
        <w:tc>
          <w:tcPr>
            <w:tcW w:w="1879" w:type="dxa"/>
            <w:vAlign w:val="center"/>
          </w:tcPr>
          <w:p>
            <w:pPr>
              <w:adjustRightInd w:val="0"/>
              <w:snapToGrid w:val="0"/>
              <w:jc w:val="center"/>
            </w:pPr>
            <w:r>
              <w:rPr>
                <w:rFonts w:hint="eastAsia"/>
              </w:rPr>
              <w:t>联系方式</w:t>
            </w:r>
          </w:p>
        </w:tc>
        <w:tc>
          <w:tcPr>
            <w:tcW w:w="2972" w:type="dxa"/>
            <w:vAlign w:val="center"/>
          </w:tcPr>
          <w:p>
            <w:pPr>
              <w:widowControl/>
              <w:jc w:val="center"/>
              <w:rPr>
                <w:rFonts w:hint="default" w:eastAsia="宋体"/>
                <w:lang w:val="en-US" w:eastAsia="zh-CN"/>
              </w:rPr>
            </w:pPr>
            <w:r>
              <w:rPr>
                <w:rFonts w:hint="eastAsia"/>
                <w:lang w:val="en-US" w:eastAsia="zh-CN"/>
              </w:rPr>
              <w:t>***</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53" w:type="dxa"/>
            <w:tcMar>
              <w:top w:w="16" w:type="dxa"/>
              <w:left w:w="16" w:type="dxa"/>
              <w:right w:w="16" w:type="dxa"/>
            </w:tcMar>
            <w:vAlign w:val="center"/>
          </w:tcPr>
          <w:p>
            <w:pPr>
              <w:adjustRightInd w:val="0"/>
              <w:snapToGrid w:val="0"/>
              <w:jc w:val="center"/>
            </w:pPr>
            <w:r>
              <w:t>建设地点</w:t>
            </w:r>
          </w:p>
        </w:tc>
        <w:tc>
          <w:tcPr>
            <w:tcW w:w="7117" w:type="dxa"/>
            <w:gridSpan w:val="3"/>
            <w:vAlign w:val="center"/>
          </w:tcPr>
          <w:p>
            <w:pPr>
              <w:adjustRightInd w:val="0"/>
              <w:snapToGrid w:val="0"/>
              <w:jc w:val="center"/>
              <w:rPr>
                <w:rFonts w:hint="default" w:eastAsia="宋体"/>
                <w:lang w:val="en-US" w:eastAsia="zh-CN"/>
              </w:rPr>
            </w:pPr>
            <w:r>
              <w:rPr>
                <w:rFonts w:hint="default" w:eastAsia="宋体"/>
                <w:u w:val="single"/>
                <w:lang w:val="en-US" w:eastAsia="zh-CN"/>
              </w:rPr>
              <w:t>安徽省宿州市萧县杨楼镇陇海铁路南侧100号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53" w:type="dxa"/>
            <w:tcMar>
              <w:top w:w="16" w:type="dxa"/>
              <w:left w:w="16" w:type="dxa"/>
              <w:right w:w="16" w:type="dxa"/>
            </w:tcMar>
            <w:vAlign w:val="center"/>
          </w:tcPr>
          <w:p>
            <w:pPr>
              <w:adjustRightInd w:val="0"/>
              <w:snapToGrid w:val="0"/>
              <w:jc w:val="center"/>
            </w:pPr>
            <w:r>
              <w:t>地理坐标</w:t>
            </w:r>
          </w:p>
        </w:tc>
        <w:tc>
          <w:tcPr>
            <w:tcW w:w="7117" w:type="dxa"/>
            <w:gridSpan w:val="3"/>
            <w:vAlign w:val="center"/>
          </w:tcPr>
          <w:p>
            <w:pPr>
              <w:pStyle w:val="11"/>
              <w:jc w:val="center"/>
            </w:pPr>
            <w:r>
              <w:t>（</w:t>
            </w:r>
            <w:r>
              <w:rPr>
                <w:rFonts w:hint="eastAsia"/>
              </w:rPr>
              <w:t>东经</w:t>
            </w:r>
            <w:r>
              <w:rPr>
                <w:rFonts w:hint="eastAsia"/>
                <w:u w:val="single"/>
              </w:rPr>
              <w:t>11</w:t>
            </w:r>
            <w:r>
              <w:rPr>
                <w:rFonts w:hint="eastAsia"/>
                <w:u w:val="single"/>
                <w:lang w:val="en-US" w:eastAsia="zh-CN"/>
              </w:rPr>
              <w:t>6</w:t>
            </w:r>
            <w:r>
              <w:t>度</w:t>
            </w:r>
            <w:r>
              <w:rPr>
                <w:rFonts w:hint="eastAsia"/>
                <w:u w:val="single"/>
              </w:rPr>
              <w:t>5</w:t>
            </w:r>
            <w:r>
              <w:rPr>
                <w:rFonts w:hint="eastAsia"/>
                <w:u w:val="single"/>
                <w:lang w:val="en-US" w:eastAsia="zh-CN"/>
              </w:rPr>
              <w:t>1</w:t>
            </w:r>
            <w:r>
              <w:t>分</w:t>
            </w:r>
            <w:r>
              <w:rPr>
                <w:rFonts w:hint="eastAsia"/>
                <w:u w:val="single"/>
                <w:lang w:val="en-US" w:eastAsia="zh-CN"/>
              </w:rPr>
              <w:t>14.547</w:t>
            </w:r>
            <w:r>
              <w:t>秒，</w:t>
            </w:r>
            <w:r>
              <w:rPr>
                <w:rFonts w:hint="eastAsia"/>
              </w:rPr>
              <w:t>北纬</w:t>
            </w:r>
            <w:r>
              <w:rPr>
                <w:rFonts w:hint="eastAsia"/>
                <w:u w:val="single"/>
              </w:rPr>
              <w:t>3</w:t>
            </w:r>
            <w:r>
              <w:rPr>
                <w:rFonts w:hint="eastAsia"/>
                <w:u w:val="single"/>
                <w:lang w:val="en-US" w:eastAsia="zh-CN"/>
              </w:rPr>
              <w:t>4</w:t>
            </w:r>
            <w:r>
              <w:t>度</w:t>
            </w:r>
            <w:r>
              <w:rPr>
                <w:rFonts w:hint="eastAsia"/>
                <w:u w:val="single"/>
                <w:lang w:val="en-US" w:eastAsia="zh-CN"/>
              </w:rPr>
              <w:t>19</w:t>
            </w:r>
            <w:r>
              <w:t>分</w:t>
            </w:r>
            <w:r>
              <w:rPr>
                <w:rFonts w:hint="eastAsia"/>
                <w:u w:val="single"/>
                <w:lang w:val="en-US" w:eastAsia="zh-CN"/>
              </w:rPr>
              <w:t>42.851</w:t>
            </w:r>
            <w: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753" w:type="dxa"/>
            <w:tcMar>
              <w:top w:w="16" w:type="dxa"/>
              <w:left w:w="16" w:type="dxa"/>
              <w:right w:w="16" w:type="dxa"/>
            </w:tcMar>
            <w:vAlign w:val="center"/>
          </w:tcPr>
          <w:p>
            <w:pPr>
              <w:adjustRightInd w:val="0"/>
              <w:snapToGrid w:val="0"/>
              <w:jc w:val="center"/>
            </w:pPr>
            <w:r>
              <w:t>国民经济</w:t>
            </w:r>
          </w:p>
          <w:p>
            <w:pPr>
              <w:adjustRightInd w:val="0"/>
              <w:snapToGrid w:val="0"/>
              <w:jc w:val="center"/>
            </w:pPr>
            <w:r>
              <w:t>行业类别</w:t>
            </w:r>
          </w:p>
        </w:tc>
        <w:tc>
          <w:tcPr>
            <w:tcW w:w="2266" w:type="dxa"/>
            <w:vAlign w:val="center"/>
          </w:tcPr>
          <w:p>
            <w:pPr>
              <w:adjustRightInd w:val="0"/>
              <w:snapToGrid w:val="0"/>
              <w:jc w:val="center"/>
            </w:pPr>
            <w:r>
              <w:rPr>
                <w:rFonts w:ascii="Times New Roman" w:hAnsi="Times New Roman" w:cs="Times New Roman"/>
                <w:b w:val="0"/>
                <w:bCs w:val="0"/>
                <w:sz w:val="24"/>
              </w:rPr>
              <w:t>C3021</w:t>
            </w:r>
            <w:r>
              <w:rPr>
                <w:rFonts w:ascii="Times New Roman" w:hAnsi="Times New Roman" w:cs="Times New Roman"/>
                <w:sz w:val="24"/>
              </w:rPr>
              <w:t xml:space="preserve"> 水泥制品制造</w:t>
            </w:r>
          </w:p>
        </w:tc>
        <w:tc>
          <w:tcPr>
            <w:tcW w:w="1879" w:type="dxa"/>
            <w:vAlign w:val="center"/>
          </w:tcPr>
          <w:p>
            <w:pPr>
              <w:adjustRightInd w:val="0"/>
              <w:snapToGrid w:val="0"/>
              <w:jc w:val="center"/>
            </w:pPr>
            <w:r>
              <w:t>建设项目</w:t>
            </w:r>
          </w:p>
          <w:p>
            <w:pPr>
              <w:adjustRightInd w:val="0"/>
              <w:snapToGrid w:val="0"/>
              <w:jc w:val="center"/>
            </w:pPr>
            <w:r>
              <w:t>行业类别</w:t>
            </w:r>
          </w:p>
        </w:tc>
        <w:tc>
          <w:tcPr>
            <w:tcW w:w="2972" w:type="dxa"/>
            <w:vAlign w:val="center"/>
          </w:tcPr>
          <w:p>
            <w:pPr>
              <w:adjustRightInd w:val="0"/>
              <w:snapToGrid w:val="0"/>
              <w:jc w:val="center"/>
            </w:pPr>
            <w:r>
              <w:rPr>
                <w:rFonts w:hint="eastAsia" w:ascii="宋体" w:hAnsi="宋体" w:cs="宋体"/>
                <w:lang w:val="en-US" w:eastAsia="zh-CN"/>
              </w:rPr>
              <w:t>二</w:t>
            </w:r>
            <w:r>
              <w:rPr>
                <w:rFonts w:ascii="宋体" w:hAnsi="宋体" w:cs="宋体"/>
              </w:rPr>
              <w:t>十</w:t>
            </w:r>
            <w:r>
              <w:rPr>
                <w:rFonts w:hint="eastAsia" w:ascii="宋体" w:hAnsi="宋体" w:cs="宋体"/>
                <w:lang w:val="en-US" w:eastAsia="zh-CN"/>
              </w:rPr>
              <w:t>七</w:t>
            </w:r>
            <w:r>
              <w:rPr>
                <w:rFonts w:ascii="宋体" w:hAnsi="宋体" w:cs="宋体"/>
              </w:rPr>
              <w:t>、</w:t>
            </w:r>
            <w:r>
              <w:rPr>
                <w:rFonts w:hint="eastAsia" w:ascii="宋体" w:hAnsi="宋体" w:cs="宋体"/>
                <w:lang w:val="en-US" w:eastAsia="zh-CN"/>
              </w:rPr>
              <w:t>非金属矿物制品</w:t>
            </w:r>
            <w:r>
              <w:rPr>
                <w:rFonts w:hint="eastAsia" w:ascii="宋体" w:hAnsi="宋体" w:cs="宋体"/>
              </w:rPr>
              <w:t>业中“</w:t>
            </w:r>
            <w:r>
              <w:rPr>
                <w:rFonts w:hint="default" w:ascii="Times New Roman" w:hAnsi="Times New Roman" w:cs="Times New Roman"/>
                <w:lang w:val="en-US" w:eastAsia="zh-CN"/>
              </w:rPr>
              <w:t>5</w:t>
            </w:r>
            <w:r>
              <w:rPr>
                <w:rFonts w:hint="eastAsia" w:cs="Times New Roman"/>
                <w:lang w:val="en-US" w:eastAsia="zh-CN"/>
              </w:rPr>
              <w:t>5</w:t>
            </w:r>
            <w:r>
              <w:rPr>
                <w:rFonts w:hint="default" w:ascii="Times New Roman" w:hAnsi="Times New Roman" w:cs="Times New Roman"/>
              </w:rPr>
              <w:t>.</w:t>
            </w:r>
            <w:r>
              <w:rPr>
                <w:rFonts w:hint="eastAsia" w:cs="Times New Roman"/>
                <w:lang w:val="en-US" w:eastAsia="zh-CN"/>
              </w:rPr>
              <w:t xml:space="preserve"> </w:t>
            </w:r>
            <w:r>
              <w:rPr>
                <w:rFonts w:ascii="Times New Roman" w:hAnsi="Times New Roman" w:cs="Times New Roman"/>
                <w:sz w:val="24"/>
              </w:rPr>
              <w:t>石膏、水泥制品及类 似制品制造302</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53" w:type="dxa"/>
            <w:tcMar>
              <w:top w:w="16" w:type="dxa"/>
              <w:left w:w="16" w:type="dxa"/>
              <w:right w:w="16" w:type="dxa"/>
            </w:tcMar>
            <w:vAlign w:val="center"/>
          </w:tcPr>
          <w:p>
            <w:pPr>
              <w:adjustRightInd w:val="0"/>
              <w:snapToGrid w:val="0"/>
              <w:jc w:val="center"/>
            </w:pPr>
            <w:r>
              <w:t>建设性质</w:t>
            </w:r>
          </w:p>
        </w:tc>
        <w:tc>
          <w:tcPr>
            <w:tcW w:w="2266" w:type="dxa"/>
            <w:vAlign w:val="center"/>
          </w:tcPr>
          <w:p>
            <w:pPr>
              <w:jc w:val="left"/>
            </w:pPr>
            <w:r>
              <w:rPr>
                <w:rFonts w:hint="eastAsia" w:ascii="宋体" w:hAnsi="宋体" w:cs="宋体"/>
                <w:lang w:eastAsia="zh-CN"/>
              </w:rPr>
              <w:sym w:font="Wingdings 2" w:char="0052"/>
            </w:r>
            <w:r>
              <w:t>新建（迁建）</w:t>
            </w:r>
          </w:p>
          <w:p>
            <w:pPr>
              <w:jc w:val="left"/>
            </w:pPr>
            <w:r>
              <w:rPr>
                <w:rFonts w:hint="eastAsia" w:ascii="宋体" w:hAnsi="宋体" w:cs="宋体"/>
              </w:rPr>
              <w:t>□</w:t>
            </w:r>
            <w:r>
              <w:t>改建</w:t>
            </w:r>
          </w:p>
          <w:p>
            <w:pPr>
              <w:jc w:val="left"/>
            </w:pPr>
            <w:r>
              <w:rPr>
                <w:rFonts w:hint="eastAsia" w:ascii="宋体" w:hAnsi="宋体" w:cs="宋体"/>
              </w:rPr>
              <w:t>□</w:t>
            </w:r>
            <w:r>
              <w:t>扩建</w:t>
            </w:r>
          </w:p>
          <w:p>
            <w:pPr>
              <w:jc w:val="left"/>
            </w:pPr>
            <w:r>
              <w:rPr>
                <w:rFonts w:hint="eastAsia" w:ascii="宋体" w:hAnsi="宋体" w:cs="宋体"/>
              </w:rPr>
              <w:t>□</w:t>
            </w:r>
            <w:r>
              <w:t>技术改造</w:t>
            </w:r>
          </w:p>
        </w:tc>
        <w:tc>
          <w:tcPr>
            <w:tcW w:w="1879" w:type="dxa"/>
            <w:vAlign w:val="center"/>
          </w:tcPr>
          <w:p>
            <w:pPr>
              <w:adjustRightInd w:val="0"/>
              <w:snapToGrid w:val="0"/>
              <w:jc w:val="center"/>
            </w:pPr>
            <w:r>
              <w:t>建设项目</w:t>
            </w:r>
          </w:p>
          <w:p>
            <w:pPr>
              <w:adjustRightInd w:val="0"/>
              <w:snapToGrid w:val="0"/>
              <w:jc w:val="center"/>
            </w:pPr>
            <w:r>
              <w:t>申报情形</w:t>
            </w:r>
          </w:p>
        </w:tc>
        <w:tc>
          <w:tcPr>
            <w:tcW w:w="2972" w:type="dxa"/>
            <w:vAlign w:val="center"/>
          </w:tcPr>
          <w:p>
            <w:pPr>
              <w:jc w:val="left"/>
            </w:pPr>
            <w:r>
              <w:rPr>
                <w:rFonts w:hint="eastAsia" w:ascii="宋体" w:hAnsi="宋体" w:cs="宋体"/>
                <w:lang w:eastAsia="zh-CN"/>
              </w:rPr>
              <w:sym w:font="Wingdings 2" w:char="0052"/>
            </w:r>
            <w:r>
              <w:t>首次申报项目</w:t>
            </w:r>
          </w:p>
          <w:p>
            <w:pPr>
              <w:jc w:val="left"/>
            </w:pPr>
            <w:r>
              <w:rPr>
                <w:rFonts w:hint="eastAsia" w:ascii="宋体" w:hAnsi="宋体" w:cs="宋体"/>
              </w:rPr>
              <w:t>□</w:t>
            </w:r>
            <w:r>
              <w:t>不予批准后再次申报项目</w:t>
            </w:r>
          </w:p>
          <w:p>
            <w:pPr>
              <w:jc w:val="left"/>
            </w:pPr>
            <w:r>
              <w:rPr>
                <w:rFonts w:hint="eastAsia" w:ascii="宋体" w:hAnsi="宋体" w:cs="宋体"/>
              </w:rPr>
              <w:t>□</w:t>
            </w:r>
            <w:r>
              <w:t>超五年重新审核项目</w:t>
            </w:r>
          </w:p>
          <w:p>
            <w:pPr>
              <w:jc w:val="left"/>
            </w:pPr>
            <w:r>
              <w:rPr>
                <w:rFonts w:hint="eastAsia" w:ascii="宋体" w:hAnsi="宋体" w:cs="宋体"/>
              </w:rPr>
              <w:t>□</w:t>
            </w:r>
            <w: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53" w:type="dxa"/>
            <w:tcMar>
              <w:top w:w="16" w:type="dxa"/>
              <w:left w:w="16" w:type="dxa"/>
              <w:right w:w="16" w:type="dxa"/>
            </w:tcMar>
            <w:vAlign w:val="center"/>
          </w:tcPr>
          <w:p>
            <w:pPr>
              <w:adjustRightInd w:val="0"/>
              <w:snapToGrid w:val="0"/>
              <w:jc w:val="center"/>
            </w:pPr>
            <w:r>
              <w:t>项目审批（核准/备案）部门（选填）</w:t>
            </w:r>
          </w:p>
        </w:tc>
        <w:tc>
          <w:tcPr>
            <w:tcW w:w="2266" w:type="dxa"/>
            <w:vAlign w:val="center"/>
          </w:tcPr>
          <w:p>
            <w:pPr>
              <w:adjustRightInd w:val="0"/>
              <w:snapToGrid w:val="0"/>
              <w:jc w:val="center"/>
            </w:pPr>
            <w:r>
              <w:rPr>
                <w:rFonts w:hint="eastAsia"/>
                <w:lang w:val="en-US" w:eastAsia="zh-CN"/>
              </w:rPr>
              <w:t>萧县</w:t>
            </w:r>
            <w:r>
              <w:t>发展和改革委员会</w:t>
            </w:r>
          </w:p>
        </w:tc>
        <w:tc>
          <w:tcPr>
            <w:tcW w:w="1879" w:type="dxa"/>
            <w:vAlign w:val="center"/>
          </w:tcPr>
          <w:p>
            <w:pPr>
              <w:adjustRightInd w:val="0"/>
              <w:snapToGrid w:val="0"/>
              <w:jc w:val="center"/>
            </w:pPr>
            <w:r>
              <w:t>项目审批（核准/</w:t>
            </w:r>
          </w:p>
          <w:p>
            <w:pPr>
              <w:adjustRightInd w:val="0"/>
              <w:snapToGrid w:val="0"/>
              <w:jc w:val="center"/>
            </w:pPr>
            <w:r>
              <w:t>备案）文号（选填）</w:t>
            </w:r>
          </w:p>
        </w:tc>
        <w:tc>
          <w:tcPr>
            <w:tcW w:w="2972" w:type="dxa"/>
            <w:vAlign w:val="center"/>
          </w:tcPr>
          <w:p>
            <w:pPr>
              <w:adjustRightInd w:val="0"/>
              <w:snapToGrid w:val="0"/>
              <w:jc w:val="center"/>
              <w:rPr>
                <w:rFonts w:hint="default" w:eastAsia="宋体"/>
                <w:lang w:val="en-US" w:eastAsia="zh-CN"/>
              </w:rPr>
            </w:pPr>
            <w:r>
              <w:rPr>
                <w:rFonts w:hint="default" w:eastAsia="宋体"/>
                <w:lang w:val="en-US" w:eastAsia="zh-CN"/>
              </w:rPr>
              <w:t>萧发改政务【2022】112号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753" w:type="dxa"/>
            <w:tcMar>
              <w:top w:w="16" w:type="dxa"/>
              <w:left w:w="16" w:type="dxa"/>
              <w:right w:w="16" w:type="dxa"/>
            </w:tcMar>
            <w:vAlign w:val="center"/>
          </w:tcPr>
          <w:p>
            <w:pPr>
              <w:adjustRightInd w:val="0"/>
              <w:snapToGrid w:val="0"/>
              <w:jc w:val="center"/>
            </w:pPr>
            <w:r>
              <w:t>总投资（万元）</w:t>
            </w:r>
          </w:p>
        </w:tc>
        <w:tc>
          <w:tcPr>
            <w:tcW w:w="2266" w:type="dxa"/>
            <w:vAlign w:val="center"/>
          </w:tcPr>
          <w:p>
            <w:pPr>
              <w:adjustRightInd w:val="0"/>
              <w:snapToGrid w:val="0"/>
              <w:jc w:val="center"/>
              <w:rPr>
                <w:rFonts w:hint="default" w:eastAsia="宋体"/>
                <w:lang w:val="en-US" w:eastAsia="zh-CN"/>
              </w:rPr>
            </w:pPr>
            <w:r>
              <w:rPr>
                <w:rFonts w:hint="eastAsia"/>
                <w:lang w:val="en-US" w:eastAsia="zh-CN"/>
              </w:rPr>
              <w:t>4000</w:t>
            </w:r>
          </w:p>
        </w:tc>
        <w:tc>
          <w:tcPr>
            <w:tcW w:w="1879" w:type="dxa"/>
            <w:tcMar>
              <w:top w:w="16" w:type="dxa"/>
              <w:left w:w="16" w:type="dxa"/>
              <w:right w:w="16" w:type="dxa"/>
            </w:tcMar>
            <w:vAlign w:val="center"/>
          </w:tcPr>
          <w:p>
            <w:pPr>
              <w:adjustRightInd w:val="0"/>
              <w:snapToGrid w:val="0"/>
              <w:jc w:val="center"/>
              <w:rPr>
                <w:color w:val="auto"/>
              </w:rPr>
            </w:pPr>
            <w:r>
              <w:rPr>
                <w:color w:val="auto"/>
              </w:rPr>
              <w:t>环保投资（万元）</w:t>
            </w:r>
          </w:p>
        </w:tc>
        <w:tc>
          <w:tcPr>
            <w:tcW w:w="2972" w:type="dxa"/>
            <w:vAlign w:val="center"/>
          </w:tcPr>
          <w:p>
            <w:pPr>
              <w:adjustRightInd w:val="0"/>
              <w:snapToGrid w:val="0"/>
              <w:jc w:val="center"/>
              <w:rPr>
                <w:rFonts w:hint="default" w:eastAsia="宋体"/>
                <w:color w:val="auto"/>
                <w:lang w:val="en-US" w:eastAsia="zh-CN"/>
              </w:rPr>
            </w:pPr>
            <w:r>
              <w:rPr>
                <w:rFonts w:hint="eastAsia"/>
                <w:color w:val="auto"/>
                <w:lang w:val="en-US" w:eastAsia="zh-CN"/>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753" w:type="dxa"/>
            <w:tcMar>
              <w:top w:w="16" w:type="dxa"/>
              <w:left w:w="16" w:type="dxa"/>
              <w:right w:w="16" w:type="dxa"/>
            </w:tcMar>
            <w:vAlign w:val="center"/>
          </w:tcPr>
          <w:p>
            <w:pPr>
              <w:adjustRightInd w:val="0"/>
              <w:snapToGrid w:val="0"/>
              <w:jc w:val="center"/>
              <w:rPr>
                <w:color w:val="auto"/>
              </w:rPr>
            </w:pPr>
            <w:r>
              <w:rPr>
                <w:color w:val="auto"/>
              </w:rPr>
              <w:t>环保投资占比（%）</w:t>
            </w:r>
          </w:p>
        </w:tc>
        <w:tc>
          <w:tcPr>
            <w:tcW w:w="2266" w:type="dxa"/>
            <w:vAlign w:val="center"/>
          </w:tcPr>
          <w:p>
            <w:pPr>
              <w:adjustRightInd w:val="0"/>
              <w:snapToGrid w:val="0"/>
              <w:jc w:val="center"/>
              <w:rPr>
                <w:color w:val="auto"/>
              </w:rPr>
            </w:pPr>
            <w:r>
              <w:rPr>
                <w:rFonts w:hint="eastAsia"/>
                <w:b w:val="0"/>
                <w:bCs w:val="0"/>
                <w:color w:val="auto"/>
                <w:lang w:val="en-US" w:eastAsia="zh-CN"/>
              </w:rPr>
              <w:t>2</w:t>
            </w:r>
            <w:r>
              <w:rPr>
                <w:rFonts w:hint="eastAsia"/>
                <w:b w:val="0"/>
                <w:bCs w:val="0"/>
                <w:color w:val="auto"/>
              </w:rPr>
              <w:t>%</w:t>
            </w:r>
          </w:p>
        </w:tc>
        <w:tc>
          <w:tcPr>
            <w:tcW w:w="1879" w:type="dxa"/>
            <w:tcMar>
              <w:top w:w="16" w:type="dxa"/>
              <w:left w:w="16" w:type="dxa"/>
              <w:right w:w="16" w:type="dxa"/>
            </w:tcMar>
            <w:vAlign w:val="center"/>
          </w:tcPr>
          <w:p>
            <w:pPr>
              <w:adjustRightInd w:val="0"/>
              <w:snapToGrid w:val="0"/>
              <w:jc w:val="center"/>
              <w:rPr>
                <w:color w:val="auto"/>
              </w:rPr>
            </w:pPr>
            <w:r>
              <w:rPr>
                <w:color w:val="auto"/>
              </w:rPr>
              <w:t>施工工期</w:t>
            </w:r>
          </w:p>
        </w:tc>
        <w:tc>
          <w:tcPr>
            <w:tcW w:w="2972" w:type="dxa"/>
            <w:vAlign w:val="center"/>
          </w:tcPr>
          <w:p>
            <w:pPr>
              <w:adjustRightInd w:val="0"/>
              <w:snapToGrid w:val="0"/>
              <w:jc w:val="center"/>
              <w:rPr>
                <w:rFonts w:hint="default" w:eastAsia="宋体"/>
                <w:color w:val="auto"/>
                <w:lang w:val="en-US" w:eastAsia="zh-CN"/>
              </w:rPr>
            </w:pPr>
            <w:r>
              <w:rPr>
                <w:rFonts w:hint="eastAsia"/>
                <w:color w:val="auto"/>
                <w:lang w:val="en-US" w:eastAsia="zh-CN"/>
              </w:rPr>
              <w:t>6个月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753" w:type="dxa"/>
            <w:tcMar>
              <w:top w:w="16" w:type="dxa"/>
              <w:left w:w="16" w:type="dxa"/>
              <w:right w:w="16" w:type="dxa"/>
            </w:tcMar>
            <w:vAlign w:val="center"/>
          </w:tcPr>
          <w:p>
            <w:pPr>
              <w:adjustRightInd w:val="0"/>
              <w:snapToGrid w:val="0"/>
              <w:jc w:val="center"/>
            </w:pPr>
            <w:r>
              <w:t>是否开工建设</w:t>
            </w:r>
          </w:p>
        </w:tc>
        <w:tc>
          <w:tcPr>
            <w:tcW w:w="2266" w:type="dxa"/>
            <w:vAlign w:val="center"/>
          </w:tcPr>
          <w:p>
            <w:pPr>
              <w:adjustRightInd w:val="0"/>
              <w:snapToGrid w:val="0"/>
            </w:pPr>
            <w:r>
              <w:rPr>
                <w:rFonts w:hint="eastAsia" w:ascii="宋体" w:hAnsi="宋体" w:cs="宋体"/>
                <w:lang w:eastAsia="zh-CN"/>
              </w:rPr>
              <w:t>□</w:t>
            </w:r>
            <w:r>
              <w:t>否</w:t>
            </w:r>
          </w:p>
          <w:p>
            <w:pPr>
              <w:adjustRightInd w:val="0"/>
              <w:snapToGrid w:val="0"/>
              <w:rPr>
                <w:rFonts w:hint="default" w:eastAsia="宋体"/>
                <w:lang w:val="en-US" w:eastAsia="zh-CN"/>
              </w:rPr>
            </w:pPr>
            <w:r>
              <w:rPr>
                <w:rFonts w:hint="eastAsia" w:ascii="宋体" w:hAnsi="宋体" w:cs="宋体"/>
              </w:rPr>
              <w:sym w:font="Wingdings 2" w:char="0052"/>
            </w:r>
            <w:r>
              <w:t>是：</w:t>
            </w:r>
            <w:r>
              <w:rPr>
                <w:rFonts w:hint="eastAsia"/>
                <w:u w:val="single"/>
                <w:lang w:val="en-US" w:eastAsia="zh-CN"/>
              </w:rPr>
              <w:t>生产设备安装完成，2022年4月21日下发《宿州市生态环境局行政处罚决定书》（宿环萧罚字【2022】035号），已于2022年4月21日缴纳罚款</w:t>
            </w:r>
          </w:p>
        </w:tc>
        <w:tc>
          <w:tcPr>
            <w:tcW w:w="1879" w:type="dxa"/>
            <w:tcMar>
              <w:top w:w="16" w:type="dxa"/>
              <w:left w:w="16" w:type="dxa"/>
              <w:right w:w="16" w:type="dxa"/>
            </w:tcMar>
            <w:vAlign w:val="center"/>
          </w:tcPr>
          <w:p>
            <w:pPr>
              <w:adjustRightInd w:val="0"/>
              <w:snapToGrid w:val="0"/>
              <w:jc w:val="center"/>
              <w:rPr>
                <w:spacing w:val="-6"/>
              </w:rPr>
            </w:pPr>
            <w:r>
              <w:rPr>
                <w:spacing w:val="-6"/>
              </w:rPr>
              <w:t>用地（用海）</w:t>
            </w:r>
          </w:p>
          <w:p>
            <w:pPr>
              <w:adjustRightInd w:val="0"/>
              <w:snapToGrid w:val="0"/>
              <w:jc w:val="center"/>
            </w:pPr>
            <w:r>
              <w:rPr>
                <w:spacing w:val="-6"/>
              </w:rPr>
              <w:t>面积（m</w:t>
            </w:r>
            <w:r>
              <w:rPr>
                <w:spacing w:val="-6"/>
                <w:vertAlign w:val="superscript"/>
              </w:rPr>
              <w:t>2</w:t>
            </w:r>
            <w:r>
              <w:rPr>
                <w:spacing w:val="-6"/>
              </w:rPr>
              <w:t>）</w:t>
            </w:r>
          </w:p>
        </w:tc>
        <w:tc>
          <w:tcPr>
            <w:tcW w:w="2972" w:type="dxa"/>
            <w:vAlign w:val="center"/>
          </w:tcPr>
          <w:p>
            <w:pPr>
              <w:adjustRightInd w:val="0"/>
              <w:snapToGrid w:val="0"/>
              <w:jc w:val="center"/>
              <w:rPr>
                <w:rFonts w:hint="default" w:eastAsia="宋体"/>
                <w:lang w:val="en-US" w:eastAsia="zh-CN"/>
              </w:rPr>
            </w:pPr>
            <w:r>
              <w:rPr>
                <w:rFonts w:hint="eastAsia"/>
                <w:lang w:val="en-US" w:eastAsia="zh-CN"/>
              </w:rPr>
              <w:t>20000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53" w:type="dxa"/>
            <w:vAlign w:val="center"/>
          </w:tcPr>
          <w:p>
            <w:pPr>
              <w:autoSpaceDE w:val="0"/>
              <w:autoSpaceDN w:val="0"/>
              <w:adjustRightInd w:val="0"/>
              <w:snapToGrid w:val="0"/>
              <w:jc w:val="center"/>
              <w:rPr>
                <w:kern w:val="0"/>
              </w:rPr>
            </w:pPr>
            <w:r>
              <w:rPr>
                <w:kern w:val="0"/>
              </w:rPr>
              <w:t>专项评价设置情况</w:t>
            </w:r>
          </w:p>
        </w:tc>
        <w:tc>
          <w:tcPr>
            <w:tcW w:w="7117" w:type="dxa"/>
            <w:gridSpan w:val="3"/>
            <w:vAlign w:val="center"/>
          </w:tcPr>
          <w:p>
            <w:pPr>
              <w:autoSpaceDE w:val="0"/>
              <w:autoSpaceDN w:val="0"/>
              <w:adjustRightInd w:val="0"/>
              <w:snapToGrid w:val="0"/>
              <w:jc w:val="center"/>
              <w:rPr>
                <w:rFonts w:hint="eastAsia" w:eastAsia="宋体"/>
                <w:kern w:val="0"/>
                <w:lang w:eastAsia="zh-CN"/>
              </w:rPr>
            </w:pPr>
            <w:r>
              <w:rPr>
                <w:rFonts w:hint="eastAsia" w:cs="宋体"/>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53" w:type="dxa"/>
            <w:vAlign w:val="center"/>
          </w:tcPr>
          <w:p>
            <w:pPr>
              <w:autoSpaceDE w:val="0"/>
              <w:autoSpaceDN w:val="0"/>
              <w:adjustRightInd w:val="0"/>
              <w:snapToGrid w:val="0"/>
              <w:jc w:val="center"/>
              <w:rPr>
                <w:kern w:val="0"/>
              </w:rPr>
            </w:pPr>
            <w:r>
              <w:t>规划情况</w:t>
            </w:r>
          </w:p>
        </w:tc>
        <w:tc>
          <w:tcPr>
            <w:tcW w:w="7117" w:type="dxa"/>
            <w:gridSpan w:val="3"/>
            <w:vAlign w:val="center"/>
          </w:tcPr>
          <w:p>
            <w:pPr>
              <w:pStyle w:val="2"/>
              <w:spacing w:before="0" w:after="0" w:line="360" w:lineRule="auto"/>
              <w:ind w:right="0"/>
              <w:jc w:val="center"/>
              <w:rPr>
                <w:rFonts w:hint="eastAsia" w:eastAsia="宋体"/>
                <w:bCs/>
                <w:lang w:val="en-US" w:eastAsia="zh-CN"/>
              </w:rPr>
            </w:pPr>
            <w:r>
              <w:rPr>
                <w:rFonts w:hint="eastAsia"/>
                <w:bCs/>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53" w:type="dxa"/>
            <w:vAlign w:val="center"/>
          </w:tcPr>
          <w:p>
            <w:pPr>
              <w:adjustRightInd w:val="0"/>
              <w:snapToGrid w:val="0"/>
              <w:jc w:val="center"/>
            </w:pPr>
            <w:r>
              <w:t>规划环境影响</w:t>
            </w:r>
          </w:p>
          <w:p>
            <w:pPr>
              <w:adjustRightInd w:val="0"/>
              <w:snapToGrid w:val="0"/>
              <w:jc w:val="center"/>
              <w:rPr>
                <w:kern w:val="0"/>
              </w:rPr>
            </w:pPr>
            <w:r>
              <w:t>评价情况</w:t>
            </w:r>
          </w:p>
        </w:tc>
        <w:tc>
          <w:tcPr>
            <w:tcW w:w="7117" w:type="dxa"/>
            <w:gridSpan w:val="3"/>
            <w:vAlign w:val="center"/>
          </w:tcPr>
          <w:p>
            <w:pPr>
              <w:autoSpaceDE w:val="0"/>
              <w:autoSpaceDN w:val="0"/>
              <w:adjustRightInd w:val="0"/>
              <w:snapToGrid w:val="0"/>
              <w:spacing w:line="360" w:lineRule="auto"/>
              <w:jc w:val="center"/>
              <w:rPr>
                <w:rFonts w:hint="default" w:eastAsia="宋体"/>
                <w:lang w:val="en-US" w:eastAsia="zh-CN"/>
              </w:rPr>
            </w:pPr>
            <w:r>
              <w:rPr>
                <w:rFonts w:hint="eastAsia"/>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53" w:type="dxa"/>
            <w:vAlign w:val="center"/>
          </w:tcPr>
          <w:p>
            <w:pPr>
              <w:autoSpaceDE w:val="0"/>
              <w:autoSpaceDN w:val="0"/>
              <w:adjustRightInd w:val="0"/>
              <w:snapToGrid w:val="0"/>
              <w:jc w:val="center"/>
              <w:rPr>
                <w:kern w:val="0"/>
              </w:rPr>
            </w:pPr>
            <w:r>
              <w:rPr>
                <w:kern w:val="0"/>
              </w:rPr>
              <w:t>规划及规划环境影响评价符合性分析</w:t>
            </w:r>
          </w:p>
        </w:tc>
        <w:tc>
          <w:tcPr>
            <w:tcW w:w="7117" w:type="dxa"/>
            <w:gridSpan w:val="3"/>
            <w:vAlign w:val="center"/>
          </w:tcPr>
          <w:p>
            <w:pPr>
              <w:autoSpaceDE w:val="0"/>
              <w:autoSpaceDN w:val="0"/>
              <w:adjustRightInd w:val="0"/>
              <w:snapToGrid w:val="0"/>
              <w:spacing w:line="360" w:lineRule="auto"/>
              <w:jc w:val="center"/>
              <w:rPr>
                <w:rFonts w:hint="default" w:ascii="Times New Roman" w:hAnsi="Times New Roman" w:eastAsia="宋体" w:cs="Times New Roman"/>
                <w:color w:val="000000"/>
                <w:kern w:val="0"/>
                <w:sz w:val="24"/>
                <w:szCs w:val="21"/>
                <w:lang w:val="en-US" w:eastAsia="zh-CN" w:bidi="ar-SA"/>
              </w:rPr>
            </w:pPr>
            <w:r>
              <w:rPr>
                <w:rFonts w:hint="eastAsia" w:cs="Times New Roman"/>
                <w:color w:val="000000"/>
                <w:kern w:val="0"/>
                <w:sz w:val="24"/>
                <w:szCs w:val="21"/>
                <w:lang w:val="en-US" w:eastAsia="zh-CN" w:bidi="ar-SA"/>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1753" w:type="dxa"/>
            <w:vAlign w:val="center"/>
          </w:tcPr>
          <w:p>
            <w:pPr>
              <w:autoSpaceDE w:val="0"/>
              <w:autoSpaceDN w:val="0"/>
              <w:adjustRightInd w:val="0"/>
              <w:snapToGrid w:val="0"/>
              <w:jc w:val="center"/>
              <w:rPr>
                <w:kern w:val="0"/>
              </w:rPr>
            </w:pPr>
            <w:r>
              <w:rPr>
                <w:kern w:val="0"/>
              </w:rPr>
              <w:t>其他符合性分析</w:t>
            </w:r>
          </w:p>
        </w:tc>
        <w:tc>
          <w:tcPr>
            <w:tcW w:w="7117" w:type="dxa"/>
            <w:gridSpan w:val="3"/>
            <w:vAlign w:val="center"/>
          </w:tcPr>
          <w:p>
            <w:pPr>
              <w:pStyle w:val="54"/>
              <w:widowControl/>
              <w:adjustRightInd w:val="0"/>
              <w:snapToGrid w:val="0"/>
              <w:spacing w:before="120" w:beforeLines="50" w:line="360" w:lineRule="auto"/>
              <w:ind w:firstLine="0" w:firstLineChars="0"/>
              <w:rPr>
                <w:b/>
                <w:bCs/>
              </w:rPr>
            </w:pPr>
            <w:r>
              <w:rPr>
                <w:rFonts w:hint="eastAsia" w:cs="宋体"/>
                <w:b/>
                <w:bCs/>
              </w:rPr>
              <w:t>1、产业政策符合性分析</w:t>
            </w:r>
          </w:p>
          <w:p>
            <w:pPr>
              <w:spacing w:line="360" w:lineRule="auto"/>
              <w:ind w:firstLine="480" w:firstLineChars="200"/>
              <w:jc w:val="left"/>
              <w:rPr>
                <w:rFonts w:cs="宋体"/>
                <w:lang w:bidi="ar"/>
              </w:rPr>
            </w:pPr>
            <w:r>
              <w:rPr>
                <w:rFonts w:hint="default" w:ascii="Times New Roman" w:hAnsi="Times New Roman" w:cs="Times New Roman"/>
                <w:color w:val="000000"/>
                <w:sz w:val="24"/>
              </w:rPr>
              <w:t>建设项目为</w:t>
            </w:r>
            <w:r>
              <w:rPr>
                <w:rFonts w:hint="eastAsia" w:cs="Times New Roman"/>
                <w:color w:val="000000"/>
                <w:kern w:val="2"/>
                <w:sz w:val="24"/>
                <w:szCs w:val="24"/>
                <w:lang w:val="en-US" w:eastAsia="zh-CN" w:bidi="ar-SA"/>
              </w:rPr>
              <w:t>水泥制品制造</w:t>
            </w:r>
            <w:r>
              <w:rPr>
                <w:rFonts w:hint="default" w:ascii="Times New Roman" w:hAnsi="Times New Roman" w:cs="Times New Roman"/>
                <w:color w:val="000000"/>
                <w:sz w:val="24"/>
              </w:rPr>
              <w:t>，</w:t>
            </w:r>
            <w:r>
              <w:rPr>
                <w:rFonts w:hint="eastAsia" w:cs="宋体"/>
                <w:lang w:bidi="ar"/>
              </w:rPr>
              <w:t>根据《产业结构调整指导目录（</w:t>
            </w:r>
            <w:r>
              <w:rPr>
                <w:lang w:bidi="ar"/>
              </w:rPr>
              <w:t>2019</w:t>
            </w:r>
            <w:r>
              <w:rPr>
                <w:rFonts w:hint="eastAsia" w:cs="宋体"/>
                <w:lang w:bidi="ar"/>
              </w:rPr>
              <w:t>年本）》</w:t>
            </w:r>
            <w:r>
              <w:rPr>
                <w:rFonts w:hint="eastAsia" w:cs="宋体"/>
                <w:lang w:val="en-US" w:eastAsia="zh-CN" w:bidi="ar"/>
              </w:rPr>
              <w:t>及其修改清单</w:t>
            </w:r>
            <w:r>
              <w:rPr>
                <w:rFonts w:hint="eastAsia" w:cs="宋体"/>
                <w:lang w:bidi="ar"/>
              </w:rPr>
              <w:t>，本项目不属于鼓励类、限制类和淘汰类，属于允许类项目。</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rPr>
            </w:pPr>
            <w:r>
              <w:rPr>
                <w:rFonts w:hint="eastAsia" w:cs="宋体"/>
                <w:lang w:bidi="ar"/>
              </w:rPr>
              <w:t>本项目已于</w:t>
            </w:r>
            <w:r>
              <w:rPr>
                <w:lang w:bidi="ar"/>
              </w:rPr>
              <w:t>202</w:t>
            </w:r>
            <w:r>
              <w:rPr>
                <w:rFonts w:hint="eastAsia"/>
                <w:lang w:val="en-US" w:eastAsia="zh-CN" w:bidi="ar"/>
              </w:rPr>
              <w:t>2</w:t>
            </w:r>
            <w:r>
              <w:rPr>
                <w:rFonts w:hint="eastAsia" w:cs="宋体"/>
                <w:lang w:bidi="ar"/>
              </w:rPr>
              <w:t>年</w:t>
            </w:r>
            <w:r>
              <w:rPr>
                <w:rFonts w:hint="eastAsia" w:cs="宋体"/>
                <w:lang w:val="en-US" w:eastAsia="zh-CN" w:bidi="ar"/>
              </w:rPr>
              <w:t>3</w:t>
            </w:r>
            <w:r>
              <w:rPr>
                <w:rFonts w:hint="eastAsia" w:cs="宋体"/>
                <w:lang w:bidi="ar"/>
              </w:rPr>
              <w:t>月</w:t>
            </w:r>
            <w:r>
              <w:rPr>
                <w:rFonts w:hint="eastAsia" w:cs="宋体"/>
                <w:lang w:val="en-US" w:eastAsia="zh-CN" w:bidi="ar"/>
              </w:rPr>
              <w:t>28</w:t>
            </w:r>
            <w:r>
              <w:rPr>
                <w:rFonts w:hint="eastAsia" w:cs="宋体"/>
                <w:lang w:bidi="ar"/>
              </w:rPr>
              <w:t>日由</w:t>
            </w:r>
            <w:r>
              <w:rPr>
                <w:rFonts w:hint="eastAsia" w:cs="宋体"/>
                <w:lang w:val="en-US" w:eastAsia="zh-CN" w:bidi="ar"/>
              </w:rPr>
              <w:t>萧县</w:t>
            </w:r>
            <w:r>
              <w:rPr>
                <w:rFonts w:hint="eastAsia" w:cs="宋体"/>
                <w:lang w:bidi="ar"/>
              </w:rPr>
              <w:t>发展和改革委员会</w:t>
            </w:r>
            <w:r>
              <w:rPr>
                <w:rFonts w:hint="eastAsia" w:cs="宋体"/>
                <w:lang w:val="en-US" w:eastAsia="zh-CN" w:bidi="ar"/>
              </w:rPr>
              <w:t>以萧</w:t>
            </w:r>
            <w:r>
              <w:rPr>
                <w:rFonts w:hint="eastAsia"/>
                <w:lang w:val="en-US" w:eastAsia="zh-CN"/>
              </w:rPr>
              <w:t>发改政务【2022】112号</w:t>
            </w:r>
            <w:r>
              <w:rPr>
                <w:rFonts w:hint="eastAsia" w:ascii="Times New Roman" w:hAnsi="Times New Roman" w:cs="宋体"/>
                <w:color w:val="auto"/>
                <w:lang w:bidi="ar"/>
              </w:rPr>
              <w:t>予以备案。项目代码为</w:t>
            </w:r>
            <w:r>
              <w:rPr>
                <w:rFonts w:hint="eastAsia"/>
              </w:rPr>
              <w:t>2</w:t>
            </w:r>
            <w:r>
              <w:rPr>
                <w:rFonts w:hint="eastAsia"/>
                <w:lang w:val="en-US" w:eastAsia="zh-CN"/>
              </w:rPr>
              <w:t>203</w:t>
            </w:r>
            <w:r>
              <w:rPr>
                <w:rFonts w:hint="eastAsia"/>
              </w:rPr>
              <w:t>-3413</w:t>
            </w:r>
            <w:r>
              <w:rPr>
                <w:rFonts w:hint="eastAsia"/>
                <w:lang w:val="en-US" w:eastAsia="zh-CN"/>
              </w:rPr>
              <w:t>22</w:t>
            </w:r>
            <w:r>
              <w:rPr>
                <w:rFonts w:hint="eastAsia"/>
              </w:rPr>
              <w:t>-04-0</w:t>
            </w:r>
            <w:r>
              <w:rPr>
                <w:rFonts w:hint="eastAsia"/>
                <w:lang w:val="en-US" w:eastAsia="zh-CN"/>
              </w:rPr>
              <w:t>1</w:t>
            </w:r>
            <w:r>
              <w:rPr>
                <w:rFonts w:hint="eastAsia"/>
              </w:rPr>
              <w:t>-</w:t>
            </w:r>
            <w:r>
              <w:rPr>
                <w:rFonts w:hint="eastAsia"/>
                <w:lang w:val="en-US" w:eastAsia="zh-CN"/>
              </w:rPr>
              <w:t>925490</w:t>
            </w:r>
            <w:r>
              <w:rPr>
                <w:rFonts w:hint="eastAsia" w:ascii="Times New Roman" w:hAnsi="Times New Roman" w:cs="宋体"/>
                <w:color w:val="auto"/>
                <w:lang w:bidi="ar"/>
              </w:rPr>
              <w:t>。</w:t>
            </w:r>
            <w:r>
              <w:rPr>
                <w:rFonts w:hint="eastAsia" w:ascii="Times New Roman" w:hAnsi="Times New Roman" w:cs="宋体"/>
                <w:lang w:bidi="ar"/>
              </w:rPr>
              <w:t>因此，本项目的建设符合地方相关产业政策要求。</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pPr>
            <w:r>
              <w:rPr>
                <w:rFonts w:hint="eastAsia" w:ascii="Times New Roman" w:hAnsi="Times New Roman" w:cs="Times New Roman"/>
                <w:lang w:bidi="ar"/>
              </w:rPr>
              <w:t>综上所述，本项目符合国家和地方产业政策要求。</w:t>
            </w:r>
          </w:p>
          <w:p>
            <w:pPr>
              <w:pStyle w:val="24"/>
              <w:widowControl w:val="0"/>
              <w:spacing w:before="0" w:beforeAutospacing="0" w:after="0" w:afterAutospacing="0" w:line="360" w:lineRule="auto"/>
              <w:jc w:val="both"/>
              <w:rPr>
                <w:b/>
                <w:bCs/>
                <w:color w:val="auto"/>
              </w:rPr>
            </w:pPr>
            <w:r>
              <w:rPr>
                <w:rFonts w:hint="eastAsia" w:ascii="Times New Roman" w:hAnsi="Times New Roman" w:cs="宋体"/>
                <w:b/>
                <w:bCs/>
                <w:color w:val="auto"/>
                <w:kern w:val="2"/>
                <w:szCs w:val="24"/>
                <w:lang w:bidi="ar"/>
              </w:rPr>
              <w:t>2、土地利用的符合性分析</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color w:val="auto"/>
                <w:sz w:val="24"/>
                <w:lang w:bidi="ar"/>
              </w:rPr>
            </w:pPr>
            <w:r>
              <w:rPr>
                <w:rFonts w:hint="default" w:ascii="Times New Roman" w:hAnsi="Times New Roman" w:cs="Times New Roman"/>
              </w:rPr>
              <w:t>本项目位于</w:t>
            </w:r>
            <w:r>
              <w:rPr>
                <w:rFonts w:hint="eastAsia" w:cs="Times New Roman"/>
                <w:lang w:val="en-US" w:eastAsia="zh-CN"/>
              </w:rPr>
              <w:t>安徽省宿州市萧县杨楼镇陇海铁路南侧100号</w:t>
            </w:r>
            <w:r>
              <w:rPr>
                <w:rFonts w:hint="eastAsia" w:cs="Times New Roman"/>
                <w:color w:val="auto"/>
                <w:sz w:val="24"/>
                <w:lang w:val="en-US" w:eastAsia="zh-CN"/>
              </w:rPr>
              <w:t>，</w:t>
            </w:r>
            <w:r>
              <w:rPr>
                <w:rFonts w:hint="eastAsia" w:ascii="Times New Roman" w:hAnsi="Times New Roman" w:cs="Times New Roman"/>
                <w:color w:val="auto"/>
                <w:szCs w:val="32"/>
                <w:lang w:bidi="ar"/>
              </w:rPr>
              <w:t>所在地属于</w:t>
            </w:r>
            <w:r>
              <w:rPr>
                <w:rFonts w:hint="eastAsia" w:cs="Times New Roman"/>
                <w:color w:val="auto"/>
                <w:szCs w:val="32"/>
                <w:lang w:val="en-US" w:eastAsia="zh-CN" w:bidi="ar"/>
              </w:rPr>
              <w:t>建设</w:t>
            </w:r>
            <w:r>
              <w:rPr>
                <w:rFonts w:hint="eastAsia" w:ascii="Times New Roman" w:hAnsi="Times New Roman" w:cs="Times New Roman"/>
                <w:color w:val="auto"/>
                <w:szCs w:val="32"/>
                <w:lang w:bidi="ar"/>
              </w:rPr>
              <w:t>用地</w:t>
            </w:r>
            <w:r>
              <w:rPr>
                <w:rFonts w:hint="eastAsia" w:cs="Times New Roman"/>
                <w:color w:val="auto"/>
                <w:szCs w:val="32"/>
                <w:lang w:eastAsia="zh-CN" w:bidi="ar"/>
              </w:rPr>
              <w:t>（</w:t>
            </w:r>
            <w:r>
              <w:rPr>
                <w:rFonts w:hint="eastAsia" w:cs="Times New Roman"/>
                <w:color w:val="auto"/>
                <w:szCs w:val="32"/>
                <w:lang w:val="en-US" w:eastAsia="zh-CN" w:bidi="ar"/>
              </w:rPr>
              <w:t>详见附件</w:t>
            </w:r>
            <w:r>
              <w:rPr>
                <w:rFonts w:hint="eastAsia" w:cs="Times New Roman"/>
                <w:color w:val="auto"/>
                <w:szCs w:val="32"/>
                <w:lang w:eastAsia="zh-CN" w:bidi="ar"/>
              </w:rPr>
              <w:t>）</w:t>
            </w:r>
            <w:r>
              <w:rPr>
                <w:rFonts w:hint="eastAsia" w:ascii="Times New Roman" w:hAnsi="Times New Roman" w:cs="Times New Roman"/>
                <w:color w:val="auto"/>
                <w:szCs w:val="32"/>
                <w:lang w:bidi="ar"/>
              </w:rPr>
              <w:t>，</w:t>
            </w:r>
            <w:r>
              <w:rPr>
                <w:rFonts w:hint="eastAsia" w:ascii="Times New Roman" w:hAnsi="Times New Roman" w:cs="Times New Roman"/>
                <w:color w:val="auto"/>
                <w:lang w:bidi="ar"/>
              </w:rPr>
              <w:t>项目</w:t>
            </w:r>
            <w:r>
              <w:rPr>
                <w:rFonts w:hint="eastAsia" w:ascii="Times New Roman" w:hAnsi="Times New Roman" w:eastAsia="宋体" w:cs="Times New Roman"/>
                <w:color w:val="auto"/>
                <w:sz w:val="24"/>
                <w:lang w:val="en-US" w:eastAsia="zh-CN"/>
              </w:rPr>
              <w:t>厂区北侧</w:t>
            </w:r>
            <w:r>
              <w:rPr>
                <w:rFonts w:hint="eastAsia"/>
                <w:color w:val="auto"/>
                <w:lang w:val="en-US" w:eastAsia="zh-CN"/>
              </w:rPr>
              <w:t>100m</w:t>
            </w:r>
            <w:r>
              <w:rPr>
                <w:rFonts w:hint="eastAsia" w:ascii="Times New Roman" w:hAnsi="Times New Roman" w:eastAsia="宋体" w:cs="Times New Roman"/>
                <w:color w:val="auto"/>
                <w:sz w:val="24"/>
                <w:lang w:val="en-US" w:eastAsia="zh-CN"/>
              </w:rPr>
              <w:t>为</w:t>
            </w:r>
            <w:r>
              <w:rPr>
                <w:rFonts w:hint="eastAsia" w:cs="Times New Roman"/>
                <w:color w:val="auto"/>
                <w:sz w:val="24"/>
                <w:lang w:val="en-US" w:eastAsia="zh-CN"/>
              </w:rPr>
              <w:t>陇海铁路</w:t>
            </w:r>
            <w:r>
              <w:rPr>
                <w:rFonts w:hint="eastAsia" w:ascii="Times New Roman" w:hAnsi="Times New Roman" w:eastAsia="宋体" w:cs="Times New Roman"/>
                <w:color w:val="auto"/>
                <w:sz w:val="24"/>
                <w:lang w:val="en-US" w:eastAsia="zh-CN"/>
              </w:rPr>
              <w:t>；</w:t>
            </w:r>
            <w:r>
              <w:rPr>
                <w:rFonts w:hint="eastAsia" w:cs="Times New Roman"/>
                <w:color w:val="auto"/>
                <w:sz w:val="24"/>
                <w:lang w:val="en-US" w:eastAsia="zh-CN"/>
              </w:rPr>
              <w:t>东侧为空地；南侧为空地；</w:t>
            </w:r>
            <w:r>
              <w:rPr>
                <w:rFonts w:hint="eastAsia" w:ascii="Times New Roman" w:hAnsi="Times New Roman" w:eastAsia="宋体" w:cs="Times New Roman"/>
                <w:color w:val="auto"/>
                <w:sz w:val="24"/>
                <w:highlight w:val="none"/>
                <w:lang w:val="en-US" w:eastAsia="zh-CN"/>
              </w:rPr>
              <w:t>西侧</w:t>
            </w:r>
            <w:r>
              <w:rPr>
                <w:rFonts w:hint="eastAsia" w:ascii="Times New Roman" w:hAnsi="Times New Roman" w:eastAsia="宋体" w:cs="Times New Roman"/>
                <w:color w:val="auto"/>
                <w:sz w:val="24"/>
                <w:highlight w:val="none"/>
                <w:lang w:val="en-US" w:eastAsia="zh-Hans"/>
              </w:rPr>
              <w:t>为</w:t>
            </w:r>
            <w:r>
              <w:rPr>
                <w:rFonts w:hint="eastAsia" w:cs="Times New Roman"/>
                <w:color w:val="auto"/>
                <w:sz w:val="24"/>
                <w:highlight w:val="none"/>
                <w:lang w:val="en-US" w:eastAsia="zh-CN"/>
              </w:rPr>
              <w:t>空地</w:t>
            </w:r>
            <w:r>
              <w:rPr>
                <w:rFonts w:hint="eastAsia" w:ascii="Times New Roman" w:hAnsi="Times New Roman" w:eastAsia="宋体" w:cs="Times New Roman"/>
                <w:color w:val="auto"/>
                <w:sz w:val="24"/>
                <w:lang w:val="en-US" w:eastAsia="zh-CN"/>
              </w:rPr>
              <w:t>。</w:t>
            </w:r>
            <w:r>
              <w:rPr>
                <w:rFonts w:hint="default" w:ascii="Times New Roman" w:hAnsi="Times New Roman"/>
                <w:color w:val="auto"/>
                <w:sz w:val="24"/>
                <w:lang w:bidi="ar"/>
              </w:rPr>
              <w:t>项目周边无饮用水源保护区、自然保护区、风景名胜区、生态环境敏感区等环境保护目标，选址处用地性质、位置符合相关规划要求与环境兼容。项目运营消耗资源主要为水，项目消耗水量相对区域资源利用总量较少，满足项目建设外部条件要求。</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cs="Times New Roman"/>
                <w:lang w:bidi="ar"/>
              </w:rPr>
            </w:pPr>
            <w:r>
              <w:rPr>
                <w:rFonts w:hint="eastAsia" w:ascii="Times New Roman" w:hAnsi="Times New Roman" w:cs="Times New Roman"/>
                <w:lang w:bidi="ar"/>
              </w:rPr>
              <w:t>综上所述，本项目与周边环境基本相容，项目的选址基本合理。</w:t>
            </w:r>
          </w:p>
          <w:p>
            <w:pPr>
              <w:spacing w:line="360" w:lineRule="auto"/>
              <w:rPr>
                <w:b/>
                <w:bCs/>
                <w:kern w:val="0"/>
              </w:rPr>
            </w:pPr>
            <w:r>
              <w:rPr>
                <w:rFonts w:hint="eastAsia" w:cs="宋体"/>
                <w:b/>
                <w:bCs/>
                <w:lang w:bidi="ar"/>
              </w:rPr>
              <w:t>3、</w:t>
            </w:r>
            <w:r>
              <w:rPr>
                <w:rFonts w:hint="eastAsia"/>
                <w:b/>
                <w:bCs/>
                <w:kern w:val="0"/>
              </w:rPr>
              <w:t>“三线一单”符合性分析：</w:t>
            </w:r>
          </w:p>
          <w:p>
            <w:pPr>
              <w:keepNext w:val="0"/>
              <w:keepLines w:val="0"/>
              <w:suppressLineNumbers w:val="0"/>
              <w:spacing w:before="0" w:beforeAutospacing="0" w:after="0" w:afterAutospacing="0" w:line="360" w:lineRule="auto"/>
              <w:ind w:left="0" w:right="0" w:firstLine="480"/>
              <w:rPr>
                <w:rFonts w:hint="default" w:ascii="Times New Roman" w:hAnsi="Times New Roman" w:cs="Times New Roman"/>
                <w:bCs/>
                <w:kern w:val="0"/>
              </w:rPr>
            </w:pPr>
            <w:r>
              <w:rPr>
                <w:rFonts w:hint="default" w:ascii="Times New Roman" w:hAnsi="Times New Roman" w:cs="Times New Roman"/>
                <w:bCs/>
                <w:kern w:val="0"/>
              </w:rPr>
              <w:t>（1）生态保护红线</w:t>
            </w:r>
          </w:p>
          <w:p>
            <w:pPr>
              <w:keepNext w:val="0"/>
              <w:keepLines w:val="0"/>
              <w:widowControl/>
              <w:suppressLineNumbers w:val="0"/>
              <w:spacing w:before="0" w:beforeAutospacing="0" w:after="0" w:afterAutospacing="0" w:line="360" w:lineRule="auto"/>
              <w:ind w:left="0" w:right="0" w:firstLine="480"/>
              <w:rPr>
                <w:rFonts w:hint="default" w:ascii="Times New Roman" w:hAnsi="Times New Roman" w:cs="Times New Roman"/>
              </w:rPr>
            </w:pPr>
            <w:r>
              <w:rPr>
                <w:rFonts w:hint="default" w:ascii="Times New Roman" w:hAnsi="Times New Roman" w:cs="Times New Roman"/>
              </w:rPr>
              <w:t>本项目位于</w:t>
            </w:r>
            <w:r>
              <w:rPr>
                <w:rFonts w:hint="eastAsia" w:cs="Times New Roman"/>
                <w:lang w:val="en-US" w:eastAsia="zh-CN"/>
              </w:rPr>
              <w:t>安徽省宿州市萧县杨楼镇陇海铁路南侧100号</w:t>
            </w:r>
            <w:r>
              <w:rPr>
                <w:rFonts w:hint="default" w:ascii="Times New Roman" w:hAnsi="Times New Roman" w:cs="Times New Roman"/>
              </w:rPr>
              <w:t>，</w:t>
            </w:r>
            <w:r>
              <w:rPr>
                <w:rFonts w:hint="eastAsia" w:ascii="Times New Roman" w:hAnsi="Times New Roman" w:cs="Times New Roman"/>
              </w:rPr>
              <w:t>根据《安徽省人民政府关于发布安徽省生态保护红线的通知》（皖政秘</w:t>
            </w:r>
            <w:r>
              <w:rPr>
                <w:rFonts w:hint="eastAsia" w:cs="Times New Roman"/>
                <w:lang w:eastAsia="zh-CN"/>
              </w:rPr>
              <w:t>【</w:t>
            </w:r>
            <w:r>
              <w:rPr>
                <w:rFonts w:hint="eastAsia" w:cs="Times New Roman"/>
                <w:lang w:val="en-US" w:eastAsia="zh-CN"/>
              </w:rPr>
              <w:t>2018</w:t>
            </w:r>
            <w:r>
              <w:rPr>
                <w:rFonts w:hint="eastAsia" w:cs="Times New Roman"/>
                <w:lang w:eastAsia="zh-CN"/>
              </w:rPr>
              <w:t>】</w:t>
            </w:r>
            <w:r>
              <w:rPr>
                <w:rFonts w:hint="eastAsia" w:ascii="Times New Roman" w:hAnsi="Times New Roman" w:cs="Times New Roman"/>
              </w:rPr>
              <w:t>120号）和《安徽省生态保护红线划定技术指南》，宿州市辖区生态红线主要位于皇藏峪及周边；其中生物多样性维护生态保护红线位于砀山县、萧县和宿州市埇桥区的北部；水土保持生态红线区域位于宿州市的东南，本项目所在区域不在生态保护红线区域内</w:t>
            </w:r>
            <w:r>
              <w:rPr>
                <w:rFonts w:hint="eastAsia" w:ascii="Times New Roman" w:hAnsi="Times New Roman" w:cs="Times New Roman"/>
                <w:lang w:eastAsia="zh-CN"/>
              </w:rPr>
              <w:t>（</w:t>
            </w:r>
            <w:r>
              <w:rPr>
                <w:rFonts w:hint="default" w:ascii="宋体" w:hAnsi="宋体" w:eastAsia="宋体" w:cs="宋体"/>
                <w:sz w:val="24"/>
                <w:szCs w:val="24"/>
              </w:rPr>
              <w:t>具体见附</w:t>
            </w:r>
            <w:r>
              <w:rPr>
                <w:rFonts w:hint="eastAsia" w:ascii="宋体" w:hAnsi="宋体" w:eastAsia="宋体" w:cs="宋体"/>
                <w:sz w:val="24"/>
                <w:szCs w:val="24"/>
                <w:lang w:val="en-US" w:eastAsia="zh-CN"/>
              </w:rPr>
              <w:t>图）</w:t>
            </w:r>
            <w:r>
              <w:rPr>
                <w:rFonts w:hint="default" w:ascii="Times New Roman" w:hAnsi="Times New Roman" w:cs="Times New Roman"/>
              </w:rPr>
              <w:t>。</w:t>
            </w:r>
          </w:p>
          <w:p>
            <w:pPr>
              <w:keepNext w:val="0"/>
              <w:keepLines w:val="0"/>
              <w:suppressLineNumbers w:val="0"/>
              <w:spacing w:before="0" w:beforeAutospacing="0" w:after="0" w:afterAutospacing="0" w:line="360" w:lineRule="auto"/>
              <w:ind w:left="0" w:right="0" w:firstLine="480"/>
              <w:rPr>
                <w:rFonts w:hint="eastAsia" w:ascii="Times New Roman" w:hAnsi="Times New Roman" w:cs="Times New Roman"/>
                <w:bCs/>
                <w:kern w:val="0"/>
              </w:rPr>
            </w:pPr>
            <w:r>
              <w:rPr>
                <w:rFonts w:hint="eastAsia" w:ascii="Times New Roman" w:hAnsi="Times New Roman" w:cs="Times New Roman"/>
                <w:bCs/>
                <w:kern w:val="0"/>
              </w:rPr>
              <w:t>（2）环境质量底线</w:t>
            </w:r>
          </w:p>
          <w:p>
            <w:pPr>
              <w:keepNext w:val="0"/>
              <w:keepLines w:val="0"/>
              <w:widowControl/>
              <w:suppressLineNumbers w:val="0"/>
              <w:spacing w:before="0" w:beforeAutospacing="0" w:after="0" w:afterAutospacing="0" w:line="360" w:lineRule="auto"/>
              <w:ind w:left="0" w:right="0" w:firstLine="480"/>
              <w:rPr>
                <w:rFonts w:hint="default" w:ascii="Times New Roman" w:hAnsi="Times New Roman" w:cs="Times New Roman"/>
              </w:rPr>
            </w:pPr>
            <w:r>
              <w:rPr>
                <w:rFonts w:hint="eastAsia" w:ascii="Times New Roman" w:hAnsi="Times New Roman" w:cs="Times New Roman"/>
              </w:rPr>
              <w:t>项目所在区域环境空气质量部分因子不能满足《环境空气质量标准》（GB3095-2012）中二级标准。结合环境影响预测，</w:t>
            </w:r>
            <w:r>
              <w:rPr>
                <w:rFonts w:hint="eastAsia" w:ascii="Times New Roman" w:hAnsi="Times New Roman" w:cs="Times New Roman"/>
                <w:color w:val="auto"/>
              </w:rPr>
              <w:t>本项目</w:t>
            </w:r>
            <w:r>
              <w:rPr>
                <w:rFonts w:hint="eastAsia" w:cs="Times New Roman"/>
                <w:color w:val="auto"/>
                <w:lang w:val="en-US" w:eastAsia="zh-CN"/>
              </w:rPr>
              <w:t>仅产生少量粉尘</w:t>
            </w:r>
            <w:r>
              <w:rPr>
                <w:rFonts w:hint="eastAsia" w:ascii="Times New Roman" w:hAnsi="Times New Roman" w:cs="Times New Roman"/>
                <w:color w:val="auto"/>
              </w:rPr>
              <w:t>；</w:t>
            </w:r>
            <w:r>
              <w:rPr>
                <w:rFonts w:hint="default" w:ascii="宋体" w:hAnsi="宋体" w:eastAsia="宋体" w:cs="宋体"/>
                <w:color w:val="auto"/>
                <w:sz w:val="24"/>
                <w:szCs w:val="24"/>
              </w:rPr>
              <w:t>生活污水经化粪池处理后</w:t>
            </w:r>
            <w:r>
              <w:rPr>
                <w:rFonts w:hint="eastAsia" w:ascii="宋体" w:hAnsi="宋体" w:cs="宋体"/>
                <w:color w:val="auto"/>
                <w:sz w:val="24"/>
                <w:szCs w:val="24"/>
                <w:lang w:val="en-US" w:eastAsia="zh-CN"/>
              </w:rPr>
              <w:t>定期清掏，不外排，生产污水经沉淀池沉淀后循环使用，不外排</w:t>
            </w:r>
            <w:r>
              <w:rPr>
                <w:rFonts w:hint="eastAsia" w:ascii="Times New Roman" w:hAnsi="Times New Roman" w:cs="Times New Roman"/>
              </w:rPr>
              <w:t>；固体废物分类收集，分类处置，均可得到合理处置。本项目产生的污染物均得到合理处置，不会触碰区域环境质量底线。</w:t>
            </w:r>
          </w:p>
          <w:p>
            <w:pPr>
              <w:keepNext w:val="0"/>
              <w:keepLines w:val="0"/>
              <w:suppressLineNumbers w:val="0"/>
              <w:spacing w:before="0" w:beforeAutospacing="0" w:after="0" w:afterAutospacing="0" w:line="360" w:lineRule="auto"/>
              <w:ind w:left="0" w:right="0" w:firstLine="480"/>
              <w:rPr>
                <w:rFonts w:hint="eastAsia" w:ascii="Times New Roman" w:hAnsi="Times New Roman" w:cs="Times New Roman"/>
                <w:bCs/>
                <w:kern w:val="0"/>
              </w:rPr>
            </w:pPr>
            <w:r>
              <w:rPr>
                <w:rFonts w:hint="eastAsia" w:ascii="Times New Roman" w:hAnsi="Times New Roman" w:cs="Times New Roman"/>
                <w:bCs/>
                <w:kern w:val="0"/>
              </w:rPr>
              <w:t>（3）资源利用上线</w:t>
            </w:r>
          </w:p>
          <w:p>
            <w:pPr>
              <w:keepNext w:val="0"/>
              <w:keepLines w:val="0"/>
              <w:suppressLineNumbers w:val="0"/>
              <w:spacing w:before="0" w:beforeAutospacing="0" w:after="0" w:afterAutospacing="0" w:line="360" w:lineRule="auto"/>
              <w:ind w:left="0" w:right="0" w:firstLine="480"/>
              <w:rPr>
                <w:rFonts w:hint="default" w:ascii="Times New Roman" w:hAnsi="Times New Roman" w:cs="Times New Roman"/>
              </w:rPr>
            </w:pPr>
            <w:r>
              <w:rPr>
                <w:rFonts w:hint="eastAsia" w:ascii="Times New Roman" w:hAnsi="Times New Roman" w:cs="Times New Roman"/>
              </w:rPr>
              <w:t>项目所用资源包括水资源、土地资源和能源利用上线，本项目用水为生活用水</w:t>
            </w:r>
            <w:r>
              <w:rPr>
                <w:rFonts w:hint="eastAsia" w:cs="Times New Roman"/>
                <w:lang w:val="en-US" w:eastAsia="zh-CN"/>
              </w:rPr>
              <w:t>和生产用水</w:t>
            </w:r>
            <w:r>
              <w:rPr>
                <w:rFonts w:hint="eastAsia" w:ascii="Times New Roman" w:hAnsi="Times New Roman" w:cs="Times New Roman"/>
              </w:rPr>
              <w:t>，依托市政供水，项目用水远小于区域供水能力。从资源角度，本项目的建设充分利用了现有土地资源，减少了土地资源的浪费。项目使用能源主要为电，项目不涉及煤炭等高污染能源。</w:t>
            </w:r>
          </w:p>
          <w:p>
            <w:pPr>
              <w:keepNext w:val="0"/>
              <w:keepLines w:val="0"/>
              <w:numPr>
                <w:ilvl w:val="0"/>
                <w:numId w:val="0"/>
              </w:numPr>
              <w:suppressLineNumbers w:val="0"/>
              <w:spacing w:before="0" w:beforeAutospacing="0" w:after="0" w:afterAutospacing="0" w:line="360" w:lineRule="auto"/>
              <w:ind w:left="480" w:leftChars="200" w:right="0"/>
              <w:rPr>
                <w:rFonts w:hint="eastAsia" w:ascii="Times New Roman" w:hAnsi="Times New Roman" w:cs="Times New Roman"/>
                <w:bCs/>
              </w:rPr>
            </w:pPr>
            <w:r>
              <w:rPr>
                <w:rFonts w:hint="eastAsia" w:ascii="Times New Roman" w:hAnsi="Times New Roman" w:cs="Times New Roman"/>
                <w:bCs/>
                <w:lang w:eastAsia="zh-CN"/>
              </w:rPr>
              <w:t>（</w:t>
            </w:r>
            <w:r>
              <w:rPr>
                <w:rFonts w:hint="eastAsia" w:ascii="Times New Roman" w:hAnsi="Times New Roman" w:cs="Times New Roman"/>
                <w:bCs/>
                <w:lang w:val="en-US" w:eastAsia="zh-CN"/>
              </w:rPr>
              <w:t>4）</w:t>
            </w:r>
            <w:r>
              <w:rPr>
                <w:rFonts w:hint="eastAsia" w:ascii="Times New Roman" w:hAnsi="Times New Roman" w:cs="Times New Roman"/>
                <w:bCs/>
              </w:rPr>
              <w:t>环境准入负面清单</w:t>
            </w:r>
          </w:p>
          <w:p>
            <w:pPr>
              <w:keepNext w:val="0"/>
              <w:keepLines w:val="0"/>
              <w:suppressLineNumbers w:val="0"/>
              <w:spacing w:before="0" w:beforeAutospacing="0" w:after="0" w:afterAutospacing="0" w:line="360" w:lineRule="auto"/>
              <w:ind w:left="0" w:right="0" w:firstLine="480" w:firstLineChars="200"/>
              <w:rPr>
                <w:rFonts w:hint="default"/>
                <w:sz w:val="24"/>
                <w:lang w:bidi="ar"/>
              </w:rPr>
            </w:pPr>
            <w:r>
              <w:rPr>
                <w:rFonts w:hint="eastAsia"/>
                <w:sz w:val="24"/>
                <w:lang w:bidi="ar"/>
              </w:rPr>
              <w:t>项目位于</w:t>
            </w:r>
            <w:r>
              <w:rPr>
                <w:rFonts w:hint="eastAsia" w:cs="Times New Roman"/>
                <w:lang w:val="en-US" w:eastAsia="zh-CN"/>
              </w:rPr>
              <w:t>安徽省宿州市萧县杨楼镇陇海铁路南侧100号</w:t>
            </w:r>
            <w:r>
              <w:rPr>
                <w:rFonts w:hint="default" w:ascii="Times New Roman" w:hAnsi="Times New Roman" w:cs="Times New Roman"/>
              </w:rPr>
              <w:t>，</w:t>
            </w:r>
            <w:r>
              <w:rPr>
                <w:rFonts w:hint="eastAsia"/>
                <w:sz w:val="24"/>
                <w:lang w:bidi="ar"/>
              </w:rPr>
              <w:t>产品为</w:t>
            </w:r>
            <w:r>
              <w:rPr>
                <w:rFonts w:hint="eastAsia"/>
                <w:sz w:val="24"/>
                <w:lang w:val="en-US" w:eastAsia="zh-CN" w:bidi="ar"/>
              </w:rPr>
              <w:t>机制砂石</w:t>
            </w:r>
            <w:r>
              <w:rPr>
                <w:rFonts w:hint="default"/>
                <w:sz w:val="24"/>
                <w:lang w:bidi="ar"/>
              </w:rPr>
              <w:t>，无</w:t>
            </w:r>
            <w:r>
              <w:rPr>
                <w:rFonts w:hint="eastAsia"/>
                <w:sz w:val="24"/>
                <w:lang w:eastAsia="zh-CN" w:bidi="ar"/>
              </w:rPr>
              <w:t>“</w:t>
            </w:r>
            <w:r>
              <w:rPr>
                <w:rFonts w:hint="default"/>
                <w:sz w:val="24"/>
                <w:lang w:bidi="ar"/>
              </w:rPr>
              <w:t>三致</w:t>
            </w:r>
            <w:r>
              <w:rPr>
                <w:rFonts w:hint="eastAsia"/>
                <w:sz w:val="24"/>
                <w:lang w:eastAsia="zh-CN" w:bidi="ar"/>
              </w:rPr>
              <w:t>”</w:t>
            </w:r>
            <w:r>
              <w:rPr>
                <w:rFonts w:hint="default"/>
                <w:sz w:val="24"/>
                <w:lang w:bidi="ar"/>
              </w:rPr>
              <w:t>污染物及持久性有机物或重金属污染物排放，本项目</w:t>
            </w:r>
            <w:r>
              <w:rPr>
                <w:rFonts w:hint="eastAsia"/>
                <w:sz w:val="24"/>
                <w:lang w:bidi="ar"/>
              </w:rPr>
              <w:t>不在产业</w:t>
            </w:r>
            <w:r>
              <w:rPr>
                <w:rFonts w:hint="default"/>
                <w:sz w:val="24"/>
                <w:lang w:bidi="ar"/>
              </w:rPr>
              <w:t>负面清单</w:t>
            </w:r>
            <w:r>
              <w:rPr>
                <w:rFonts w:hint="eastAsia"/>
                <w:sz w:val="24"/>
                <w:lang w:bidi="ar"/>
              </w:rPr>
              <w:t>内</w:t>
            </w:r>
            <w:r>
              <w:rPr>
                <w:rFonts w:hint="default"/>
                <w:sz w:val="24"/>
                <w:lang w:bidi="ar"/>
              </w:rPr>
              <w:t>。</w:t>
            </w:r>
          </w:p>
          <w:p>
            <w:pPr>
              <w:pStyle w:val="54"/>
              <w:spacing w:line="360" w:lineRule="auto"/>
              <w:rPr>
                <w:rFonts w:hint="default" w:ascii="Times New Roman" w:hAnsi="Times New Roman" w:cs="Times New Roman"/>
                <w:lang w:bidi="ar"/>
              </w:rPr>
            </w:pPr>
            <w:r>
              <w:rPr>
                <w:rFonts w:hint="default" w:ascii="Times New Roman" w:hAnsi="Times New Roman" w:cs="Times New Roman"/>
                <w:lang w:bidi="ar"/>
              </w:rPr>
              <w:t>综上分析，本项目建设符合</w:t>
            </w:r>
            <w:r>
              <w:rPr>
                <w:rFonts w:hint="eastAsia" w:cs="Times New Roman"/>
                <w:lang w:eastAsia="zh-CN" w:bidi="ar"/>
              </w:rPr>
              <w:t>“</w:t>
            </w:r>
            <w:r>
              <w:rPr>
                <w:rFonts w:hint="default" w:ascii="Times New Roman" w:hAnsi="Times New Roman" w:cs="Times New Roman"/>
                <w:lang w:bidi="ar"/>
              </w:rPr>
              <w:t>三线一单</w:t>
            </w:r>
            <w:r>
              <w:rPr>
                <w:rFonts w:hint="eastAsia" w:cs="Times New Roman"/>
                <w:lang w:eastAsia="zh-CN" w:bidi="ar"/>
              </w:rPr>
              <w:t>”</w:t>
            </w:r>
            <w:r>
              <w:rPr>
                <w:rFonts w:hint="default" w:ascii="Times New Roman" w:hAnsi="Times New Roman" w:cs="Times New Roman"/>
                <w:lang w:bidi="ar"/>
              </w:rPr>
              <w:t>的要求。</w:t>
            </w:r>
          </w:p>
          <w:p>
            <w:pPr>
              <w:spacing w:line="360" w:lineRule="auto"/>
              <w:rPr>
                <w:b/>
                <w:kern w:val="0"/>
              </w:rPr>
            </w:pPr>
            <w:r>
              <w:rPr>
                <w:rFonts w:hint="eastAsia"/>
                <w:b/>
              </w:rPr>
              <w:t>4、</w:t>
            </w:r>
            <w:r>
              <w:rPr>
                <w:rFonts w:hint="eastAsia"/>
                <w:b/>
                <w:kern w:val="0"/>
              </w:rPr>
              <w:t>与相关政策相符性</w:t>
            </w:r>
          </w:p>
          <w:p>
            <w:pPr>
              <w:keepNext w:val="0"/>
              <w:keepLines w:val="0"/>
              <w:widowControl/>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lang w:bidi="ar"/>
              </w:rPr>
            </w:pPr>
            <w:r>
              <w:rPr>
                <w:rFonts w:hint="eastAsia" w:cs="Times New Roman"/>
                <w:b/>
                <w:bCs/>
                <w:lang w:eastAsia="zh-CN" w:bidi="ar"/>
              </w:rPr>
              <w:t>（</w:t>
            </w:r>
            <w:r>
              <w:rPr>
                <w:rFonts w:hint="eastAsia" w:ascii="Times New Roman" w:hAnsi="Times New Roman" w:cs="Times New Roman"/>
                <w:b/>
                <w:bCs/>
                <w:lang w:bidi="ar"/>
              </w:rPr>
              <w:t>1）与“十三五”挥发性有机物污染防治工作方案的符合性分析</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cs="Times New Roman"/>
                <w:b/>
                <w:bCs/>
                <w:lang w:bidi="ar"/>
              </w:rPr>
            </w:pPr>
            <w:r>
              <w:rPr>
                <w:rFonts w:hint="eastAsia" w:ascii="Times New Roman" w:hAnsi="Times New Roman" w:cs="Times New Roman"/>
                <w:lang w:bidi="ar"/>
              </w:rPr>
              <w:t>本项目与《“十三五”挥发性有机物污染防治工作方案》环大气【2017】121号相符性分析详见下表。</w:t>
            </w:r>
          </w:p>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b/>
                <w:bCs/>
                <w:lang w:bidi="ar"/>
              </w:rPr>
              <w:t>表1</w:t>
            </w:r>
            <w:r>
              <w:rPr>
                <w:rFonts w:hint="eastAsia" w:cs="Times New Roman"/>
                <w:b/>
                <w:bCs/>
                <w:lang w:val="en-US" w:eastAsia="zh-CN" w:bidi="ar"/>
              </w:rPr>
              <w:t>.1</w:t>
            </w:r>
            <w:r>
              <w:rPr>
                <w:rFonts w:hint="default" w:ascii="Times New Roman" w:hAnsi="Times New Roman" w:cs="Times New Roman"/>
                <w:b/>
                <w:bCs/>
                <w:lang w:bidi="ar"/>
              </w:rPr>
              <w:t xml:space="preserve"> </w:t>
            </w:r>
            <w:r>
              <w:rPr>
                <w:rFonts w:hint="eastAsia" w:cs="Times New Roman"/>
                <w:b/>
                <w:bCs/>
                <w:lang w:val="en-US" w:eastAsia="zh-CN" w:bidi="ar"/>
              </w:rPr>
              <w:t xml:space="preserve"> </w:t>
            </w:r>
            <w:r>
              <w:rPr>
                <w:rFonts w:hint="default" w:ascii="Times New Roman" w:hAnsi="Times New Roman" w:cs="Times New Roman"/>
                <w:b/>
                <w:bCs/>
                <w:lang w:bidi="ar"/>
              </w:rPr>
              <w:t>与</w:t>
            </w:r>
            <w:r>
              <w:rPr>
                <w:rFonts w:hint="eastAsia" w:cs="Times New Roman"/>
                <w:b/>
                <w:bCs/>
                <w:lang w:eastAsia="zh-CN" w:bidi="ar"/>
              </w:rPr>
              <w:t>“</w:t>
            </w:r>
            <w:r>
              <w:rPr>
                <w:rFonts w:hint="default" w:ascii="Times New Roman" w:hAnsi="Times New Roman" w:cs="Times New Roman"/>
                <w:b/>
                <w:bCs/>
                <w:lang w:bidi="ar"/>
              </w:rPr>
              <w:t>十三五</w:t>
            </w:r>
            <w:r>
              <w:rPr>
                <w:rFonts w:hint="eastAsia" w:cs="Times New Roman"/>
                <w:b/>
                <w:bCs/>
                <w:lang w:eastAsia="zh-CN" w:bidi="ar"/>
              </w:rPr>
              <w:t>”</w:t>
            </w:r>
            <w:r>
              <w:rPr>
                <w:rFonts w:hint="default" w:ascii="Times New Roman" w:hAnsi="Times New Roman" w:cs="Times New Roman"/>
                <w:b/>
                <w:bCs/>
                <w:lang w:bidi="ar"/>
              </w:rPr>
              <w:t>挥发性有机物污染防治工作方案相符性分析一览表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268"/>
              <w:gridCol w:w="186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z w:val="21"/>
                      <w:szCs w:val="21"/>
                      <w:lang w:bidi="ar"/>
                    </w:rPr>
                  </w:pPr>
                  <w:r>
                    <w:rPr>
                      <w:rFonts w:hint="default" w:ascii="Times New Roman" w:hAnsi="Times New Roman" w:cs="Times New Roman"/>
                      <w:b/>
                      <w:bCs/>
                      <w:sz w:val="21"/>
                      <w:szCs w:val="21"/>
                      <w:lang w:bidi="ar"/>
                    </w:rPr>
                    <w:t>序号</w:t>
                  </w:r>
                </w:p>
              </w:tc>
              <w:tc>
                <w:tcPr>
                  <w:tcW w:w="297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z w:val="21"/>
                      <w:szCs w:val="21"/>
                      <w:lang w:bidi="ar"/>
                    </w:rPr>
                  </w:pPr>
                  <w:r>
                    <w:rPr>
                      <w:rFonts w:hint="default" w:ascii="Times New Roman" w:hAnsi="Times New Roman" w:cs="Times New Roman"/>
                      <w:b/>
                      <w:bCs/>
                      <w:sz w:val="21"/>
                      <w:szCs w:val="21"/>
                      <w:lang w:val="en-US" w:eastAsia="zh-CN" w:bidi="ar"/>
                    </w:rPr>
                    <w:t>“</w:t>
                  </w:r>
                  <w:r>
                    <w:rPr>
                      <w:rFonts w:hint="default" w:ascii="Times New Roman" w:hAnsi="Times New Roman" w:cs="Times New Roman"/>
                      <w:b/>
                      <w:bCs/>
                      <w:sz w:val="21"/>
                      <w:szCs w:val="21"/>
                      <w:lang w:bidi="ar"/>
                    </w:rPr>
                    <w:t>十三五</w:t>
                  </w:r>
                  <w:r>
                    <w:rPr>
                      <w:rFonts w:hint="default" w:ascii="Times New Roman" w:hAnsi="Times New Roman" w:cs="Times New Roman"/>
                      <w:b/>
                      <w:bCs/>
                      <w:sz w:val="21"/>
                      <w:szCs w:val="21"/>
                      <w:lang w:eastAsia="zh-CN" w:bidi="ar"/>
                    </w:rPr>
                    <w:t>”</w:t>
                  </w:r>
                  <w:r>
                    <w:rPr>
                      <w:rFonts w:hint="default" w:ascii="Times New Roman" w:hAnsi="Times New Roman" w:cs="Times New Roman"/>
                      <w:b/>
                      <w:bCs/>
                      <w:sz w:val="21"/>
                      <w:szCs w:val="21"/>
                      <w:lang w:bidi="ar"/>
                    </w:rPr>
                    <w:t>挥发性有机物污染防治工作方案</w:t>
                  </w:r>
                </w:p>
              </w:tc>
              <w:tc>
                <w:tcPr>
                  <w:tcW w:w="169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z w:val="21"/>
                      <w:szCs w:val="21"/>
                      <w:lang w:bidi="ar"/>
                    </w:rPr>
                  </w:pPr>
                  <w:r>
                    <w:rPr>
                      <w:rFonts w:hint="default" w:ascii="Times New Roman" w:hAnsi="Times New Roman" w:cs="Times New Roman"/>
                      <w:b/>
                      <w:bCs/>
                      <w:sz w:val="21"/>
                      <w:szCs w:val="21"/>
                      <w:lang w:bidi="ar"/>
                    </w:rPr>
                    <w:t>项目情况</w:t>
                  </w:r>
                </w:p>
              </w:tc>
              <w:tc>
                <w:tcPr>
                  <w:tcW w:w="89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z w:val="21"/>
                      <w:szCs w:val="21"/>
                      <w:lang w:bidi="ar"/>
                    </w:rPr>
                  </w:pPr>
                  <w:r>
                    <w:rPr>
                      <w:rFonts w:hint="default" w:ascii="Times New Roman" w:hAnsi="Times New Roman" w:cs="Times New Roman"/>
                      <w:b/>
                      <w:bCs/>
                      <w:sz w:val="21"/>
                      <w:szCs w:val="21"/>
                      <w:lang w:bidi="ar"/>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1</w:t>
                  </w:r>
                </w:p>
              </w:tc>
              <w:tc>
                <w:tcPr>
                  <w:tcW w:w="297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sz w:val="21"/>
                      <w:szCs w:val="21"/>
                      <w:lang w:bidi="ar"/>
                    </w:rPr>
                  </w:pPr>
                  <w:r>
                    <w:rPr>
                      <w:rFonts w:hint="default" w:ascii="Times New Roman" w:hAnsi="Times New Roman" w:cs="Times New Roman"/>
                      <w:kern w:val="0"/>
                      <w:sz w:val="21"/>
                      <w:szCs w:val="21"/>
                    </w:rPr>
                    <w:t>加快推进</w:t>
                  </w:r>
                  <w:r>
                    <w:rPr>
                      <w:rFonts w:hint="eastAsia" w:ascii="Times New Roman" w:hAnsi="Times New Roman" w:cs="Times New Roman"/>
                      <w:sz w:val="21"/>
                      <w:szCs w:val="21"/>
                      <w:lang w:eastAsia="zh-CN" w:bidi="ar"/>
                    </w:rPr>
                    <w:t>“</w:t>
                  </w:r>
                  <w:r>
                    <w:rPr>
                      <w:rFonts w:hint="default" w:ascii="Times New Roman" w:hAnsi="Times New Roman" w:cs="Times New Roman"/>
                      <w:sz w:val="21"/>
                      <w:szCs w:val="21"/>
                      <w:lang w:bidi="ar"/>
                    </w:rPr>
                    <w:t>散乱污</w:t>
                  </w:r>
                  <w:r>
                    <w:rPr>
                      <w:rFonts w:hint="eastAsia" w:cs="Times New Roman"/>
                      <w:sz w:val="21"/>
                      <w:szCs w:val="21"/>
                      <w:lang w:eastAsia="zh-CN" w:bidi="ar"/>
                    </w:rPr>
                    <w:t>”</w:t>
                  </w:r>
                  <w:r>
                    <w:rPr>
                      <w:rFonts w:hint="default" w:ascii="Times New Roman" w:hAnsi="Times New Roman" w:cs="Times New Roman"/>
                      <w:kern w:val="0"/>
                      <w:sz w:val="21"/>
                      <w:szCs w:val="21"/>
                    </w:rPr>
                    <w:t>企业综合整治。各地要全面开展涉VOCs 排放的“散乱污”企业排查工作，建立管理台账，实施分类处置。列入淘汰类的，依法依规予以取缔</w:t>
                  </w:r>
                </w:p>
              </w:tc>
              <w:tc>
                <w:tcPr>
                  <w:tcW w:w="1695" w:type="dxa"/>
                  <w:vMerge w:val="restar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eastAsia="zh-CN" w:bidi="ar"/>
                    </w:rPr>
                  </w:pPr>
                  <w:r>
                    <w:rPr>
                      <w:rFonts w:hint="default" w:ascii="Times New Roman" w:hAnsi="Times New Roman" w:cs="Times New Roman"/>
                      <w:sz w:val="21"/>
                      <w:szCs w:val="21"/>
                      <w:lang w:bidi="ar"/>
                    </w:rPr>
                    <w:t>项目位于</w:t>
                  </w:r>
                  <w:r>
                    <w:rPr>
                      <w:rFonts w:hint="eastAsia" w:cs="Times New Roman"/>
                      <w:sz w:val="21"/>
                      <w:szCs w:val="21"/>
                      <w:lang w:val="en-US" w:eastAsia="zh-CN" w:bidi="ar"/>
                    </w:rPr>
                    <w:t>安徽省宿州市萧县杨楼镇陇海铁路南侧100号，不涉及</w:t>
                  </w:r>
                  <w:r>
                    <w:rPr>
                      <w:rFonts w:hint="default" w:ascii="Times New Roman" w:hAnsi="Times New Roman" w:cs="Times New Roman"/>
                      <w:kern w:val="0"/>
                      <w:sz w:val="21"/>
                      <w:szCs w:val="21"/>
                    </w:rPr>
                    <w:t>VOCs排放</w:t>
                  </w:r>
                  <w:r>
                    <w:rPr>
                      <w:rFonts w:hint="default" w:ascii="Times New Roman" w:hAnsi="Times New Roman" w:cs="Times New Roman"/>
                      <w:sz w:val="21"/>
                      <w:szCs w:val="21"/>
                      <w:lang w:bidi="ar"/>
                    </w:rPr>
                    <w:t>，不属于</w:t>
                  </w:r>
                  <w:r>
                    <w:rPr>
                      <w:rFonts w:hint="eastAsia" w:ascii="Times New Roman" w:hAnsi="Times New Roman" w:cs="Times New Roman"/>
                      <w:sz w:val="21"/>
                      <w:szCs w:val="21"/>
                      <w:lang w:eastAsia="zh-CN" w:bidi="ar"/>
                    </w:rPr>
                    <w:t>“</w:t>
                  </w:r>
                  <w:r>
                    <w:rPr>
                      <w:rFonts w:hint="default" w:ascii="Times New Roman" w:hAnsi="Times New Roman" w:cs="Times New Roman"/>
                      <w:sz w:val="21"/>
                      <w:szCs w:val="21"/>
                      <w:lang w:bidi="ar"/>
                    </w:rPr>
                    <w:t>散乱污</w:t>
                  </w:r>
                  <w:r>
                    <w:rPr>
                      <w:rFonts w:hint="eastAsia" w:cs="Times New Roman"/>
                      <w:sz w:val="21"/>
                      <w:szCs w:val="21"/>
                      <w:lang w:eastAsia="zh-CN" w:bidi="ar"/>
                    </w:rPr>
                    <w:t>”</w:t>
                  </w:r>
                  <w:r>
                    <w:rPr>
                      <w:rFonts w:hint="default" w:ascii="Times New Roman" w:hAnsi="Times New Roman" w:cs="Times New Roman"/>
                      <w:sz w:val="21"/>
                      <w:szCs w:val="21"/>
                      <w:lang w:bidi="ar"/>
                    </w:rPr>
                    <w:t>企业</w:t>
                  </w:r>
                </w:p>
              </w:tc>
              <w:tc>
                <w:tcPr>
                  <w:tcW w:w="894"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相符</w:t>
                  </w:r>
                </w:p>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2</w:t>
                  </w:r>
                </w:p>
              </w:tc>
              <w:tc>
                <w:tcPr>
                  <w:tcW w:w="297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sz w:val="21"/>
                      <w:szCs w:val="21"/>
                      <w:lang w:bidi="ar"/>
                    </w:rPr>
                  </w:pPr>
                  <w:r>
                    <w:rPr>
                      <w:rFonts w:hint="default" w:ascii="Times New Roman" w:hAnsi="Times New Roman" w:cs="Times New Roman"/>
                      <w:kern w:val="0"/>
                      <w:sz w:val="21"/>
                      <w:szCs w:val="21"/>
                    </w:rPr>
                    <w:t>重点地区要严格限制石化、化工、包装印刷、工业涂装等高VOCs排放建设项目。新建涉VOCs排放的工业企业要入园区</w:t>
                  </w:r>
                </w:p>
              </w:tc>
              <w:tc>
                <w:tcPr>
                  <w:tcW w:w="1695"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bidi="ar"/>
                    </w:rPr>
                  </w:pPr>
                </w:p>
              </w:tc>
              <w:tc>
                <w:tcPr>
                  <w:tcW w:w="89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3</w:t>
                  </w:r>
                </w:p>
              </w:tc>
              <w:tc>
                <w:tcPr>
                  <w:tcW w:w="297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rPr>
                    <w:t>新、改、扩建涉VOCs排放项目，应从源头加强控制，使用低（无）VOCs 含量的原辅材料，加强废气收集，安装高效治理设施</w:t>
                  </w:r>
                </w:p>
              </w:tc>
              <w:tc>
                <w:tcPr>
                  <w:tcW w:w="169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bidi="ar"/>
                    </w:rPr>
                  </w:pPr>
                  <w:r>
                    <w:rPr>
                      <w:rFonts w:hint="default" w:ascii="Times New Roman" w:hAnsi="Times New Roman" w:cs="Times New Roman"/>
                      <w:color w:val="auto"/>
                      <w:sz w:val="21"/>
                      <w:szCs w:val="21"/>
                      <w:lang w:bidi="ar"/>
                    </w:rPr>
                    <w:t>项目</w:t>
                  </w:r>
                  <w:r>
                    <w:rPr>
                      <w:rFonts w:hint="eastAsia" w:cs="Times New Roman"/>
                      <w:color w:val="auto"/>
                      <w:sz w:val="21"/>
                      <w:szCs w:val="21"/>
                      <w:lang w:val="en-US" w:eastAsia="zh-CN" w:bidi="ar"/>
                    </w:rPr>
                    <w:t>不涉及</w:t>
                  </w:r>
                  <w:r>
                    <w:rPr>
                      <w:rFonts w:hint="default" w:ascii="Times New Roman" w:hAnsi="Times New Roman" w:cs="Times New Roman"/>
                      <w:kern w:val="0"/>
                      <w:sz w:val="21"/>
                      <w:szCs w:val="21"/>
                    </w:rPr>
                    <w:t>新、改、扩建涉VOCs排放项目</w:t>
                  </w:r>
                </w:p>
              </w:tc>
              <w:tc>
                <w:tcPr>
                  <w:tcW w:w="89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bidi="ar"/>
                    </w:rPr>
                  </w:pPr>
                  <w:r>
                    <w:rPr>
                      <w:rFonts w:hint="default" w:ascii="Times New Roman" w:hAnsi="Times New Roman" w:cs="Times New Roman"/>
                      <w:sz w:val="21"/>
                      <w:szCs w:val="21"/>
                      <w:lang w:val="en-US" w:eastAsia="zh-CN" w:bidi="ar"/>
                    </w:rPr>
                    <w:t>4</w:t>
                  </w:r>
                </w:p>
              </w:tc>
              <w:tc>
                <w:tcPr>
                  <w:tcW w:w="297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rPr>
                    <w:t>全面推进集装箱、汽车、木质家具、船舶、工程机械、钢结构、卷材等制造行业工业涂装VOCs排放控制，在重点地区还应加强其他交通设备、电子、家用电器制造等行业工业涂装VOCs排放控制</w:t>
                  </w:r>
                </w:p>
              </w:tc>
              <w:tc>
                <w:tcPr>
                  <w:tcW w:w="1695"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项目为水泥制品制造，不属于上述行业，</w:t>
                  </w:r>
                  <w:r>
                    <w:rPr>
                      <w:rFonts w:hint="eastAsia" w:cs="Times New Roman"/>
                      <w:color w:val="auto"/>
                      <w:sz w:val="21"/>
                      <w:szCs w:val="21"/>
                      <w:lang w:val="en-US" w:eastAsia="zh-CN" w:bidi="ar"/>
                    </w:rPr>
                    <w:t>不属于涉及</w:t>
                  </w:r>
                  <w:r>
                    <w:rPr>
                      <w:rFonts w:hint="default" w:ascii="Times New Roman" w:hAnsi="Times New Roman" w:cs="Times New Roman"/>
                      <w:kern w:val="0"/>
                      <w:sz w:val="21"/>
                      <w:szCs w:val="21"/>
                    </w:rPr>
                    <w:t>VOCs排放</w:t>
                  </w:r>
                  <w:r>
                    <w:rPr>
                      <w:rFonts w:hint="eastAsia" w:ascii="Times New Roman" w:hAnsi="Times New Roman" w:cs="Times New Roman"/>
                      <w:kern w:val="0"/>
                      <w:sz w:val="21"/>
                      <w:szCs w:val="21"/>
                      <w:lang w:val="en-US" w:eastAsia="zh-CN"/>
                    </w:rPr>
                    <w:t>的</w:t>
                  </w:r>
                  <w:r>
                    <w:rPr>
                      <w:rFonts w:hint="default" w:ascii="Times New Roman" w:hAnsi="Times New Roman" w:cs="Times New Roman"/>
                      <w:kern w:val="0"/>
                      <w:sz w:val="21"/>
                      <w:szCs w:val="21"/>
                    </w:rPr>
                    <w:t>项目</w:t>
                  </w:r>
                </w:p>
              </w:tc>
              <w:tc>
                <w:tcPr>
                  <w:tcW w:w="894" w:type="dxa"/>
                  <w:vMerge w:val="restar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bidi="ar"/>
                    </w:rPr>
                  </w:pPr>
                  <w:r>
                    <w:rPr>
                      <w:rFonts w:hint="eastAsia" w:ascii="Times New Roman" w:hAnsi="Times New Roman" w:cs="Times New Roman"/>
                      <w:sz w:val="21"/>
                      <w:szCs w:val="21"/>
                      <w:lang w:val="en-US" w:eastAsia="zh-CN"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bidi="ar"/>
                    </w:rPr>
                  </w:pPr>
                  <w:r>
                    <w:rPr>
                      <w:rFonts w:hint="default" w:ascii="Times New Roman" w:hAnsi="Times New Roman" w:cs="Times New Roman"/>
                      <w:sz w:val="21"/>
                      <w:szCs w:val="21"/>
                      <w:lang w:val="en-US" w:eastAsia="zh-CN" w:bidi="ar"/>
                    </w:rPr>
                    <w:t>5</w:t>
                  </w:r>
                </w:p>
              </w:tc>
              <w:tc>
                <w:tcPr>
                  <w:tcW w:w="297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rPr>
                    <w:t>工程机械制造行业。推广使用高固体分、粉末涂料，到2020年底前，使用比例达到30%以上；试点推行水性涂料。积极采用自动喷涂、静电喷涂等先进涂装技术。加强有机废气收集与治理，有机废气收集率不低于80%，建设吸附燃烧等高效治理设施，实现达标排放。</w:t>
                  </w:r>
                </w:p>
              </w:tc>
              <w:tc>
                <w:tcPr>
                  <w:tcW w:w="1695"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bidi="ar"/>
                    </w:rPr>
                  </w:pPr>
                </w:p>
              </w:tc>
              <w:tc>
                <w:tcPr>
                  <w:tcW w:w="89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bidi="ar"/>
                    </w:rPr>
                  </w:pP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2" w:firstLineChars="200"/>
              <w:textAlignment w:val="auto"/>
              <w:rPr>
                <w:bCs/>
                <w:kern w:val="0"/>
              </w:rPr>
            </w:pPr>
            <w:r>
              <w:rPr>
                <w:rFonts w:hint="eastAsia"/>
                <w:b/>
                <w:kern w:val="0"/>
              </w:rPr>
              <w:t>（</w:t>
            </w:r>
            <w:r>
              <w:rPr>
                <w:rFonts w:hint="eastAsia"/>
                <w:b/>
                <w:kern w:val="0"/>
                <w:lang w:val="en-US" w:eastAsia="zh-CN"/>
              </w:rPr>
              <w:t>2</w:t>
            </w:r>
            <w:r>
              <w:rPr>
                <w:rFonts w:hint="eastAsia"/>
                <w:b/>
                <w:kern w:val="0"/>
              </w:rPr>
              <w:t>）</w:t>
            </w:r>
            <w:r>
              <w:rPr>
                <w:b/>
                <w:kern w:val="0"/>
              </w:rPr>
              <w:t>与《打赢蓝天保卫战三年行动计划》的相符性</w:t>
            </w:r>
          </w:p>
          <w:p>
            <w:pPr>
              <w:jc w:val="center"/>
            </w:pPr>
            <w:r>
              <w:rPr>
                <w:b/>
                <w:bCs/>
                <w:lang w:bidi="ar"/>
              </w:rPr>
              <w:t>表1</w:t>
            </w:r>
            <w:r>
              <w:rPr>
                <w:rFonts w:hint="eastAsia"/>
                <w:b/>
                <w:bCs/>
                <w:lang w:bidi="ar"/>
              </w:rPr>
              <w:t>.</w:t>
            </w:r>
            <w:r>
              <w:rPr>
                <w:rFonts w:hint="eastAsia"/>
                <w:b/>
                <w:bCs/>
                <w:lang w:val="en-US" w:eastAsia="zh-CN" w:bidi="ar"/>
              </w:rPr>
              <w:t>2</w:t>
            </w:r>
            <w:r>
              <w:rPr>
                <w:b/>
                <w:bCs/>
                <w:lang w:bidi="ar"/>
              </w:rPr>
              <w:t xml:space="preserve"> </w:t>
            </w:r>
            <w:r>
              <w:rPr>
                <w:rFonts w:hint="eastAsia"/>
                <w:b/>
                <w:bCs/>
                <w:lang w:val="en-US" w:eastAsia="zh-CN" w:bidi="ar"/>
              </w:rPr>
              <w:t xml:space="preserve"> </w:t>
            </w:r>
            <w:r>
              <w:rPr>
                <w:b/>
                <w:bCs/>
                <w:lang w:bidi="ar"/>
              </w:rPr>
              <w:t>与打赢蓝天保卫战三年行动计划相符性分析一览表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731"/>
              <w:gridCol w:w="1419"/>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pPr>
                    <w:jc w:val="center"/>
                    <w:rPr>
                      <w:b/>
                      <w:bCs/>
                      <w:sz w:val="21"/>
                      <w:szCs w:val="21"/>
                      <w:lang w:bidi="ar"/>
                    </w:rPr>
                  </w:pPr>
                  <w:r>
                    <w:rPr>
                      <w:b/>
                      <w:bCs/>
                      <w:sz w:val="21"/>
                      <w:szCs w:val="21"/>
                      <w:lang w:bidi="ar"/>
                    </w:rPr>
                    <w:t>序号</w:t>
                  </w:r>
                </w:p>
              </w:tc>
              <w:tc>
                <w:tcPr>
                  <w:tcW w:w="3390" w:type="dxa"/>
                  <w:vAlign w:val="center"/>
                </w:tcPr>
                <w:p>
                  <w:pPr>
                    <w:jc w:val="center"/>
                    <w:rPr>
                      <w:b/>
                      <w:bCs/>
                      <w:sz w:val="21"/>
                      <w:szCs w:val="21"/>
                      <w:lang w:bidi="ar"/>
                    </w:rPr>
                  </w:pPr>
                  <w:r>
                    <w:rPr>
                      <w:b/>
                      <w:bCs/>
                      <w:sz w:val="21"/>
                      <w:szCs w:val="21"/>
                    </w:rPr>
                    <w:t>打赢蓝天保卫战三年行动计划</w:t>
                  </w:r>
                </w:p>
              </w:tc>
              <w:tc>
                <w:tcPr>
                  <w:tcW w:w="1290" w:type="dxa"/>
                  <w:vAlign w:val="center"/>
                </w:tcPr>
                <w:p>
                  <w:pPr>
                    <w:jc w:val="center"/>
                    <w:rPr>
                      <w:b/>
                      <w:bCs/>
                      <w:sz w:val="21"/>
                      <w:szCs w:val="21"/>
                      <w:lang w:bidi="ar"/>
                    </w:rPr>
                  </w:pPr>
                  <w:r>
                    <w:rPr>
                      <w:b/>
                      <w:bCs/>
                      <w:sz w:val="21"/>
                      <w:szCs w:val="21"/>
                      <w:lang w:bidi="ar"/>
                    </w:rPr>
                    <w:t>项目情况</w:t>
                  </w:r>
                </w:p>
              </w:tc>
              <w:tc>
                <w:tcPr>
                  <w:tcW w:w="879" w:type="dxa"/>
                  <w:vAlign w:val="center"/>
                </w:tcPr>
                <w:p>
                  <w:pPr>
                    <w:jc w:val="center"/>
                    <w:rPr>
                      <w:b/>
                      <w:bCs/>
                      <w:sz w:val="21"/>
                      <w:szCs w:val="21"/>
                      <w:lang w:bidi="ar"/>
                    </w:rPr>
                  </w:pPr>
                  <w:r>
                    <w:rPr>
                      <w:b/>
                      <w:bCs/>
                      <w:sz w:val="21"/>
                      <w:szCs w:val="21"/>
                      <w:lang w:bidi="ar"/>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pPr>
                    <w:jc w:val="center"/>
                    <w:rPr>
                      <w:sz w:val="21"/>
                      <w:szCs w:val="21"/>
                      <w:lang w:bidi="ar"/>
                    </w:rPr>
                  </w:pPr>
                  <w:r>
                    <w:rPr>
                      <w:sz w:val="21"/>
                      <w:szCs w:val="21"/>
                      <w:lang w:bidi="ar"/>
                    </w:rPr>
                    <w:t>1</w:t>
                  </w:r>
                </w:p>
              </w:tc>
              <w:tc>
                <w:tcPr>
                  <w:tcW w:w="3390" w:type="dxa"/>
                  <w:vAlign w:val="center"/>
                </w:tcPr>
                <w:p>
                  <w:pPr>
                    <w:jc w:val="center"/>
                    <w:rPr>
                      <w:sz w:val="21"/>
                      <w:szCs w:val="21"/>
                      <w:lang w:bidi="ar"/>
                    </w:rPr>
                  </w:pPr>
                  <w:r>
                    <w:rPr>
                      <w:sz w:val="21"/>
                      <w:szCs w:val="21"/>
                      <w:lang w:bidi="ar"/>
                    </w:rPr>
                    <w:t>优化</w:t>
                  </w:r>
                  <w:r>
                    <w:rPr>
                      <w:rFonts w:hint="eastAsia"/>
                      <w:sz w:val="21"/>
                      <w:szCs w:val="21"/>
                      <w:lang w:bidi="ar"/>
                    </w:rPr>
                    <w:t>产</w:t>
                  </w:r>
                  <w:r>
                    <w:rPr>
                      <w:sz w:val="21"/>
                      <w:szCs w:val="21"/>
                      <w:lang w:bidi="ar"/>
                    </w:rPr>
                    <w:t>业布局。各地完成生态保护红线、环境质量底线、资源利用上线、环境准入清单编制工作，明确禁止和限制发展的行业、生产工艺和产业目录。修订完善高耗能、高污染和资源型行业准入条件，环境空气质量未达标城市应制订更严格的产业准入门槛。积极推行区域、规划环境影响评价，新、改、扩建钢铁、石化、化工、焦化、建材、有色等项目的环境影响评价，应满足区域、规划环评要求</w:t>
                  </w:r>
                </w:p>
              </w:tc>
              <w:tc>
                <w:tcPr>
                  <w:tcW w:w="1290" w:type="dxa"/>
                  <w:vAlign w:val="center"/>
                </w:tcPr>
                <w:p>
                  <w:pPr>
                    <w:jc w:val="center"/>
                    <w:rPr>
                      <w:sz w:val="21"/>
                      <w:szCs w:val="21"/>
                      <w:lang w:bidi="ar"/>
                    </w:rPr>
                  </w:pPr>
                  <w:r>
                    <w:rPr>
                      <w:rFonts w:hint="eastAsia"/>
                      <w:color w:val="000000" w:themeColor="text1"/>
                      <w:sz w:val="21"/>
                      <w:szCs w:val="21"/>
                      <w:lang w:bidi="ar"/>
                      <w14:textFill>
                        <w14:solidFill>
                          <w14:schemeClr w14:val="tx1"/>
                        </w14:solidFill>
                      </w14:textFill>
                    </w:rPr>
                    <w:t>本项目为</w:t>
                  </w:r>
                  <w:r>
                    <w:rPr>
                      <w:rFonts w:hint="eastAsia" w:cs="Times New Roman"/>
                      <w:sz w:val="21"/>
                      <w:szCs w:val="21"/>
                      <w:lang w:val="en-US" w:eastAsia="zh-CN" w:bidi="ar"/>
                    </w:rPr>
                    <w:t>水泥制品制造</w:t>
                  </w:r>
                  <w:r>
                    <w:rPr>
                      <w:rFonts w:hint="eastAsia"/>
                      <w:color w:val="000000" w:themeColor="text1"/>
                      <w:sz w:val="21"/>
                      <w:szCs w:val="21"/>
                      <w:lang w:bidi="ar"/>
                      <w14:textFill>
                        <w14:solidFill>
                          <w14:schemeClr w14:val="tx1"/>
                        </w14:solidFill>
                      </w14:textFill>
                    </w:rPr>
                    <w:t>，不属于高耗能、高污染和资源型行业</w:t>
                  </w:r>
                </w:p>
              </w:tc>
              <w:tc>
                <w:tcPr>
                  <w:tcW w:w="879" w:type="dxa"/>
                  <w:vAlign w:val="center"/>
                </w:tcPr>
                <w:p>
                  <w:pPr>
                    <w:jc w:val="center"/>
                    <w:rPr>
                      <w:sz w:val="21"/>
                      <w:szCs w:val="21"/>
                      <w:lang w:bidi="ar"/>
                    </w:rPr>
                  </w:pPr>
                  <w:r>
                    <w:rPr>
                      <w:sz w:val="21"/>
                      <w:szCs w:val="21"/>
                      <w:lang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pPr>
                    <w:jc w:val="center"/>
                    <w:rPr>
                      <w:sz w:val="21"/>
                      <w:szCs w:val="21"/>
                      <w:lang w:bidi="ar"/>
                    </w:rPr>
                  </w:pPr>
                  <w:r>
                    <w:rPr>
                      <w:sz w:val="21"/>
                      <w:szCs w:val="21"/>
                      <w:lang w:bidi="ar"/>
                    </w:rPr>
                    <w:t>2</w:t>
                  </w:r>
                </w:p>
              </w:tc>
              <w:tc>
                <w:tcPr>
                  <w:tcW w:w="3390" w:type="dxa"/>
                  <w:vAlign w:val="center"/>
                </w:tcPr>
                <w:p>
                  <w:pPr>
                    <w:widowControl/>
                    <w:jc w:val="center"/>
                    <w:rPr>
                      <w:sz w:val="21"/>
                      <w:szCs w:val="21"/>
                      <w:lang w:bidi="ar"/>
                    </w:rPr>
                  </w:pPr>
                  <w:r>
                    <w:rPr>
                      <w:sz w:val="21"/>
                      <w:szCs w:val="21"/>
                      <w:lang w:bidi="ar"/>
                    </w:rPr>
                    <w:t>严控“两高”行业产能。重点区域严禁新增钢铁、焦化、电解铝、铸造、水泥和平板玻璃等产能；严格执行钢铁、水泥、平板玻璃等行业产能置换实施办法；新、改、扩建涉及大宗物料运输的建设项目，原则上不得采用公路运输</w:t>
                  </w:r>
                </w:p>
              </w:tc>
              <w:tc>
                <w:tcPr>
                  <w:tcW w:w="1290" w:type="dxa"/>
                  <w:vAlign w:val="center"/>
                </w:tcPr>
                <w:p>
                  <w:pPr>
                    <w:jc w:val="center"/>
                    <w:rPr>
                      <w:sz w:val="21"/>
                      <w:szCs w:val="21"/>
                      <w:lang w:bidi="ar"/>
                    </w:rPr>
                  </w:pPr>
                  <w:r>
                    <w:rPr>
                      <w:rFonts w:hint="eastAsia"/>
                      <w:color w:val="000000" w:themeColor="text1"/>
                      <w:sz w:val="21"/>
                      <w:szCs w:val="21"/>
                      <w:lang w:bidi="ar"/>
                      <w14:textFill>
                        <w14:solidFill>
                          <w14:schemeClr w14:val="tx1"/>
                        </w14:solidFill>
                      </w14:textFill>
                    </w:rPr>
                    <w:t>本项目为</w:t>
                  </w:r>
                  <w:r>
                    <w:rPr>
                      <w:rFonts w:hint="eastAsia" w:cs="Times New Roman"/>
                      <w:sz w:val="21"/>
                      <w:szCs w:val="21"/>
                      <w:lang w:val="en-US" w:eastAsia="zh-CN" w:bidi="ar"/>
                    </w:rPr>
                    <w:t>水泥制品制造</w:t>
                  </w:r>
                  <w:r>
                    <w:rPr>
                      <w:rFonts w:hint="eastAsia"/>
                      <w:color w:val="000000" w:themeColor="text1"/>
                      <w:sz w:val="21"/>
                      <w:szCs w:val="21"/>
                      <w:lang w:bidi="ar"/>
                      <w14:textFill>
                        <w14:solidFill>
                          <w14:schemeClr w14:val="tx1"/>
                        </w14:solidFill>
                      </w14:textFill>
                    </w:rPr>
                    <w:t>，</w:t>
                  </w:r>
                  <w:r>
                    <w:rPr>
                      <w:color w:val="000000" w:themeColor="text1"/>
                      <w:sz w:val="21"/>
                      <w:szCs w:val="21"/>
                      <w:lang w:bidi="ar"/>
                      <w14:textFill>
                        <w14:solidFill>
                          <w14:schemeClr w14:val="tx1"/>
                        </w14:solidFill>
                      </w14:textFill>
                    </w:rPr>
                    <w:t>不属于其中所涉及的行业</w:t>
                  </w:r>
                </w:p>
              </w:tc>
              <w:tc>
                <w:tcPr>
                  <w:tcW w:w="879" w:type="dxa"/>
                  <w:vAlign w:val="center"/>
                </w:tcPr>
                <w:p>
                  <w:pPr>
                    <w:jc w:val="center"/>
                    <w:rPr>
                      <w:sz w:val="21"/>
                      <w:szCs w:val="21"/>
                      <w:lang w:bidi="ar"/>
                    </w:rPr>
                  </w:pPr>
                  <w:r>
                    <w:rPr>
                      <w:sz w:val="21"/>
                      <w:szCs w:val="21"/>
                      <w:lang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pPr>
                    <w:jc w:val="center"/>
                    <w:rPr>
                      <w:sz w:val="21"/>
                      <w:szCs w:val="21"/>
                      <w:lang w:bidi="ar"/>
                    </w:rPr>
                  </w:pPr>
                  <w:r>
                    <w:rPr>
                      <w:sz w:val="21"/>
                      <w:szCs w:val="21"/>
                      <w:lang w:bidi="ar"/>
                    </w:rPr>
                    <w:t>3</w:t>
                  </w:r>
                </w:p>
              </w:tc>
              <w:tc>
                <w:tcPr>
                  <w:tcW w:w="3390" w:type="dxa"/>
                  <w:vAlign w:val="center"/>
                </w:tcPr>
                <w:p>
                  <w:pPr>
                    <w:widowControl/>
                    <w:jc w:val="center"/>
                    <w:rPr>
                      <w:kern w:val="0"/>
                      <w:sz w:val="21"/>
                      <w:szCs w:val="21"/>
                      <w:lang w:bidi="ar"/>
                    </w:rPr>
                  </w:pPr>
                  <w:r>
                    <w:rPr>
                      <w:kern w:val="0"/>
                      <w:sz w:val="21"/>
                      <w:szCs w:val="21"/>
                      <w:lang w:bidi="ar"/>
                    </w:rPr>
                    <w:t>强化</w:t>
                  </w:r>
                  <w:r>
                    <w:rPr>
                      <w:rFonts w:hint="eastAsia"/>
                      <w:sz w:val="21"/>
                      <w:szCs w:val="21"/>
                      <w:lang w:bidi="ar"/>
                    </w:rPr>
                    <w:t>“</w:t>
                  </w:r>
                  <w:r>
                    <w:rPr>
                      <w:sz w:val="21"/>
                      <w:szCs w:val="21"/>
                      <w:lang w:bidi="ar"/>
                    </w:rPr>
                    <w:t>散乱污</w:t>
                  </w:r>
                  <w:r>
                    <w:rPr>
                      <w:rFonts w:hint="eastAsia"/>
                      <w:sz w:val="21"/>
                      <w:szCs w:val="21"/>
                      <w:lang w:bidi="ar"/>
                    </w:rPr>
                    <w:t>”</w:t>
                  </w:r>
                  <w:r>
                    <w:rPr>
                      <w:kern w:val="0"/>
                      <w:sz w:val="21"/>
                      <w:szCs w:val="21"/>
                      <w:lang w:bidi="ar"/>
                    </w:rPr>
                    <w:t>企业综合整治。全面开展</w:t>
                  </w:r>
                  <w:r>
                    <w:rPr>
                      <w:rFonts w:hint="eastAsia"/>
                      <w:sz w:val="21"/>
                      <w:szCs w:val="21"/>
                      <w:lang w:bidi="ar"/>
                    </w:rPr>
                    <w:t>“</w:t>
                  </w:r>
                  <w:r>
                    <w:rPr>
                      <w:sz w:val="21"/>
                      <w:szCs w:val="21"/>
                      <w:lang w:bidi="ar"/>
                    </w:rPr>
                    <w:t>散乱污</w:t>
                  </w:r>
                  <w:r>
                    <w:rPr>
                      <w:rFonts w:hint="eastAsia"/>
                      <w:sz w:val="21"/>
                      <w:szCs w:val="21"/>
                      <w:lang w:bidi="ar"/>
                    </w:rPr>
                    <w:t>”</w:t>
                  </w:r>
                  <w:r>
                    <w:rPr>
                      <w:kern w:val="0"/>
                      <w:sz w:val="21"/>
                      <w:szCs w:val="21"/>
                      <w:lang w:bidi="ar"/>
                    </w:rPr>
                    <w:t>企业及集群综合整治行动。根据产业政策、产业布局规划，以及土地、环保、质量、安全、能耗等要求，制定</w:t>
                  </w:r>
                  <w:r>
                    <w:rPr>
                      <w:rFonts w:hint="eastAsia"/>
                      <w:sz w:val="21"/>
                      <w:szCs w:val="21"/>
                      <w:lang w:bidi="ar"/>
                    </w:rPr>
                    <w:t>“</w:t>
                  </w:r>
                  <w:r>
                    <w:rPr>
                      <w:sz w:val="21"/>
                      <w:szCs w:val="21"/>
                      <w:lang w:bidi="ar"/>
                    </w:rPr>
                    <w:t>散乱污</w:t>
                  </w:r>
                  <w:r>
                    <w:rPr>
                      <w:rFonts w:hint="eastAsia"/>
                      <w:sz w:val="21"/>
                      <w:szCs w:val="21"/>
                      <w:lang w:bidi="ar"/>
                    </w:rPr>
                    <w:t>”</w:t>
                  </w:r>
                  <w:r>
                    <w:rPr>
                      <w:kern w:val="0"/>
                      <w:sz w:val="21"/>
                      <w:szCs w:val="21"/>
                      <w:lang w:bidi="ar"/>
                    </w:rPr>
                    <w:t>企业及集群整治标准</w:t>
                  </w:r>
                </w:p>
              </w:tc>
              <w:tc>
                <w:tcPr>
                  <w:tcW w:w="1290" w:type="dxa"/>
                  <w:vAlign w:val="center"/>
                </w:tcPr>
                <w:p>
                  <w:pPr>
                    <w:jc w:val="center"/>
                    <w:rPr>
                      <w:sz w:val="21"/>
                      <w:szCs w:val="21"/>
                      <w:lang w:bidi="ar"/>
                    </w:rPr>
                  </w:pPr>
                  <w:r>
                    <w:rPr>
                      <w:rFonts w:hint="eastAsia"/>
                      <w:sz w:val="21"/>
                      <w:szCs w:val="21"/>
                      <w:lang w:bidi="ar"/>
                    </w:rPr>
                    <w:t>本项目</w:t>
                  </w:r>
                  <w:r>
                    <w:rPr>
                      <w:sz w:val="21"/>
                      <w:szCs w:val="21"/>
                      <w:lang w:bidi="ar"/>
                    </w:rPr>
                    <w:t>不属于</w:t>
                  </w:r>
                  <w:r>
                    <w:rPr>
                      <w:rFonts w:hint="eastAsia"/>
                      <w:sz w:val="21"/>
                      <w:szCs w:val="21"/>
                      <w:lang w:bidi="ar"/>
                    </w:rPr>
                    <w:t>“</w:t>
                  </w:r>
                  <w:r>
                    <w:rPr>
                      <w:sz w:val="21"/>
                      <w:szCs w:val="21"/>
                      <w:lang w:bidi="ar"/>
                    </w:rPr>
                    <w:t>散乱污</w:t>
                  </w:r>
                  <w:r>
                    <w:rPr>
                      <w:rFonts w:hint="eastAsia"/>
                      <w:sz w:val="21"/>
                      <w:szCs w:val="21"/>
                      <w:lang w:bidi="ar"/>
                    </w:rPr>
                    <w:t>”</w:t>
                  </w:r>
                  <w:r>
                    <w:rPr>
                      <w:sz w:val="21"/>
                      <w:szCs w:val="21"/>
                      <w:lang w:bidi="ar"/>
                    </w:rPr>
                    <w:t>企业</w:t>
                  </w:r>
                </w:p>
              </w:tc>
              <w:tc>
                <w:tcPr>
                  <w:tcW w:w="879" w:type="dxa"/>
                  <w:vAlign w:val="center"/>
                </w:tcPr>
                <w:p>
                  <w:pPr>
                    <w:jc w:val="center"/>
                    <w:rPr>
                      <w:sz w:val="21"/>
                      <w:szCs w:val="21"/>
                      <w:lang w:bidi="ar"/>
                    </w:rPr>
                  </w:pPr>
                  <w:r>
                    <w:rPr>
                      <w:sz w:val="21"/>
                      <w:szCs w:val="21"/>
                      <w:lang w:bidi="ar"/>
                    </w:rPr>
                    <w:t>相符</w:t>
                  </w:r>
                </w:p>
              </w:tc>
            </w:tr>
          </w:tbl>
          <w:p>
            <w:pPr>
              <w:pStyle w:val="61"/>
              <w:adjustRightInd w:val="0"/>
              <w:snapToGrid w:val="0"/>
              <w:spacing w:before="120" w:beforeLines="50"/>
              <w:ind w:firstLine="482"/>
              <w:rPr>
                <w:b/>
                <w:bCs/>
                <w:color w:val="0000FF"/>
                <w:szCs w:val="24"/>
              </w:rPr>
            </w:pPr>
            <w:r>
              <w:rPr>
                <w:rFonts w:hint="eastAsia"/>
                <w:b/>
                <w:bCs/>
                <w:color w:val="auto"/>
                <w:szCs w:val="24"/>
              </w:rPr>
              <w:t>（</w:t>
            </w:r>
            <w:r>
              <w:rPr>
                <w:rFonts w:hint="eastAsia"/>
                <w:b/>
                <w:bCs/>
                <w:color w:val="auto"/>
                <w:szCs w:val="24"/>
                <w:lang w:val="en-US" w:eastAsia="zh-CN"/>
              </w:rPr>
              <w:t>3</w:t>
            </w:r>
            <w:r>
              <w:rPr>
                <w:rFonts w:hint="eastAsia"/>
                <w:b/>
                <w:bCs/>
                <w:color w:val="auto"/>
                <w:szCs w:val="24"/>
              </w:rPr>
              <w:t>）</w:t>
            </w:r>
            <w:r>
              <w:rPr>
                <w:b/>
                <w:bCs/>
                <w:color w:val="auto"/>
                <w:szCs w:val="24"/>
              </w:rPr>
              <w:t>与《2021-2022年秋冬季大气污染综合治理攻坚方案》符合性分析</w:t>
            </w:r>
          </w:p>
          <w:p>
            <w:pPr>
              <w:jc w:val="center"/>
              <w:rPr>
                <w:b/>
                <w:bCs/>
                <w:color w:val="auto"/>
              </w:rPr>
            </w:pPr>
            <w:r>
              <w:rPr>
                <w:b/>
                <w:bCs/>
                <w:color w:val="auto"/>
              </w:rPr>
              <w:t>表</w:t>
            </w:r>
            <w:r>
              <w:rPr>
                <w:rFonts w:hint="eastAsia"/>
                <w:b/>
                <w:bCs/>
                <w:color w:val="auto"/>
              </w:rPr>
              <w:t>1.</w:t>
            </w:r>
            <w:r>
              <w:rPr>
                <w:rFonts w:hint="eastAsia"/>
                <w:b/>
                <w:bCs/>
                <w:color w:val="auto"/>
                <w:lang w:val="en-US" w:eastAsia="zh-CN"/>
              </w:rPr>
              <w:t>3</w:t>
            </w:r>
            <w:r>
              <w:rPr>
                <w:b/>
                <w:bCs/>
                <w:color w:val="auto"/>
              </w:rPr>
              <w:t xml:space="preserve"> </w:t>
            </w:r>
            <w:r>
              <w:rPr>
                <w:rFonts w:hint="eastAsia"/>
                <w:b/>
                <w:bCs/>
                <w:color w:val="auto"/>
                <w:lang w:val="en-US" w:eastAsia="zh-CN"/>
              </w:rPr>
              <w:t xml:space="preserve"> </w:t>
            </w:r>
            <w:r>
              <w:rPr>
                <w:b/>
                <w:bCs/>
                <w:color w:val="auto"/>
              </w:rPr>
              <w:t>与《2021-2022年秋冬季大气污染综合治理攻坚方案》的通知相符性分析</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3747"/>
              <w:gridCol w:w="1436"/>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b/>
                      <w:bCs/>
                      <w:color w:val="auto"/>
                    </w:rPr>
                  </w:pPr>
                  <w:r>
                    <w:rPr>
                      <w:b/>
                      <w:bCs/>
                      <w:color w:val="auto"/>
                      <w:sz w:val="21"/>
                      <w:szCs w:val="21"/>
                    </w:rPr>
                    <w:t>序号</w:t>
                  </w:r>
                </w:p>
              </w:tc>
              <w:tc>
                <w:tcPr>
                  <w:tcW w:w="3405" w:type="dxa"/>
                  <w:vAlign w:val="center"/>
                </w:tcPr>
                <w:p>
                  <w:pPr>
                    <w:jc w:val="center"/>
                    <w:rPr>
                      <w:b/>
                      <w:bCs/>
                      <w:color w:val="auto"/>
                    </w:rPr>
                  </w:pPr>
                  <w:r>
                    <w:rPr>
                      <w:b/>
                      <w:bCs/>
                      <w:color w:val="auto"/>
                      <w:sz w:val="21"/>
                      <w:szCs w:val="21"/>
                    </w:rPr>
                    <w:t>方案内容</w:t>
                  </w:r>
                </w:p>
              </w:tc>
              <w:tc>
                <w:tcPr>
                  <w:tcW w:w="1305" w:type="dxa"/>
                  <w:vAlign w:val="center"/>
                </w:tcPr>
                <w:p>
                  <w:pPr>
                    <w:jc w:val="center"/>
                    <w:rPr>
                      <w:b/>
                      <w:bCs/>
                      <w:color w:val="auto"/>
                    </w:rPr>
                  </w:pPr>
                  <w:r>
                    <w:rPr>
                      <w:b/>
                      <w:bCs/>
                      <w:color w:val="auto"/>
                      <w:sz w:val="21"/>
                      <w:szCs w:val="21"/>
                    </w:rPr>
                    <w:t>项目内容</w:t>
                  </w:r>
                </w:p>
              </w:tc>
              <w:tc>
                <w:tcPr>
                  <w:tcW w:w="864" w:type="dxa"/>
                  <w:vAlign w:val="center"/>
                </w:tcPr>
                <w:p>
                  <w:pPr>
                    <w:jc w:val="center"/>
                    <w:rPr>
                      <w:b/>
                      <w:bCs/>
                      <w:color w:val="auto"/>
                    </w:rPr>
                  </w:pPr>
                  <w:r>
                    <w:rPr>
                      <w:b/>
                      <w:bCs/>
                      <w:color w:val="auto"/>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b/>
                      <w:color w:val="auto"/>
                    </w:rPr>
                  </w:pPr>
                  <w:r>
                    <w:rPr>
                      <w:color w:val="auto"/>
                      <w:sz w:val="21"/>
                      <w:szCs w:val="21"/>
                    </w:rPr>
                    <w:t>1</w:t>
                  </w:r>
                </w:p>
              </w:tc>
              <w:tc>
                <w:tcPr>
                  <w:tcW w:w="3405" w:type="dxa"/>
                  <w:vAlign w:val="center"/>
                </w:tcPr>
                <w:p>
                  <w:pPr>
                    <w:jc w:val="center"/>
                    <w:rPr>
                      <w:b/>
                      <w:color w:val="auto"/>
                    </w:rPr>
                  </w:pPr>
                  <w:r>
                    <w:rPr>
                      <w:rFonts w:hint="eastAsia"/>
                      <w:bCs/>
                      <w:color w:val="auto"/>
                      <w:sz w:val="21"/>
                      <w:szCs w:val="21"/>
                    </w:rPr>
                    <w:t>各地要深入贯彻落实党中央、国务院关于坚决遏制“两高”项目盲目发展相关决策部署，按照《关于加强高耗能、高排放建设项目生态环境源头防控的指导意见》等文件要求，全面梳理排查拟建、在建和存量“两高”项目，对“两高”项目实行清单管理，进行分类处置、动态监控。严格落实能耗双控、产能置换、污染物区域削减、煤炭减量替代等要求，不符合要求的“两高”项目要坚决整改。认真开展自查自纠，严查违规上马、未批先建项目，严格依法查处违法违规企业。对标国内外产品能效、环保先进水平，推动在建和拟建“两高”项目能效、环保水平提升，推进存量“两高”项目改造升级。严厉打击“两高”企业无证排污、不按证排污等各类违法行为，及时曝光违反排污许可制度的典型案例</w:t>
                  </w:r>
                </w:p>
              </w:tc>
              <w:tc>
                <w:tcPr>
                  <w:tcW w:w="1305" w:type="dxa"/>
                  <w:vAlign w:val="center"/>
                </w:tcPr>
                <w:p>
                  <w:pPr>
                    <w:jc w:val="center"/>
                    <w:rPr>
                      <w:b/>
                      <w:color w:val="auto"/>
                    </w:rPr>
                  </w:pPr>
                  <w:r>
                    <w:rPr>
                      <w:rFonts w:hint="eastAsia"/>
                      <w:color w:val="auto"/>
                      <w:sz w:val="21"/>
                      <w:szCs w:val="21"/>
                    </w:rPr>
                    <w:t>本项目不属于</w:t>
                  </w:r>
                  <w:r>
                    <w:rPr>
                      <w:rFonts w:hint="eastAsia"/>
                      <w:bCs/>
                      <w:color w:val="auto"/>
                      <w:sz w:val="21"/>
                      <w:szCs w:val="21"/>
                    </w:rPr>
                    <w:t>“两高”项目</w:t>
                  </w:r>
                </w:p>
              </w:tc>
              <w:tc>
                <w:tcPr>
                  <w:tcW w:w="864" w:type="dxa"/>
                  <w:vAlign w:val="center"/>
                </w:tcPr>
                <w:p>
                  <w:pPr>
                    <w:jc w:val="center"/>
                    <w:rPr>
                      <w:b/>
                      <w:color w:val="auto"/>
                    </w:rPr>
                  </w:pPr>
                  <w:r>
                    <w:rPr>
                      <w:color w:val="auto"/>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b/>
                      <w:color w:val="auto"/>
                    </w:rPr>
                  </w:pPr>
                  <w:r>
                    <w:rPr>
                      <w:color w:val="auto"/>
                      <w:sz w:val="21"/>
                      <w:szCs w:val="21"/>
                    </w:rPr>
                    <w:t>2</w:t>
                  </w:r>
                </w:p>
              </w:tc>
              <w:tc>
                <w:tcPr>
                  <w:tcW w:w="3405" w:type="dxa"/>
                  <w:vAlign w:val="center"/>
                </w:tcPr>
                <w:p>
                  <w:pPr>
                    <w:jc w:val="center"/>
                    <w:rPr>
                      <w:b/>
                      <w:color w:val="auto"/>
                    </w:rPr>
                  </w:pPr>
                  <w:r>
                    <w:rPr>
                      <w:rFonts w:hint="eastAsia"/>
                      <w:color w:val="auto"/>
                      <w:sz w:val="21"/>
                      <w:szCs w:val="21"/>
                    </w:rPr>
                    <w:t>加大燃煤锅炉（含茶水炉、经营性炉灶、储粮烘干设备等燃煤设施）、炉窑淘汰整治力度。在保证电力、热力、天然气供应前提下，加快推进热电联产机组供热半径30公里范围内燃煤锅炉及落后燃煤小热电关停整合。2021年12月底前，基本淘汰每小时35蒸吨以下的燃煤锅炉，保留的燃煤锅炉，要逐一建立清单台账。工业锅炉“煤改气”要坚持“以气定改、以供定需”，在落实供气合同的条件下有序推进。全面淘汰炉膛直径3米以下的燃料类煤气发生炉及达不到环保要求的间歇式固定床煤气发生炉，取缔燃煤热风炉；以煤炭为燃料的加热炉、热处理炉、干燥炉等改用工业余热或电能，鼓励铸造行业冲天炉（10吨/小时及以下）改为电炉，加快推动岩棉等行业冲天炉改为电炉</w:t>
                  </w:r>
                </w:p>
              </w:tc>
              <w:tc>
                <w:tcPr>
                  <w:tcW w:w="1305" w:type="dxa"/>
                  <w:vAlign w:val="center"/>
                </w:tcPr>
                <w:p>
                  <w:pPr>
                    <w:jc w:val="center"/>
                    <w:rPr>
                      <w:b/>
                      <w:color w:val="auto"/>
                    </w:rPr>
                  </w:pPr>
                  <w:r>
                    <w:rPr>
                      <w:rFonts w:hint="eastAsia"/>
                      <w:color w:val="auto"/>
                      <w:sz w:val="21"/>
                      <w:szCs w:val="21"/>
                    </w:rPr>
                    <w:t>本项目不使用燃煤锅炉</w:t>
                  </w:r>
                </w:p>
              </w:tc>
              <w:tc>
                <w:tcPr>
                  <w:tcW w:w="864" w:type="dxa"/>
                  <w:vAlign w:val="center"/>
                </w:tcPr>
                <w:p>
                  <w:pPr>
                    <w:jc w:val="center"/>
                    <w:rPr>
                      <w:b/>
                      <w:color w:val="auto"/>
                    </w:rPr>
                  </w:pPr>
                  <w:r>
                    <w:rPr>
                      <w:color w:val="auto"/>
                      <w:sz w:val="21"/>
                      <w:szCs w:val="21"/>
                    </w:rPr>
                    <w:t>相符</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2" w:firstLineChars="200"/>
              <w:textAlignment w:val="auto"/>
              <w:rPr>
                <w:rFonts w:hint="eastAsia" w:eastAsia="宋体"/>
                <w:kern w:val="0"/>
                <w:lang w:eastAsia="zh-CN"/>
              </w:rPr>
            </w:pPr>
            <w:r>
              <w:rPr>
                <w:rFonts w:hint="eastAsia"/>
                <w:b/>
                <w:bCs/>
                <w:kern w:val="0"/>
                <w:lang w:eastAsia="zh-CN"/>
              </w:rPr>
              <w:t>（</w:t>
            </w:r>
            <w:r>
              <w:rPr>
                <w:rFonts w:hint="eastAsia"/>
                <w:b/>
                <w:bCs/>
                <w:kern w:val="0"/>
                <w:lang w:val="en-US" w:eastAsia="zh-CN"/>
              </w:rPr>
              <w:t>4</w:t>
            </w:r>
            <w:r>
              <w:rPr>
                <w:rFonts w:hint="eastAsia"/>
                <w:b/>
                <w:bCs/>
                <w:kern w:val="0"/>
                <w:lang w:eastAsia="zh-CN"/>
              </w:rPr>
              <w:t>）</w:t>
            </w:r>
            <w:r>
              <w:rPr>
                <w:rFonts w:ascii="Times New Roman" w:hAnsi="Times New Roman" w:cs="Times New Roman"/>
                <w:b/>
                <w:bCs/>
                <w:sz w:val="24"/>
              </w:rPr>
              <w:t>与《安徽省建筑工程施工和预拌混凝土生产扬尘防治标准（试行）</w:t>
            </w:r>
            <w:r>
              <w:rPr>
                <w:rFonts w:hint="eastAsia" w:cs="Times New Roman"/>
                <w:b/>
                <w:bCs/>
                <w:sz w:val="24"/>
                <w:lang w:eastAsia="zh-CN"/>
              </w:rPr>
              <w:t>》</w:t>
            </w:r>
            <w:r>
              <w:rPr>
                <w:rFonts w:hint="eastAsia" w:ascii="Times New Roman" w:hAnsi="Times New Roman" w:eastAsia="宋体" w:cs="Times New Roman"/>
                <w:b/>
                <w:bCs/>
                <w:color w:val="auto"/>
                <w:kern w:val="2"/>
                <w:sz w:val="24"/>
                <w:szCs w:val="24"/>
                <w:lang w:val="en-US" w:eastAsia="zh-CN" w:bidi="ar"/>
              </w:rPr>
              <w:t>（皖环发【2019】17号）</w:t>
            </w:r>
            <w:r>
              <w:rPr>
                <w:rFonts w:ascii="Times New Roman" w:hAnsi="Times New Roman" w:cs="Times New Roman"/>
                <w:b/>
                <w:bCs/>
                <w:sz w:val="24"/>
              </w:rPr>
              <w:t>的相符性</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kern w:val="0"/>
                <w:lang w:val="en-US" w:eastAsia="zh-CN"/>
              </w:rPr>
            </w:pPr>
            <w:r>
              <w:rPr>
                <w:rFonts w:ascii="Times New Roman" w:hAnsi="Times New Roman" w:cs="Times New Roman"/>
                <w:b/>
                <w:bCs/>
                <w:sz w:val="24"/>
              </w:rPr>
              <w:t>表1</w:t>
            </w:r>
            <w:r>
              <w:rPr>
                <w:rFonts w:hint="eastAsia" w:ascii="Times New Roman" w:hAnsi="Times New Roman" w:cs="Times New Roman"/>
                <w:b/>
                <w:bCs/>
                <w:sz w:val="24"/>
                <w:lang w:val="en-US" w:eastAsia="zh-CN"/>
              </w:rPr>
              <w:t xml:space="preserve">.4  </w:t>
            </w:r>
            <w:r>
              <w:rPr>
                <w:rFonts w:ascii="Times New Roman" w:hAnsi="Times New Roman" w:cs="Times New Roman"/>
                <w:b/>
                <w:bCs/>
                <w:sz w:val="24"/>
              </w:rPr>
              <w:t>与《安徽省建筑工程施工和预拌混凝土生产扬尘防治标准（试行）</w:t>
            </w:r>
            <w:r>
              <w:rPr>
                <w:rFonts w:hint="eastAsia" w:cs="Times New Roman"/>
                <w:b/>
                <w:bCs/>
                <w:sz w:val="24"/>
                <w:lang w:eastAsia="zh-CN"/>
              </w:rPr>
              <w:t>》</w:t>
            </w:r>
            <w:r>
              <w:rPr>
                <w:rFonts w:hint="eastAsia" w:ascii="Times New Roman" w:hAnsi="Times New Roman" w:cs="Times New Roman"/>
                <w:b/>
                <w:bCs/>
                <w:sz w:val="24"/>
                <w:lang w:val="en-US" w:eastAsia="zh-CN"/>
              </w:rPr>
              <w:t>（皖环发【2019】17号）</w:t>
            </w:r>
            <w:r>
              <w:rPr>
                <w:rFonts w:ascii="Times New Roman" w:hAnsi="Times New Roman" w:cs="Times New Roman"/>
                <w:b/>
                <w:bCs/>
                <w:sz w:val="24"/>
              </w:rPr>
              <w:t>相符性分析一览表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3616"/>
              <w:gridCol w:w="1914"/>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 w:type="pct"/>
                  <w:noWrap w:val="0"/>
                  <w:vAlign w:val="center"/>
                </w:tcPr>
                <w:p>
                  <w:pPr>
                    <w:jc w:val="center"/>
                    <w:rPr>
                      <w:rFonts w:ascii="Times New Roman" w:hAnsi="Times New Roman" w:cs="Times New Roman"/>
                      <w:b/>
                      <w:bCs/>
                      <w:sz w:val="21"/>
                      <w:szCs w:val="21"/>
                      <w:lang w:bidi="ar"/>
                    </w:rPr>
                  </w:pPr>
                  <w:r>
                    <w:rPr>
                      <w:rFonts w:ascii="Times New Roman" w:hAnsi="Times New Roman" w:cs="Times New Roman"/>
                      <w:b/>
                      <w:bCs/>
                      <w:sz w:val="21"/>
                      <w:szCs w:val="21"/>
                      <w:lang w:bidi="ar"/>
                    </w:rPr>
                    <w:t>序号</w:t>
                  </w:r>
                </w:p>
              </w:tc>
              <w:tc>
                <w:tcPr>
                  <w:tcW w:w="2622" w:type="pct"/>
                  <w:noWrap w:val="0"/>
                  <w:vAlign w:val="center"/>
                </w:tcPr>
                <w:p>
                  <w:pPr>
                    <w:jc w:val="center"/>
                    <w:rPr>
                      <w:rFonts w:ascii="Times New Roman" w:hAnsi="Times New Roman" w:cs="Times New Roman"/>
                      <w:b/>
                      <w:bCs/>
                      <w:sz w:val="21"/>
                      <w:szCs w:val="21"/>
                      <w:lang w:bidi="ar"/>
                    </w:rPr>
                  </w:pPr>
                  <w:r>
                    <w:rPr>
                      <w:rFonts w:ascii="Times New Roman" w:hAnsi="Times New Roman" w:cs="Times New Roman"/>
                      <w:b/>
                      <w:bCs/>
                      <w:sz w:val="21"/>
                      <w:szCs w:val="21"/>
                    </w:rPr>
                    <w:t>《安徽省建筑工程施工和预拌混凝土生产扬尘防治标准（试行）》（皖环发【2019】17号）</w:t>
                  </w:r>
                </w:p>
              </w:tc>
              <w:tc>
                <w:tcPr>
                  <w:tcW w:w="1389" w:type="pct"/>
                  <w:noWrap w:val="0"/>
                  <w:vAlign w:val="center"/>
                </w:tcPr>
                <w:p>
                  <w:pPr>
                    <w:jc w:val="center"/>
                    <w:rPr>
                      <w:rFonts w:ascii="Times New Roman" w:hAnsi="Times New Roman" w:cs="Times New Roman"/>
                      <w:b/>
                      <w:bCs/>
                      <w:sz w:val="21"/>
                      <w:szCs w:val="21"/>
                      <w:lang w:bidi="ar"/>
                    </w:rPr>
                  </w:pPr>
                  <w:r>
                    <w:rPr>
                      <w:rFonts w:ascii="Times New Roman" w:hAnsi="Times New Roman" w:cs="Times New Roman"/>
                      <w:b/>
                      <w:bCs/>
                      <w:sz w:val="21"/>
                      <w:szCs w:val="21"/>
                      <w:lang w:bidi="ar"/>
                    </w:rPr>
                    <w:t>项目情况</w:t>
                  </w:r>
                </w:p>
              </w:tc>
              <w:tc>
                <w:tcPr>
                  <w:tcW w:w="674" w:type="pct"/>
                  <w:noWrap w:val="0"/>
                  <w:vAlign w:val="center"/>
                </w:tcPr>
                <w:p>
                  <w:pPr>
                    <w:jc w:val="center"/>
                    <w:rPr>
                      <w:rFonts w:ascii="Times New Roman" w:hAnsi="Times New Roman" w:cs="Times New Roman"/>
                      <w:b/>
                      <w:bCs/>
                      <w:sz w:val="21"/>
                      <w:szCs w:val="21"/>
                      <w:lang w:bidi="ar"/>
                    </w:rPr>
                  </w:pPr>
                  <w:r>
                    <w:rPr>
                      <w:rFonts w:ascii="Times New Roman" w:hAnsi="Times New Roman" w:cs="Times New Roman"/>
                      <w:b/>
                      <w:bCs/>
                      <w:sz w:val="21"/>
                      <w:szCs w:val="21"/>
                      <w:lang w:bidi="ar"/>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 w:type="pct"/>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lang w:bidi="ar"/>
                    </w:rPr>
                    <w:t>1</w:t>
                  </w:r>
                </w:p>
              </w:tc>
              <w:tc>
                <w:tcPr>
                  <w:tcW w:w="2622" w:type="pct"/>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lang w:val="zh-CN"/>
                    </w:rPr>
                    <w:t>预拌混凝土厂生产区宜建成封闭式厂房。砂石堆场与配料设施应整体封闭，骨料传输皮带机与生产主机楼包括粉料筒仓应整体封闭</w:t>
                  </w:r>
                </w:p>
              </w:tc>
              <w:tc>
                <w:tcPr>
                  <w:tcW w:w="1389" w:type="pct"/>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lang w:bidi="ar"/>
                    </w:rPr>
                    <w:t>建设单位混凝土生产区建设封闭式厂房</w:t>
                  </w:r>
                </w:p>
              </w:tc>
              <w:tc>
                <w:tcPr>
                  <w:tcW w:w="674" w:type="pct"/>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lang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 w:type="pct"/>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lang w:bidi="ar"/>
                    </w:rPr>
                    <w:t>2</w:t>
                  </w:r>
                </w:p>
              </w:tc>
              <w:tc>
                <w:tcPr>
                  <w:tcW w:w="2622" w:type="pct"/>
                  <w:noWrap w:val="0"/>
                  <w:vAlign w:val="center"/>
                </w:tcPr>
                <w:p>
                  <w:pPr>
                    <w:jc w:val="center"/>
                    <w:rPr>
                      <w:rFonts w:ascii="Times New Roman" w:hAnsi="Times New Roman" w:cs="Times New Roman"/>
                      <w:sz w:val="21"/>
                      <w:szCs w:val="21"/>
                      <w:lang w:val="zh-CN"/>
                    </w:rPr>
                  </w:pPr>
                  <w:r>
                    <w:rPr>
                      <w:rFonts w:ascii="Times New Roman" w:hAnsi="Times New Roman" w:cs="Times New Roman"/>
                      <w:sz w:val="21"/>
                      <w:szCs w:val="21"/>
                      <w:lang w:val="zh-CN"/>
                    </w:rPr>
                    <w:t>砂石等散体材料应设置围挡，集中、分类堆放，并采取防尘网覆盖或其他防尘措施</w:t>
                  </w:r>
                </w:p>
              </w:tc>
              <w:tc>
                <w:tcPr>
                  <w:tcW w:w="1389" w:type="pct"/>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lang w:bidi="ar"/>
                    </w:rPr>
                    <w:t>项目砂石等散体材料堆放在原料仓库内，并定期洒水降尘</w:t>
                  </w:r>
                </w:p>
              </w:tc>
              <w:tc>
                <w:tcPr>
                  <w:tcW w:w="674" w:type="pct"/>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lang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 w:type="pct"/>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lang w:bidi="ar"/>
                    </w:rPr>
                    <w:t>3</w:t>
                  </w:r>
                </w:p>
              </w:tc>
              <w:tc>
                <w:tcPr>
                  <w:tcW w:w="2622" w:type="pct"/>
                  <w:noWrap w:val="0"/>
                  <w:vAlign w:val="center"/>
                </w:tcPr>
                <w:p>
                  <w:pPr>
                    <w:jc w:val="center"/>
                    <w:rPr>
                      <w:rFonts w:ascii="Times New Roman" w:hAnsi="Times New Roman" w:cs="Times New Roman"/>
                      <w:sz w:val="21"/>
                      <w:szCs w:val="21"/>
                      <w:lang w:val="zh-CN"/>
                    </w:rPr>
                  </w:pPr>
                  <w:r>
                    <w:rPr>
                      <w:rFonts w:ascii="Times New Roman" w:hAnsi="Times New Roman" w:cs="Times New Roman"/>
                      <w:sz w:val="21"/>
                      <w:szCs w:val="21"/>
                      <w:lang w:val="zh-CN"/>
                    </w:rPr>
                    <w:t>水泥、粉煤灰、灰土等易产生扬尘的细颗粒建筑材料应进行密闭存放或设置围挡进行封闭、覆盖，使用过程中应采取有效抑尘措施</w:t>
                  </w:r>
                </w:p>
              </w:tc>
              <w:tc>
                <w:tcPr>
                  <w:tcW w:w="1389" w:type="pct"/>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lang w:bidi="ar"/>
                    </w:rPr>
                    <w:t>项目使用用料含其中的水泥、粉煤灰等，原辅材料经罐车运送至厂区输送至筒仓内贮存，筒仓配套除尘设施，可以有效抑尘</w:t>
                  </w:r>
                </w:p>
              </w:tc>
              <w:tc>
                <w:tcPr>
                  <w:tcW w:w="674" w:type="pct"/>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lang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 w:type="pct"/>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lang w:bidi="ar"/>
                    </w:rPr>
                    <w:t>4</w:t>
                  </w:r>
                </w:p>
              </w:tc>
              <w:tc>
                <w:tcPr>
                  <w:tcW w:w="2622" w:type="pct"/>
                  <w:noWrap w:val="0"/>
                  <w:vAlign w:val="center"/>
                </w:tcPr>
                <w:p>
                  <w:pPr>
                    <w:widowControl/>
                    <w:jc w:val="center"/>
                    <w:rPr>
                      <w:rFonts w:ascii="Times New Roman" w:hAnsi="Times New Roman" w:cs="Times New Roman"/>
                      <w:sz w:val="21"/>
                      <w:szCs w:val="21"/>
                      <w:lang w:bidi="ar"/>
                    </w:rPr>
                  </w:pPr>
                  <w:r>
                    <w:rPr>
                      <w:rFonts w:ascii="Times New Roman" w:hAnsi="Times New Roman" w:cs="Times New Roman"/>
                      <w:sz w:val="21"/>
                      <w:szCs w:val="21"/>
                      <w:lang w:val="zh-CN"/>
                    </w:rPr>
                    <w:t>砂石堆场应建设分仓挡隔墙，宜设置排水沟。砂石堆场、卸料区、车辆进出口及骨料配料设施应有降尘抑尘设施设备。下料点应采取喷淋或其他抑尘措施。应建设车辆出厂冲洗设施。运输车辆出厂前必须冲洗清理，车体应保持清洁，冲洗废水应循环使用</w:t>
                  </w:r>
                </w:p>
              </w:tc>
              <w:tc>
                <w:tcPr>
                  <w:tcW w:w="1389" w:type="pct"/>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lang w:bidi="ar"/>
                    </w:rPr>
                    <w:t>建设单位设置分仓挡隔墙，设置排水沟；建设洗车台、沉淀池、安装喷淋设施等；废水经沉淀池沉淀后循环使用不外排</w:t>
                  </w:r>
                </w:p>
              </w:tc>
              <w:tc>
                <w:tcPr>
                  <w:tcW w:w="674" w:type="pct"/>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lang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 w:type="pct"/>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lang w:bidi="ar"/>
                    </w:rPr>
                    <w:t>5</w:t>
                  </w:r>
                </w:p>
              </w:tc>
              <w:tc>
                <w:tcPr>
                  <w:tcW w:w="2622" w:type="pct"/>
                  <w:noWrap w:val="0"/>
                  <w:vAlign w:val="center"/>
                </w:tcPr>
                <w:p>
                  <w:pPr>
                    <w:widowControl/>
                    <w:jc w:val="center"/>
                    <w:rPr>
                      <w:rFonts w:ascii="Times New Roman" w:hAnsi="Times New Roman" w:cs="Times New Roman"/>
                      <w:sz w:val="21"/>
                      <w:szCs w:val="21"/>
                      <w:lang w:val="zh-CN"/>
                    </w:rPr>
                  </w:pPr>
                  <w:r>
                    <w:rPr>
                      <w:rFonts w:ascii="Times New Roman" w:hAnsi="Times New Roman" w:cs="Times New Roman"/>
                      <w:sz w:val="21"/>
                      <w:szCs w:val="21"/>
                      <w:lang w:val="zh-CN"/>
                    </w:rPr>
                    <w:t>搅拌主机、骨料集料仓及粉料筒仓应安装强制式除尘脉冲清理设备，滤芯宜采用专用除尘布袋，除尘机宜安装用于判断滤芯使用有效性的压力感应设备。螺旋机与枰体软连接应采用专用除尘布袋。除尘设备必须保持正常使用状态，滤芯、除尘布袋等易损部件必须定期保养、更换</w:t>
                  </w:r>
                </w:p>
              </w:tc>
              <w:tc>
                <w:tcPr>
                  <w:tcW w:w="1389" w:type="pct"/>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lang w:val="zh-CN"/>
                    </w:rPr>
                    <w:t>搅拌主机、骨料集料仓及粉料筒仓</w:t>
                  </w:r>
                  <w:r>
                    <w:rPr>
                      <w:rFonts w:ascii="Times New Roman" w:hAnsi="Times New Roman" w:cs="Times New Roman"/>
                      <w:sz w:val="21"/>
                      <w:szCs w:val="21"/>
                    </w:rPr>
                    <w:t>均安装除尘设施</w:t>
                  </w:r>
                </w:p>
              </w:tc>
              <w:tc>
                <w:tcPr>
                  <w:tcW w:w="674" w:type="pct"/>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lang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 w:type="pct"/>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lang w:bidi="ar"/>
                    </w:rPr>
                    <w:t>6</w:t>
                  </w:r>
                </w:p>
              </w:tc>
              <w:tc>
                <w:tcPr>
                  <w:tcW w:w="2622" w:type="pct"/>
                  <w:noWrap w:val="0"/>
                  <w:vAlign w:val="center"/>
                </w:tcPr>
                <w:p>
                  <w:pPr>
                    <w:widowControl/>
                    <w:jc w:val="center"/>
                    <w:rPr>
                      <w:rFonts w:ascii="Times New Roman" w:hAnsi="Times New Roman" w:cs="Times New Roman"/>
                      <w:sz w:val="21"/>
                      <w:szCs w:val="21"/>
                      <w:lang w:val="zh-CN"/>
                    </w:rPr>
                  </w:pPr>
                  <w:r>
                    <w:rPr>
                      <w:rFonts w:ascii="Times New Roman" w:hAnsi="Times New Roman" w:cs="Times New Roman"/>
                      <w:sz w:val="21"/>
                      <w:szCs w:val="21"/>
                      <w:lang w:val="zh-CN"/>
                    </w:rPr>
                    <w:t>搅拌主机除与各类材料样体和除尘设备连接口外，不应有其他通向大气的出口。粉料</w:t>
                  </w:r>
                  <w:r>
                    <w:rPr>
                      <w:rFonts w:ascii="Times New Roman" w:hAnsi="Times New Roman" w:cs="Times New Roman"/>
                      <w:sz w:val="21"/>
                      <w:szCs w:val="21"/>
                    </w:rPr>
                    <w:t>筒仓</w:t>
                  </w:r>
                  <w:r>
                    <w:rPr>
                      <w:rFonts w:ascii="Times New Roman" w:hAnsi="Times New Roman" w:cs="Times New Roman"/>
                      <w:sz w:val="21"/>
                      <w:szCs w:val="21"/>
                      <w:lang w:val="zh-CN"/>
                    </w:rPr>
                    <w:t>除吹灰管、除尘设备以及压力安全阀出口外，不应有其他通向厂房外界大气的出口</w:t>
                  </w:r>
                </w:p>
              </w:tc>
              <w:tc>
                <w:tcPr>
                  <w:tcW w:w="1389" w:type="pct"/>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搅拌主机及粉料筒仓均设置在封闭厂房内，无其他通向厂房外界大气的出口</w:t>
                  </w:r>
                </w:p>
              </w:tc>
              <w:tc>
                <w:tcPr>
                  <w:tcW w:w="674" w:type="pct"/>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lang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 w:type="pct"/>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lang w:bidi="ar"/>
                    </w:rPr>
                    <w:t>7</w:t>
                  </w:r>
                </w:p>
              </w:tc>
              <w:tc>
                <w:tcPr>
                  <w:tcW w:w="2622" w:type="pct"/>
                  <w:noWrap w:val="0"/>
                  <w:vAlign w:val="center"/>
                </w:tcPr>
                <w:p>
                  <w:pPr>
                    <w:widowControl/>
                    <w:jc w:val="center"/>
                    <w:rPr>
                      <w:rFonts w:ascii="Times New Roman" w:hAnsi="Times New Roman" w:cs="Times New Roman"/>
                      <w:sz w:val="21"/>
                      <w:szCs w:val="21"/>
                      <w:lang w:val="zh-CN"/>
                    </w:rPr>
                  </w:pPr>
                  <w:r>
                    <w:rPr>
                      <w:rFonts w:ascii="Times New Roman" w:hAnsi="Times New Roman" w:cs="Times New Roman"/>
                      <w:sz w:val="21"/>
                      <w:szCs w:val="21"/>
                      <w:lang w:val="zh-CN"/>
                    </w:rPr>
                    <w:t>厂界环境空气污染物中的总悬浮颗粒物、可吸入颗粒物和细颗粒物的浓度限值应符合《大气污染物综合排放标准》GB16297要求，并满足环评执行标准要求</w:t>
                  </w:r>
                </w:p>
              </w:tc>
              <w:tc>
                <w:tcPr>
                  <w:tcW w:w="1389" w:type="pct"/>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项目标准执行安徽省《水泥工业大气污染物排放标准》（DB34/3576-2020），标准严于GB16297</w:t>
                  </w:r>
                </w:p>
              </w:tc>
              <w:tc>
                <w:tcPr>
                  <w:tcW w:w="674" w:type="pct"/>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lang w:bidi="ar"/>
                    </w:rPr>
                    <w:t>相符</w:t>
                  </w:r>
                </w:p>
              </w:tc>
            </w:tr>
          </w:tbl>
          <w:p>
            <w:pPr>
              <w:spacing w:line="400" w:lineRule="exact"/>
              <w:ind w:firstLine="482" w:firstLineChars="200"/>
              <w:jc w:val="left"/>
              <w:rPr>
                <w:rFonts w:hint="default" w:ascii="Times New Roman" w:hAnsi="Times New Roman" w:eastAsia="宋体" w:cs="Times New Roman"/>
                <w:b/>
                <w:bCs/>
                <w:color w:val="000000"/>
                <w:sz w:val="24"/>
                <w:lang w:val="en-US" w:eastAsia="zh-CN"/>
              </w:rPr>
            </w:pPr>
            <w:r>
              <w:rPr>
                <w:rFonts w:hint="eastAsia" w:ascii="Times New Roman" w:hAnsi="Times New Roman" w:cs="Times New Roman"/>
                <w:b/>
                <w:bCs/>
                <w:color w:val="000000"/>
                <w:sz w:val="24"/>
                <w:lang w:val="en-US" w:eastAsia="zh-CN"/>
              </w:rPr>
              <w:t>（5）与《安徽省混凝土搅拌站环境综合整治工作方案》的相符性</w:t>
            </w:r>
          </w:p>
          <w:p>
            <w:pPr>
              <w:spacing w:line="400" w:lineRule="exact"/>
              <w:jc w:val="center"/>
              <w:rPr>
                <w:rFonts w:ascii="Times New Roman" w:hAnsi="Times New Roman" w:cs="Times New Roman"/>
                <w:color w:val="000000"/>
                <w:sz w:val="24"/>
              </w:rPr>
            </w:pPr>
            <w:r>
              <w:rPr>
                <w:rFonts w:ascii="Times New Roman" w:hAnsi="Times New Roman" w:cs="Times New Roman"/>
                <w:b/>
                <w:bCs/>
                <w:color w:val="000000"/>
                <w:sz w:val="24"/>
              </w:rPr>
              <w:t>表1</w:t>
            </w:r>
            <w:r>
              <w:rPr>
                <w:rFonts w:hint="eastAsia" w:ascii="Times New Roman" w:hAnsi="Times New Roman" w:cs="Times New Roman"/>
                <w:b/>
                <w:bCs/>
                <w:color w:val="000000"/>
                <w:sz w:val="24"/>
                <w:lang w:val="en-US" w:eastAsia="zh-CN"/>
              </w:rPr>
              <w:t xml:space="preserve">.5  </w:t>
            </w:r>
            <w:r>
              <w:rPr>
                <w:rFonts w:ascii="Times New Roman" w:hAnsi="Times New Roman" w:cs="Times New Roman"/>
                <w:b/>
                <w:bCs/>
                <w:color w:val="000000"/>
                <w:sz w:val="24"/>
              </w:rPr>
              <w:t>与</w:t>
            </w:r>
            <w:r>
              <w:rPr>
                <w:rFonts w:hint="eastAsia" w:ascii="Times New Roman" w:hAnsi="Times New Roman" w:cs="Times New Roman"/>
                <w:b/>
                <w:bCs/>
                <w:color w:val="000000"/>
                <w:sz w:val="24"/>
                <w:lang w:val="en-US" w:eastAsia="zh-CN"/>
              </w:rPr>
              <w:t>《安徽省混凝土搅拌站环境综合整治工作方案》</w:t>
            </w:r>
            <w:r>
              <w:rPr>
                <w:rFonts w:ascii="Times New Roman" w:hAnsi="Times New Roman" w:cs="Times New Roman"/>
                <w:b/>
                <w:bCs/>
                <w:color w:val="000000"/>
                <w:sz w:val="24"/>
              </w:rPr>
              <w:t>相符性分析一览表</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3162"/>
              <w:gridCol w:w="2641"/>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8" w:type="pct"/>
                  <w:noWrap w:val="0"/>
                  <w:vAlign w:val="center"/>
                </w:tcPr>
                <w:p>
                  <w:pPr>
                    <w:jc w:val="center"/>
                    <w:rPr>
                      <w:rFonts w:ascii="Times New Roman" w:hAnsi="Times New Roman" w:cs="Times New Roman"/>
                      <w:b/>
                      <w:bCs/>
                      <w:color w:val="000000"/>
                      <w:sz w:val="21"/>
                      <w:szCs w:val="21"/>
                      <w:lang w:bidi="ar"/>
                    </w:rPr>
                  </w:pPr>
                  <w:r>
                    <w:rPr>
                      <w:rFonts w:ascii="Times New Roman" w:hAnsi="Times New Roman" w:cs="Times New Roman"/>
                      <w:b/>
                      <w:bCs/>
                      <w:color w:val="000000"/>
                      <w:sz w:val="21"/>
                      <w:szCs w:val="21"/>
                      <w:lang w:bidi="ar"/>
                    </w:rPr>
                    <w:t>序号</w:t>
                  </w:r>
                </w:p>
              </w:tc>
              <w:tc>
                <w:tcPr>
                  <w:tcW w:w="2296" w:type="pct"/>
                  <w:noWrap w:val="0"/>
                  <w:vAlign w:val="center"/>
                </w:tcPr>
                <w:p>
                  <w:pPr>
                    <w:jc w:val="center"/>
                    <w:rPr>
                      <w:rFonts w:ascii="Times New Roman" w:hAnsi="Times New Roman" w:cs="Times New Roman"/>
                      <w:b/>
                      <w:bCs/>
                      <w:color w:val="000000"/>
                      <w:sz w:val="21"/>
                      <w:szCs w:val="21"/>
                      <w:lang w:bidi="ar"/>
                    </w:rPr>
                  </w:pPr>
                  <w:r>
                    <w:rPr>
                      <w:rFonts w:hint="eastAsia" w:ascii="Times New Roman" w:hAnsi="Times New Roman" w:cs="Times New Roman"/>
                      <w:b/>
                      <w:bCs/>
                      <w:color w:val="000000"/>
                      <w:sz w:val="21"/>
                      <w:szCs w:val="21"/>
                    </w:rPr>
                    <w:t>《安徽省混凝土搅拌站环境综合整治工作方案》</w:t>
                  </w:r>
                </w:p>
              </w:tc>
              <w:tc>
                <w:tcPr>
                  <w:tcW w:w="1917" w:type="pct"/>
                  <w:noWrap w:val="0"/>
                  <w:vAlign w:val="center"/>
                </w:tcPr>
                <w:p>
                  <w:pPr>
                    <w:jc w:val="center"/>
                    <w:rPr>
                      <w:rFonts w:ascii="Times New Roman" w:hAnsi="Times New Roman" w:cs="Times New Roman"/>
                      <w:b/>
                      <w:bCs/>
                      <w:color w:val="000000"/>
                      <w:sz w:val="21"/>
                      <w:szCs w:val="21"/>
                      <w:lang w:bidi="ar"/>
                    </w:rPr>
                  </w:pPr>
                  <w:r>
                    <w:rPr>
                      <w:rFonts w:ascii="Times New Roman" w:hAnsi="Times New Roman" w:cs="Times New Roman"/>
                      <w:b/>
                      <w:bCs/>
                      <w:color w:val="000000"/>
                      <w:sz w:val="21"/>
                      <w:szCs w:val="21"/>
                      <w:lang w:bidi="ar"/>
                    </w:rPr>
                    <w:t>项目情况</w:t>
                  </w:r>
                </w:p>
              </w:tc>
              <w:tc>
                <w:tcPr>
                  <w:tcW w:w="457" w:type="pct"/>
                  <w:noWrap w:val="0"/>
                  <w:vAlign w:val="center"/>
                </w:tcPr>
                <w:p>
                  <w:pPr>
                    <w:jc w:val="center"/>
                    <w:rPr>
                      <w:rFonts w:ascii="Times New Roman" w:hAnsi="Times New Roman" w:cs="Times New Roman"/>
                      <w:b/>
                      <w:bCs/>
                      <w:color w:val="000000"/>
                      <w:sz w:val="21"/>
                      <w:szCs w:val="21"/>
                      <w:lang w:bidi="ar"/>
                    </w:rPr>
                  </w:pPr>
                  <w:r>
                    <w:rPr>
                      <w:rFonts w:ascii="Times New Roman" w:hAnsi="Times New Roman" w:cs="Times New Roman"/>
                      <w:b/>
                      <w:bCs/>
                      <w:color w:val="000000"/>
                      <w:sz w:val="21"/>
                      <w:szCs w:val="21"/>
                      <w:lang w:bidi="ar"/>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328" w:type="pct"/>
                  <w:noWrap w:val="0"/>
                  <w:vAlign w:val="center"/>
                </w:tcPr>
                <w:p>
                  <w:pPr>
                    <w:jc w:val="center"/>
                    <w:rPr>
                      <w:rFonts w:ascii="Times New Roman" w:hAnsi="Times New Roman" w:cs="Times New Roman"/>
                      <w:color w:val="000000"/>
                      <w:sz w:val="21"/>
                      <w:szCs w:val="21"/>
                      <w:lang w:bidi="ar"/>
                    </w:rPr>
                  </w:pPr>
                  <w:r>
                    <w:rPr>
                      <w:rFonts w:ascii="Times New Roman" w:hAnsi="Times New Roman" w:cs="Times New Roman"/>
                      <w:color w:val="000000"/>
                      <w:sz w:val="21"/>
                      <w:szCs w:val="21"/>
                      <w:lang w:bidi="ar"/>
                    </w:rPr>
                    <w:t>1</w:t>
                  </w:r>
                </w:p>
              </w:tc>
              <w:tc>
                <w:tcPr>
                  <w:tcW w:w="2296" w:type="pct"/>
                  <w:noWrap w:val="0"/>
                  <w:vAlign w:val="center"/>
                </w:tcPr>
                <w:p>
                  <w:pPr>
                    <w:jc w:val="left"/>
                    <w:rPr>
                      <w:rFonts w:ascii="Times New Roman" w:hAnsi="Times New Roman" w:cs="Times New Roman"/>
                      <w:color w:val="000000"/>
                      <w:sz w:val="21"/>
                      <w:szCs w:val="21"/>
                      <w:lang w:bidi="ar"/>
                    </w:rPr>
                  </w:pPr>
                  <w:r>
                    <w:rPr>
                      <w:rFonts w:hint="eastAsia" w:ascii="Times New Roman" w:hAnsi="Times New Roman" w:cs="Times New Roman"/>
                      <w:color w:val="000000"/>
                      <w:sz w:val="21"/>
                      <w:szCs w:val="21"/>
                      <w:lang w:val="zh-CN"/>
                    </w:rPr>
                    <w:t>（</w:t>
                  </w:r>
                  <w:r>
                    <w:rPr>
                      <w:rFonts w:hint="eastAsia" w:ascii="Times New Roman" w:hAnsi="Times New Roman" w:cs="Times New Roman"/>
                      <w:color w:val="000000"/>
                      <w:sz w:val="21"/>
                      <w:szCs w:val="21"/>
                      <w:lang w:val="en-US" w:eastAsia="zh-CN"/>
                    </w:rPr>
                    <w:t>一</w:t>
                  </w:r>
                  <w:r>
                    <w:rPr>
                      <w:rFonts w:hint="eastAsia" w:ascii="Times New Roman" w:hAnsi="Times New Roman" w:cs="Times New Roman"/>
                      <w:color w:val="000000"/>
                      <w:sz w:val="21"/>
                      <w:szCs w:val="21"/>
                      <w:lang w:val="zh-CN"/>
                    </w:rPr>
                    <w:t>）新建、迁建、扩建、改建混凝土搅拌站要求。新建、迁建、扩建、改建混凝土搅拌站应当符合城市总体规划要求和布点规划要求，避开环境敏感区，远离居民聚居区，布局在当地主导风向的下风向。并严格履行建设项目环境影响评价，按照规范要求同步配套建设环保设施，落实环境管理“三同时”制度，符合国家和本省的法律、法规、规章和技术标准的，建设行政主管部门方可予以备案，环境保护主管部门方可履行建设项目竣工环保验收。</w:t>
                  </w:r>
                </w:p>
              </w:tc>
              <w:tc>
                <w:tcPr>
                  <w:tcW w:w="1917" w:type="pct"/>
                  <w:noWrap w:val="0"/>
                  <w:vAlign w:val="center"/>
                </w:tcPr>
                <w:p>
                  <w:pPr>
                    <w:jc w:val="center"/>
                    <w:rPr>
                      <w:rFonts w:hint="default" w:ascii="Times New Roman" w:hAnsi="Times New Roman" w:eastAsia="宋体" w:cs="Times New Roman"/>
                      <w:color w:val="000000"/>
                      <w:sz w:val="21"/>
                      <w:szCs w:val="21"/>
                      <w:lang w:val="en-US" w:eastAsia="zh-CN" w:bidi="ar"/>
                    </w:rPr>
                  </w:pPr>
                  <w:r>
                    <w:rPr>
                      <w:rFonts w:hint="eastAsia" w:ascii="Times New Roman" w:hAnsi="Times New Roman" w:cs="Times New Roman"/>
                      <w:color w:val="000000"/>
                      <w:sz w:val="21"/>
                      <w:szCs w:val="21"/>
                      <w:lang w:val="en-US" w:eastAsia="zh-CN" w:bidi="ar"/>
                    </w:rPr>
                    <w:t>项目为新建，根据《萧县预拌混凝土预拌砂浆生产项目布点方案》（萧住建【2019】12号），项目符合布点要求（见附件）；较近居民点位于企业东北侧，位于企业上风向。项目正在履行环评手续</w:t>
                  </w:r>
                </w:p>
              </w:tc>
              <w:tc>
                <w:tcPr>
                  <w:tcW w:w="457" w:type="pct"/>
                  <w:noWrap w:val="0"/>
                  <w:vAlign w:val="center"/>
                </w:tcPr>
                <w:p>
                  <w:pPr>
                    <w:jc w:val="center"/>
                    <w:rPr>
                      <w:rFonts w:ascii="Times New Roman" w:hAnsi="Times New Roman" w:cs="Times New Roman"/>
                      <w:color w:val="000000"/>
                      <w:sz w:val="21"/>
                      <w:szCs w:val="21"/>
                      <w:lang w:bidi="ar"/>
                    </w:rPr>
                  </w:pPr>
                  <w:r>
                    <w:rPr>
                      <w:rFonts w:ascii="Times New Roman" w:hAnsi="Times New Roman" w:cs="Times New Roman"/>
                      <w:color w:val="000000"/>
                      <w:sz w:val="21"/>
                      <w:szCs w:val="21"/>
                      <w:lang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328" w:type="pct"/>
                  <w:noWrap w:val="0"/>
                  <w:vAlign w:val="center"/>
                </w:tcPr>
                <w:p>
                  <w:pPr>
                    <w:jc w:val="center"/>
                    <w:rPr>
                      <w:rFonts w:ascii="Times New Roman" w:hAnsi="Times New Roman" w:cs="Times New Roman"/>
                      <w:color w:val="000000"/>
                      <w:sz w:val="21"/>
                      <w:szCs w:val="21"/>
                      <w:lang w:bidi="ar"/>
                    </w:rPr>
                  </w:pPr>
                  <w:r>
                    <w:rPr>
                      <w:rFonts w:ascii="Times New Roman" w:hAnsi="Times New Roman" w:cs="Times New Roman"/>
                      <w:color w:val="000000"/>
                      <w:sz w:val="21"/>
                      <w:szCs w:val="21"/>
                      <w:lang w:bidi="ar"/>
                    </w:rPr>
                    <w:t>2</w:t>
                  </w:r>
                </w:p>
              </w:tc>
              <w:tc>
                <w:tcPr>
                  <w:tcW w:w="2296" w:type="pct"/>
                  <w:noWrap w:val="0"/>
                  <w:vAlign w:val="center"/>
                </w:tcPr>
                <w:p>
                  <w:pPr>
                    <w:numPr>
                      <w:ilvl w:val="0"/>
                      <w:numId w:val="3"/>
                    </w:numPr>
                    <w:rPr>
                      <w:rFonts w:hint="eastAsia"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混凝土搅拌站围墙、排水和场地要求。</w:t>
                  </w:r>
                </w:p>
                <w:p>
                  <w:pPr>
                    <w:numPr>
                      <w:ilvl w:val="0"/>
                      <w:numId w:val="0"/>
                    </w:numPr>
                    <w:rPr>
                      <w:rFonts w:hint="eastAsia"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1.混凝土搅拌站应采用封闭式管理，外围护应使用砖砌围墙或彩钢板围墙，高度应≥2m，并确保牢固和整洁，出入门符合规范要求。</w:t>
                  </w:r>
                </w:p>
                <w:p>
                  <w:pPr>
                    <w:numPr>
                      <w:ilvl w:val="0"/>
                      <w:numId w:val="0"/>
                    </w:numPr>
                    <w:rPr>
                      <w:rFonts w:hint="eastAsia"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2.应在出入门口内侧水平距离1m范围内以及混凝土搅拌站区域内设置排水沟槽，排水沟槽的设置应满足区域内总排水量并达到连环贯通；应设置与排水沟槽相连通的污水、废浆水沉淀池，经沉淀处理后的废水应重复使用，做到少排放或零排放。未经沉淀处理且不达标的废水不得排入市政管网和河道。沉淀池应及时清理，清理物应回用或及时运走妥为处理。</w:t>
                  </w:r>
                </w:p>
                <w:p>
                  <w:pPr>
                    <w:rPr>
                      <w:rFonts w:hint="eastAsia"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3.混凝土搅拌站内道路路面及生产作业区、物料堆放区的地面应作硬化处理。</w:t>
                  </w:r>
                </w:p>
                <w:p>
                  <w:pPr>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4.围墙四周、生活区、办公区内未硬化的裸土空地应设置绿化。</w:t>
                  </w:r>
                </w:p>
              </w:tc>
              <w:tc>
                <w:tcPr>
                  <w:tcW w:w="1917" w:type="pct"/>
                  <w:noWrap w:val="0"/>
                  <w:vAlign w:val="center"/>
                </w:tcPr>
                <w:p>
                  <w:pPr>
                    <w:jc w:val="center"/>
                    <w:rPr>
                      <w:rFonts w:hint="eastAsia" w:ascii="Times New Roman" w:hAnsi="Times New Roman" w:cs="Times New Roman"/>
                      <w:color w:val="000000"/>
                      <w:sz w:val="21"/>
                      <w:szCs w:val="21"/>
                      <w:lang w:val="zh-CN"/>
                    </w:rPr>
                  </w:pPr>
                  <w:r>
                    <w:rPr>
                      <w:rFonts w:hint="eastAsia" w:ascii="Times New Roman" w:hAnsi="Times New Roman" w:cs="Times New Roman"/>
                      <w:color w:val="000000"/>
                      <w:sz w:val="21"/>
                      <w:szCs w:val="21"/>
                      <w:lang w:val="en-US" w:eastAsia="zh-CN" w:bidi="ar"/>
                    </w:rPr>
                    <w:t>1、混凝土搅拌楼为全封闭式，围墙高度</w:t>
                  </w:r>
                  <w:r>
                    <w:rPr>
                      <w:rFonts w:hint="eastAsia" w:ascii="Times New Roman" w:hAnsi="Times New Roman" w:cs="Times New Roman"/>
                      <w:color w:val="000000"/>
                      <w:sz w:val="21"/>
                      <w:szCs w:val="21"/>
                      <w:lang w:val="zh-CN"/>
                    </w:rPr>
                    <w:t>≥2m，并确保牢固和整洁，出入门符合规范要求。</w:t>
                  </w:r>
                </w:p>
                <w:p>
                  <w:pPr>
                    <w:jc w:val="center"/>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2、项目设置排水沟，设置沉淀池，废水处理后回用不外排；沉淀池底泥定期清理后回用</w:t>
                  </w:r>
                  <w:r>
                    <w:rPr>
                      <w:rFonts w:hint="eastAsia" w:cs="Times New Roman"/>
                      <w:color w:val="000000"/>
                      <w:sz w:val="21"/>
                      <w:szCs w:val="21"/>
                      <w:lang w:val="en-US" w:eastAsia="zh-CN"/>
                    </w:rPr>
                    <w:t>。</w:t>
                  </w:r>
                </w:p>
                <w:p>
                  <w:pPr>
                    <w:jc w:val="center"/>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3、厂区道路、作业区、物料堆放区地面作硬化处理</w:t>
                  </w:r>
                </w:p>
                <w:p>
                  <w:pPr>
                    <w:jc w:val="center"/>
                    <w:rPr>
                      <w:rFonts w:hint="default" w:ascii="Times New Roman" w:hAnsi="Times New Roman" w:eastAsia="宋体" w:cs="Times New Roman"/>
                      <w:color w:val="000000"/>
                      <w:sz w:val="21"/>
                      <w:szCs w:val="21"/>
                      <w:lang w:val="en-US" w:eastAsia="zh-CN" w:bidi="ar"/>
                    </w:rPr>
                  </w:pPr>
                  <w:r>
                    <w:rPr>
                      <w:rFonts w:hint="eastAsia" w:ascii="Times New Roman" w:hAnsi="Times New Roman" w:cs="Times New Roman"/>
                      <w:color w:val="000000"/>
                      <w:sz w:val="21"/>
                      <w:szCs w:val="21"/>
                      <w:lang w:val="en-US" w:eastAsia="zh-CN"/>
                    </w:rPr>
                    <w:t>4、厂区</w:t>
                  </w:r>
                  <w:r>
                    <w:rPr>
                      <w:rFonts w:hint="eastAsia" w:ascii="Times New Roman" w:hAnsi="Times New Roman" w:cs="Times New Roman"/>
                      <w:color w:val="000000"/>
                      <w:sz w:val="21"/>
                      <w:szCs w:val="21"/>
                      <w:lang w:val="zh-CN"/>
                    </w:rPr>
                    <w:t>围墙四周、生活区、办公区内未硬化的</w:t>
                  </w:r>
                  <w:r>
                    <w:rPr>
                      <w:rFonts w:hint="eastAsia" w:ascii="Times New Roman" w:hAnsi="Times New Roman" w:cs="Times New Roman"/>
                      <w:color w:val="000000"/>
                      <w:sz w:val="21"/>
                      <w:szCs w:val="21"/>
                      <w:lang w:val="en-US" w:eastAsia="zh-CN"/>
                    </w:rPr>
                    <w:t>裸土空地设置绿化</w:t>
                  </w:r>
                </w:p>
              </w:tc>
              <w:tc>
                <w:tcPr>
                  <w:tcW w:w="457" w:type="pct"/>
                  <w:noWrap w:val="0"/>
                  <w:vAlign w:val="center"/>
                </w:tcPr>
                <w:p>
                  <w:pPr>
                    <w:jc w:val="center"/>
                    <w:rPr>
                      <w:rFonts w:ascii="Times New Roman" w:hAnsi="Times New Roman" w:cs="Times New Roman"/>
                      <w:color w:val="000000"/>
                      <w:sz w:val="21"/>
                      <w:szCs w:val="21"/>
                      <w:lang w:bidi="ar"/>
                    </w:rPr>
                  </w:pPr>
                  <w:r>
                    <w:rPr>
                      <w:rFonts w:ascii="Times New Roman" w:hAnsi="Times New Roman" w:cs="Times New Roman"/>
                      <w:color w:val="000000"/>
                      <w:sz w:val="21"/>
                      <w:szCs w:val="21"/>
                      <w:lang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328" w:type="pct"/>
                  <w:noWrap w:val="0"/>
                  <w:vAlign w:val="center"/>
                </w:tcPr>
                <w:p>
                  <w:pPr>
                    <w:jc w:val="center"/>
                    <w:rPr>
                      <w:rFonts w:ascii="Times New Roman" w:hAnsi="Times New Roman" w:cs="Times New Roman"/>
                      <w:color w:val="000000"/>
                      <w:sz w:val="21"/>
                      <w:szCs w:val="21"/>
                      <w:lang w:bidi="ar"/>
                    </w:rPr>
                  </w:pPr>
                  <w:r>
                    <w:rPr>
                      <w:rFonts w:ascii="Times New Roman" w:hAnsi="Times New Roman" w:cs="Times New Roman"/>
                      <w:color w:val="000000"/>
                      <w:sz w:val="21"/>
                      <w:szCs w:val="21"/>
                      <w:lang w:bidi="ar"/>
                    </w:rPr>
                    <w:t>3</w:t>
                  </w:r>
                </w:p>
              </w:tc>
              <w:tc>
                <w:tcPr>
                  <w:tcW w:w="2296" w:type="pct"/>
                  <w:noWrap w:val="0"/>
                  <w:vAlign w:val="center"/>
                </w:tcPr>
                <w:p>
                  <w:pPr>
                    <w:numPr>
                      <w:ilvl w:val="0"/>
                      <w:numId w:val="3"/>
                    </w:numPr>
                    <w:ind w:left="0" w:leftChars="0" w:firstLine="0" w:firstLineChars="0"/>
                    <w:rPr>
                      <w:rFonts w:hint="eastAsia"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场地控尘、控噪和环境要求。</w:t>
                  </w:r>
                </w:p>
                <w:p>
                  <w:pPr>
                    <w:numPr>
                      <w:ilvl w:val="0"/>
                      <w:numId w:val="0"/>
                    </w:numPr>
                    <w:ind w:leftChars="0"/>
                    <w:rPr>
                      <w:rFonts w:hint="eastAsia"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1.出入门口应配备车辆清洗设备和人员，驶出混凝土搅拌站的运输车辆应冲洗清洁。</w:t>
                  </w:r>
                </w:p>
                <w:p>
                  <w:pPr>
                    <w:rPr>
                      <w:rFonts w:hint="eastAsia"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2.应落实人员和措施保持混凝土搅拌站道路及场地清洁，车辆行驶时无明显扬尘。</w:t>
                  </w:r>
                </w:p>
                <w:p>
                  <w:pPr>
                    <w:rPr>
                      <w:rFonts w:hint="eastAsia"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3.混凝土搅拌站内各类混凝土生产需用的骨料堆场，均应分类加装控制扬尘的封闭式库房，确保骨料堆置于库房之中。</w:t>
                  </w:r>
                </w:p>
                <w:p>
                  <w:pPr>
                    <w:rPr>
                      <w:rFonts w:hint="eastAsia"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4.距离居民区、学校≤15m的一侧应增设隔声屏障等降噪措施，隔声屏障及其他降噪措施的设置应符合相关安全质量规范和标准。</w:t>
                  </w:r>
                </w:p>
                <w:p>
                  <w:pPr>
                    <w:rPr>
                      <w:rFonts w:hint="eastAsia"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5.骨料输送带的动力部位应加装噪声控制罩，滚轴部位应按时清理，定期添加润滑油，控制噪声扰民。</w:t>
                  </w:r>
                </w:p>
                <w:p>
                  <w:pPr>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6.车辆管理：搅拌车装料后，或从工地卸料后均应对车辆进行冲洗，保持外观清洁，严禁带泥上路、杜绝“跑、冒、滴、漏”现象的发生。车辆进入站内禁止鸣笛，车辆进出入门口应设置禁鸣标志。</w:t>
                  </w:r>
                </w:p>
              </w:tc>
              <w:tc>
                <w:tcPr>
                  <w:tcW w:w="1917" w:type="pct"/>
                  <w:noWrap w:val="0"/>
                  <w:vAlign w:val="center"/>
                </w:tcPr>
                <w:p>
                  <w:pPr>
                    <w:jc w:val="center"/>
                    <w:rPr>
                      <w:rFonts w:hint="default" w:ascii="Times New Roman" w:hAnsi="Times New Roman" w:eastAsia="宋体" w:cs="Times New Roman"/>
                      <w:color w:val="000000"/>
                      <w:sz w:val="21"/>
                      <w:szCs w:val="21"/>
                      <w:lang w:val="en-US" w:eastAsia="zh-CN" w:bidi="ar"/>
                    </w:rPr>
                  </w:pPr>
                  <w:r>
                    <w:rPr>
                      <w:rFonts w:hint="eastAsia" w:ascii="Times New Roman" w:hAnsi="Times New Roman" w:cs="Times New Roman"/>
                      <w:color w:val="000000"/>
                      <w:sz w:val="21"/>
                      <w:szCs w:val="21"/>
                      <w:lang w:val="en-US" w:eastAsia="zh-CN" w:bidi="ar"/>
                    </w:rPr>
                    <w:t>1、出入口设置车辆清洗设备和人员，</w:t>
                  </w:r>
                  <w:r>
                    <w:rPr>
                      <w:rFonts w:hint="eastAsia" w:ascii="Times New Roman" w:hAnsi="Times New Roman" w:cs="Times New Roman"/>
                      <w:color w:val="000000"/>
                      <w:sz w:val="21"/>
                      <w:szCs w:val="21"/>
                      <w:lang w:val="zh-CN"/>
                    </w:rPr>
                    <w:t>驶出混凝土搅拌站的运输车辆</w:t>
                  </w:r>
                  <w:r>
                    <w:rPr>
                      <w:rFonts w:hint="eastAsia" w:ascii="Times New Roman" w:hAnsi="Times New Roman" w:cs="Times New Roman"/>
                      <w:color w:val="000000"/>
                      <w:sz w:val="21"/>
                      <w:szCs w:val="21"/>
                      <w:lang w:val="en-US" w:eastAsia="zh-CN"/>
                    </w:rPr>
                    <w:t>进行</w:t>
                  </w:r>
                  <w:r>
                    <w:rPr>
                      <w:rFonts w:hint="eastAsia" w:ascii="Times New Roman" w:hAnsi="Times New Roman" w:cs="Times New Roman"/>
                      <w:color w:val="000000"/>
                      <w:sz w:val="21"/>
                      <w:szCs w:val="21"/>
                      <w:lang w:val="zh-CN"/>
                    </w:rPr>
                    <w:t>冲洗清洁</w:t>
                  </w:r>
                  <w:r>
                    <w:rPr>
                      <w:rFonts w:hint="eastAsia" w:ascii="Times New Roman" w:hAnsi="Times New Roman" w:cs="Times New Roman"/>
                      <w:color w:val="000000"/>
                      <w:sz w:val="21"/>
                      <w:szCs w:val="21"/>
                      <w:lang w:val="en-US" w:eastAsia="zh-CN"/>
                    </w:rPr>
                    <w:t>2、落实人员</w:t>
                  </w:r>
                  <w:r>
                    <w:rPr>
                      <w:rFonts w:hint="eastAsia" w:ascii="Times New Roman" w:hAnsi="Times New Roman" w:cs="Times New Roman"/>
                      <w:color w:val="000000"/>
                      <w:sz w:val="21"/>
                      <w:szCs w:val="21"/>
                      <w:lang w:val="zh-CN"/>
                    </w:rPr>
                    <w:t>落实人员和措施保持混凝土搅拌站道路及场地清洁，车辆行驶时</w:t>
                  </w:r>
                  <w:r>
                    <w:rPr>
                      <w:rFonts w:hint="eastAsia" w:ascii="Times New Roman" w:hAnsi="Times New Roman" w:cs="Times New Roman"/>
                      <w:color w:val="000000"/>
                      <w:sz w:val="21"/>
                      <w:szCs w:val="21"/>
                      <w:lang w:val="en-US" w:eastAsia="zh-CN"/>
                    </w:rPr>
                    <w:t>做到</w:t>
                  </w:r>
                  <w:r>
                    <w:rPr>
                      <w:rFonts w:hint="eastAsia" w:ascii="Times New Roman" w:hAnsi="Times New Roman" w:cs="Times New Roman"/>
                      <w:color w:val="000000"/>
                      <w:sz w:val="21"/>
                      <w:szCs w:val="21"/>
                      <w:lang w:val="zh-CN"/>
                    </w:rPr>
                    <w:t>无明显扬尘</w:t>
                  </w:r>
                  <w:r>
                    <w:rPr>
                      <w:rFonts w:hint="eastAsia" w:ascii="Times New Roman" w:hAnsi="Times New Roman" w:cs="Times New Roman"/>
                      <w:color w:val="000000"/>
                      <w:sz w:val="21"/>
                      <w:szCs w:val="21"/>
                      <w:lang w:val="en-US" w:eastAsia="zh-CN"/>
                    </w:rPr>
                    <w:t>3、石子、砂子等粒径较大原料堆放在封闭式原料仓库内，水泥、粉煤灰等粉料贮存在筒仓内4、距离企业较近的居民区一侧</w:t>
                  </w:r>
                  <w:r>
                    <w:rPr>
                      <w:rFonts w:hint="eastAsia" w:ascii="Times New Roman" w:hAnsi="Times New Roman" w:cs="Times New Roman"/>
                      <w:color w:val="000000"/>
                      <w:sz w:val="21"/>
                      <w:szCs w:val="21"/>
                      <w:lang w:val="zh-CN"/>
                    </w:rPr>
                    <w:t>增设隔声屏障等降噪措施，隔声屏障及其他降噪措施的设置符合相关安全质量规范和标准</w:t>
                  </w:r>
                  <w:r>
                    <w:rPr>
                      <w:rFonts w:hint="eastAsia" w:ascii="Times New Roman" w:hAnsi="Times New Roman" w:cs="Times New Roman"/>
                      <w:color w:val="000000"/>
                      <w:sz w:val="21"/>
                      <w:szCs w:val="21"/>
                      <w:lang w:val="en-US" w:eastAsia="zh-CN"/>
                    </w:rPr>
                    <w:t>5、</w:t>
                  </w:r>
                  <w:r>
                    <w:rPr>
                      <w:rFonts w:hint="eastAsia" w:ascii="Times New Roman" w:hAnsi="Times New Roman" w:cs="Times New Roman"/>
                      <w:color w:val="000000"/>
                      <w:sz w:val="21"/>
                      <w:szCs w:val="21"/>
                      <w:lang w:val="zh-CN"/>
                    </w:rPr>
                    <w:t>骨料输送带的动力部位应加装噪声控制罩，滚轴部位应按时清理，定期添加润滑油，控制噪声扰民</w:t>
                  </w:r>
                  <w:r>
                    <w:rPr>
                      <w:rFonts w:hint="eastAsia" w:ascii="Times New Roman" w:hAnsi="Times New Roman" w:cs="Times New Roman"/>
                      <w:color w:val="000000"/>
                      <w:sz w:val="21"/>
                      <w:szCs w:val="21"/>
                      <w:lang w:val="en-US" w:eastAsia="zh-CN"/>
                    </w:rPr>
                    <w:t>6、对于车辆进出进行冲洗，站内禁止鸣笛等措施</w:t>
                  </w:r>
                </w:p>
              </w:tc>
              <w:tc>
                <w:tcPr>
                  <w:tcW w:w="457" w:type="pct"/>
                  <w:noWrap w:val="0"/>
                  <w:vAlign w:val="center"/>
                </w:tcPr>
                <w:p>
                  <w:pPr>
                    <w:jc w:val="center"/>
                    <w:rPr>
                      <w:rFonts w:ascii="Times New Roman" w:hAnsi="Times New Roman" w:cs="Times New Roman"/>
                      <w:color w:val="000000"/>
                      <w:sz w:val="21"/>
                      <w:szCs w:val="21"/>
                      <w:lang w:bidi="ar"/>
                    </w:rPr>
                  </w:pPr>
                  <w:r>
                    <w:rPr>
                      <w:rFonts w:ascii="Times New Roman" w:hAnsi="Times New Roman" w:cs="Times New Roman"/>
                      <w:color w:val="000000"/>
                      <w:sz w:val="21"/>
                      <w:szCs w:val="21"/>
                      <w:lang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8" w:type="pct"/>
                  <w:noWrap w:val="0"/>
                  <w:vAlign w:val="center"/>
                </w:tcPr>
                <w:p>
                  <w:pPr>
                    <w:jc w:val="center"/>
                    <w:rPr>
                      <w:rFonts w:ascii="Times New Roman" w:hAnsi="Times New Roman" w:cs="Times New Roman"/>
                      <w:color w:val="000000"/>
                      <w:sz w:val="21"/>
                      <w:szCs w:val="21"/>
                      <w:lang w:bidi="ar"/>
                    </w:rPr>
                  </w:pPr>
                  <w:r>
                    <w:rPr>
                      <w:rFonts w:ascii="Times New Roman" w:hAnsi="Times New Roman" w:cs="Times New Roman"/>
                      <w:color w:val="000000"/>
                      <w:sz w:val="21"/>
                      <w:szCs w:val="21"/>
                      <w:lang w:bidi="ar"/>
                    </w:rPr>
                    <w:t>4</w:t>
                  </w:r>
                </w:p>
              </w:tc>
              <w:tc>
                <w:tcPr>
                  <w:tcW w:w="2296" w:type="pct"/>
                  <w:noWrap w:val="0"/>
                  <w:vAlign w:val="center"/>
                </w:tcPr>
                <w:p>
                  <w:pPr>
                    <w:widowControl/>
                    <w:jc w:val="left"/>
                    <w:rPr>
                      <w:rFonts w:hint="eastAsia" w:ascii="Times New Roman" w:hAnsi="Times New Roman" w:cs="Times New Roman"/>
                      <w:color w:val="000000"/>
                      <w:sz w:val="21"/>
                      <w:szCs w:val="21"/>
                      <w:lang w:bidi="ar"/>
                    </w:rPr>
                  </w:pPr>
                  <w:r>
                    <w:rPr>
                      <w:rFonts w:hint="eastAsia" w:ascii="Times New Roman" w:hAnsi="Times New Roman" w:cs="Times New Roman"/>
                      <w:color w:val="000000"/>
                      <w:sz w:val="21"/>
                      <w:szCs w:val="21"/>
                      <w:lang w:eastAsia="zh-CN" w:bidi="ar"/>
                    </w:rPr>
                    <w:t>（</w:t>
                  </w:r>
                  <w:r>
                    <w:rPr>
                      <w:rFonts w:hint="eastAsia" w:ascii="Times New Roman" w:hAnsi="Times New Roman" w:cs="Times New Roman"/>
                      <w:color w:val="000000"/>
                      <w:sz w:val="21"/>
                      <w:szCs w:val="21"/>
                      <w:lang w:val="en-US" w:eastAsia="zh-CN" w:bidi="ar"/>
                    </w:rPr>
                    <w:t>四</w:t>
                  </w:r>
                  <w:r>
                    <w:rPr>
                      <w:rFonts w:hint="eastAsia" w:ascii="Times New Roman" w:hAnsi="Times New Roman" w:cs="Times New Roman"/>
                      <w:color w:val="000000"/>
                      <w:sz w:val="21"/>
                      <w:szCs w:val="21"/>
                      <w:lang w:eastAsia="zh-CN" w:bidi="ar"/>
                    </w:rPr>
                    <w:t>）</w:t>
                  </w:r>
                  <w:r>
                    <w:rPr>
                      <w:rFonts w:hint="eastAsia" w:ascii="Times New Roman" w:hAnsi="Times New Roman" w:cs="Times New Roman"/>
                      <w:color w:val="000000"/>
                      <w:sz w:val="21"/>
                      <w:szCs w:val="21"/>
                      <w:lang w:bidi="ar"/>
                    </w:rPr>
                    <w:t>设备控尘、控噪和环境要求。</w:t>
                  </w:r>
                </w:p>
                <w:p>
                  <w:pPr>
                    <w:widowControl/>
                    <w:jc w:val="left"/>
                    <w:rPr>
                      <w:rFonts w:hint="eastAsia" w:ascii="Times New Roman" w:hAnsi="Times New Roman" w:cs="Times New Roman"/>
                      <w:color w:val="000000"/>
                      <w:sz w:val="21"/>
                      <w:szCs w:val="21"/>
                      <w:lang w:bidi="ar"/>
                    </w:rPr>
                  </w:pPr>
                  <w:r>
                    <w:rPr>
                      <w:rFonts w:hint="eastAsia" w:ascii="Times New Roman" w:hAnsi="Times New Roman" w:cs="Times New Roman"/>
                      <w:color w:val="000000"/>
                      <w:sz w:val="21"/>
                      <w:szCs w:val="21"/>
                      <w:lang w:bidi="ar"/>
                    </w:rPr>
                    <w:t>1.应选用低噪声、低能耗、低排放并满足我省环保标准的生产、运输、泵送、试验等设备，严禁使用国家和我省明令禁止的淘汰设备。</w:t>
                  </w:r>
                </w:p>
                <w:p>
                  <w:pPr>
                    <w:widowControl/>
                    <w:jc w:val="left"/>
                    <w:rPr>
                      <w:rFonts w:hint="eastAsia" w:ascii="Times New Roman" w:hAnsi="Times New Roman" w:cs="Times New Roman"/>
                      <w:color w:val="000000"/>
                      <w:sz w:val="21"/>
                      <w:szCs w:val="21"/>
                      <w:lang w:bidi="ar"/>
                    </w:rPr>
                  </w:pPr>
                  <w:r>
                    <w:rPr>
                      <w:rFonts w:hint="eastAsia" w:ascii="Times New Roman" w:hAnsi="Times New Roman" w:cs="Times New Roman"/>
                      <w:color w:val="000000"/>
                      <w:sz w:val="21"/>
                      <w:szCs w:val="21"/>
                      <w:lang w:bidi="ar"/>
                    </w:rPr>
                    <w:t>2.应对混凝土搅拌楼(塔)生产工艺过程中的上料、配料、搅拌等环节实施封闭，并配置喷淋设施，达到降低噪声和粉尘排放指标的要求。</w:t>
                  </w:r>
                </w:p>
                <w:p>
                  <w:pPr>
                    <w:widowControl/>
                    <w:jc w:val="left"/>
                    <w:rPr>
                      <w:rFonts w:hint="eastAsia" w:ascii="Times New Roman" w:hAnsi="Times New Roman" w:cs="Times New Roman"/>
                      <w:color w:val="000000"/>
                      <w:sz w:val="21"/>
                      <w:szCs w:val="21"/>
                      <w:lang w:bidi="ar"/>
                    </w:rPr>
                  </w:pPr>
                  <w:r>
                    <w:rPr>
                      <w:rFonts w:hint="eastAsia" w:ascii="Times New Roman" w:hAnsi="Times New Roman" w:cs="Times New Roman"/>
                      <w:color w:val="000000"/>
                      <w:sz w:val="21"/>
                      <w:szCs w:val="21"/>
                      <w:lang w:bidi="ar"/>
                    </w:rPr>
                    <w:t>3.混凝土搅拌楼(塔)主体二层及以上部分应密闭，其内部照明应采用易除尘的光照设备。</w:t>
                  </w:r>
                </w:p>
                <w:p>
                  <w:pPr>
                    <w:widowControl/>
                    <w:jc w:val="left"/>
                    <w:rPr>
                      <w:rFonts w:ascii="Times New Roman" w:hAnsi="Times New Roman" w:cs="Times New Roman"/>
                      <w:color w:val="000000"/>
                      <w:sz w:val="21"/>
                      <w:szCs w:val="21"/>
                      <w:lang w:bidi="ar"/>
                    </w:rPr>
                  </w:pPr>
                  <w:r>
                    <w:rPr>
                      <w:rFonts w:hint="eastAsia" w:ascii="Times New Roman" w:hAnsi="Times New Roman" w:cs="Times New Roman"/>
                      <w:color w:val="000000"/>
                      <w:sz w:val="21"/>
                      <w:szCs w:val="21"/>
                      <w:lang w:bidi="ar"/>
                    </w:rPr>
                    <w:t>4.搅拌主机、粉料筒仓应使用集尘设施除尘，除尘设施应保持完好，滤芯等易损装置应定期保养或更换。搅拌楼(塔)、粉料筒仓及泵拌车等应保持标识完整和外观整洁。</w:t>
                  </w:r>
                </w:p>
              </w:tc>
              <w:tc>
                <w:tcPr>
                  <w:tcW w:w="1917" w:type="pct"/>
                  <w:noWrap w:val="0"/>
                  <w:vAlign w:val="center"/>
                </w:tcPr>
                <w:p>
                  <w:pPr>
                    <w:jc w:val="center"/>
                    <w:rPr>
                      <w:rFonts w:hint="eastAsia" w:ascii="Times New Roman" w:hAnsi="Times New Roman" w:eastAsia="宋体" w:cs="Times New Roman"/>
                      <w:color w:val="000000"/>
                      <w:sz w:val="21"/>
                      <w:szCs w:val="21"/>
                      <w:lang w:val="en-US" w:eastAsia="zh-CN" w:bidi="ar"/>
                    </w:rPr>
                  </w:pPr>
                  <w:r>
                    <w:rPr>
                      <w:rFonts w:hint="eastAsia" w:ascii="Times New Roman" w:hAnsi="Times New Roman" w:cs="Times New Roman"/>
                      <w:color w:val="000000"/>
                      <w:sz w:val="21"/>
                      <w:szCs w:val="21"/>
                      <w:lang w:val="en-US" w:eastAsia="zh-CN" w:bidi="ar"/>
                    </w:rPr>
                    <w:t>1、选用低噪声、</w:t>
                  </w:r>
                  <w:r>
                    <w:rPr>
                      <w:rFonts w:hint="eastAsia" w:ascii="Times New Roman" w:hAnsi="Times New Roman" w:cs="Times New Roman"/>
                      <w:color w:val="000000"/>
                      <w:sz w:val="21"/>
                      <w:szCs w:val="21"/>
                      <w:lang w:bidi="ar"/>
                    </w:rPr>
                    <w:t>低能耗、低排放并满足我省环保标准的生产、运输、泵送、试验等设备，</w:t>
                  </w:r>
                  <w:r>
                    <w:rPr>
                      <w:rFonts w:hint="eastAsia" w:ascii="Times New Roman" w:hAnsi="Times New Roman" w:cs="Times New Roman"/>
                      <w:color w:val="000000"/>
                      <w:sz w:val="21"/>
                      <w:szCs w:val="21"/>
                      <w:lang w:val="en-US" w:eastAsia="zh-CN" w:bidi="ar"/>
                    </w:rPr>
                    <w:t>未</w:t>
                  </w:r>
                  <w:r>
                    <w:rPr>
                      <w:rFonts w:hint="eastAsia" w:ascii="Times New Roman" w:hAnsi="Times New Roman" w:cs="Times New Roman"/>
                      <w:color w:val="000000"/>
                      <w:sz w:val="21"/>
                      <w:szCs w:val="21"/>
                      <w:lang w:bidi="ar"/>
                    </w:rPr>
                    <w:t>使用国家和我省明令禁止的淘汰设备</w:t>
                  </w:r>
                  <w:r>
                    <w:rPr>
                      <w:rFonts w:hint="eastAsia" w:ascii="Times New Roman" w:hAnsi="Times New Roman" w:cs="Times New Roman"/>
                      <w:color w:val="000000"/>
                      <w:sz w:val="21"/>
                      <w:szCs w:val="21"/>
                      <w:lang w:val="en-US" w:eastAsia="zh-CN" w:bidi="ar"/>
                    </w:rPr>
                    <w:t>2、</w:t>
                  </w:r>
                  <w:r>
                    <w:rPr>
                      <w:rFonts w:hint="eastAsia" w:ascii="Times New Roman" w:hAnsi="Times New Roman" w:cs="Times New Roman"/>
                      <w:color w:val="000000"/>
                      <w:sz w:val="21"/>
                      <w:szCs w:val="21"/>
                      <w:lang w:bidi="ar"/>
                    </w:rPr>
                    <w:t>对混凝土搅拌楼生产工艺过程中的上料、配料、搅拌等环节实施封闭，并配置喷淋设施，达到降低噪声和粉尘排放指标的要求</w:t>
                  </w:r>
                  <w:r>
                    <w:rPr>
                      <w:rFonts w:hint="eastAsia" w:ascii="Times New Roman" w:hAnsi="Times New Roman" w:cs="Times New Roman"/>
                      <w:color w:val="000000"/>
                      <w:sz w:val="21"/>
                      <w:szCs w:val="21"/>
                      <w:lang w:val="en-US" w:eastAsia="zh-CN" w:bidi="ar"/>
                    </w:rPr>
                    <w:t>3、混凝土搅拌楼全封闭生产4、</w:t>
                  </w:r>
                  <w:r>
                    <w:rPr>
                      <w:rFonts w:hint="eastAsia" w:ascii="Times New Roman" w:hAnsi="Times New Roman" w:cs="Times New Roman"/>
                      <w:color w:val="000000"/>
                      <w:sz w:val="21"/>
                      <w:szCs w:val="21"/>
                      <w:lang w:bidi="ar"/>
                    </w:rPr>
                    <w:t>搅拌主机、粉料筒仓应使用集尘设施除尘，除尘设施保持完好，滤芯等易损装置应定期保养或更换。搅拌楼、粉料筒仓及泵拌车等应保持标识完整和外观整洁</w:t>
                  </w:r>
                </w:p>
              </w:tc>
              <w:tc>
                <w:tcPr>
                  <w:tcW w:w="457" w:type="pct"/>
                  <w:noWrap w:val="0"/>
                  <w:vAlign w:val="center"/>
                </w:tcPr>
                <w:p>
                  <w:pPr>
                    <w:jc w:val="center"/>
                    <w:rPr>
                      <w:rFonts w:ascii="Times New Roman" w:hAnsi="Times New Roman" w:cs="Times New Roman"/>
                      <w:color w:val="000000"/>
                      <w:sz w:val="21"/>
                      <w:szCs w:val="21"/>
                      <w:lang w:bidi="ar"/>
                    </w:rPr>
                  </w:pPr>
                  <w:r>
                    <w:rPr>
                      <w:rFonts w:ascii="Times New Roman" w:hAnsi="Times New Roman" w:cs="Times New Roman"/>
                      <w:color w:val="000000"/>
                      <w:sz w:val="21"/>
                      <w:szCs w:val="21"/>
                      <w:lang w:bidi="ar"/>
                    </w:rPr>
                    <w:t>相符</w:t>
                  </w:r>
                </w:p>
              </w:tc>
            </w:tr>
          </w:tbl>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default" w:eastAsia="宋体"/>
                <w:kern w:val="0"/>
                <w:lang w:val="en-US" w:eastAsia="zh-CN"/>
              </w:rPr>
            </w:pPr>
          </w:p>
        </w:tc>
      </w:tr>
    </w:tbl>
    <w:p>
      <w:pPr>
        <w:spacing w:line="360" w:lineRule="auto"/>
        <w:outlineLvl w:val="0"/>
        <w:rPr>
          <w:rFonts w:eastAsia="黑体"/>
          <w:sz w:val="30"/>
        </w:rPr>
        <w:sectPr>
          <w:headerReference r:id="rId6" w:type="default"/>
          <w:footerReference r:id="rId7" w:type="default"/>
          <w:pgSz w:w="11906" w:h="16838"/>
          <w:pgMar w:top="1701" w:right="1531" w:bottom="1701" w:left="1531" w:header="851" w:footer="1077" w:gutter="0"/>
          <w:pgNumType w:start="1"/>
          <w:cols w:space="720" w:num="1"/>
          <w:docGrid w:linePitch="312" w:charSpace="0"/>
        </w:sectPr>
      </w:pPr>
    </w:p>
    <w:p>
      <w:pPr>
        <w:pStyle w:val="24"/>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3" w:type="dxa"/>
            <w:vAlign w:val="center"/>
          </w:tcPr>
          <w:p>
            <w:pPr>
              <w:pStyle w:val="24"/>
              <w:adjustRightInd w:val="0"/>
              <w:snapToGrid w:val="0"/>
              <w:spacing w:before="0" w:beforeAutospacing="0" w:after="0" w:afterAutospacing="0"/>
              <w:jc w:val="center"/>
              <w:rPr>
                <w:rFonts w:cs="宋体"/>
                <w:sz w:val="21"/>
                <w:szCs w:val="21"/>
              </w:rPr>
            </w:pPr>
            <w:r>
              <w:rPr>
                <w:rFonts w:hint="eastAsia" w:cs="宋体"/>
                <w:szCs w:val="24"/>
              </w:rPr>
              <w:t>建设内容</w:t>
            </w:r>
          </w:p>
        </w:tc>
        <w:tc>
          <w:tcPr>
            <w:tcW w:w="8161" w:type="dxa"/>
          </w:tcPr>
          <w:p>
            <w:pPr>
              <w:autoSpaceDE w:val="0"/>
              <w:autoSpaceDN w:val="0"/>
              <w:adjustRightInd w:val="0"/>
              <w:snapToGrid w:val="0"/>
              <w:spacing w:before="120" w:beforeLines="50" w:line="360" w:lineRule="auto"/>
              <w:rPr>
                <w:b/>
                <w:bCs/>
                <w:kern w:val="0"/>
              </w:rPr>
            </w:pPr>
            <w:r>
              <w:rPr>
                <w:rFonts w:hint="eastAsia"/>
                <w:b/>
                <w:bCs/>
                <w:kern w:val="0"/>
              </w:rPr>
              <w:t>1、项目建设内容</w:t>
            </w:r>
          </w:p>
          <w:p>
            <w:pPr>
              <w:pStyle w:val="11"/>
              <w:spacing w:line="360" w:lineRule="auto"/>
              <w:ind w:firstLine="480" w:firstLineChars="200"/>
            </w:pPr>
            <w:r>
              <w:rPr>
                <w:rFonts w:hint="eastAsia" w:ascii="Times New Roman" w:hAnsi="Times New Roman" w:eastAsia="宋体" w:cs="Times New Roman"/>
                <w:bCs/>
                <w:sz w:val="24"/>
                <w:lang w:val="en-US" w:eastAsia="zh-CN"/>
              </w:rPr>
              <w:t>萧县鑫部建材有限公司</w:t>
            </w:r>
            <w:r>
              <w:rPr>
                <w:rFonts w:hint="eastAsia" w:ascii="Times New Roman" w:hAnsi="Times New Roman" w:eastAsia="宋体" w:cs="Times New Roman"/>
                <w:bCs/>
                <w:sz w:val="24"/>
              </w:rPr>
              <w:t>在</w:t>
            </w:r>
            <w:r>
              <w:rPr>
                <w:rFonts w:hint="eastAsia" w:cs="Times New Roman"/>
                <w:kern w:val="0"/>
                <w:sz w:val="24"/>
                <w:szCs w:val="24"/>
                <w:lang w:val="en-US" w:eastAsia="zh-CN"/>
              </w:rPr>
              <w:t>安徽省宿州市萧县杨楼镇陇海铁路南侧100号</w:t>
            </w:r>
            <w:r>
              <w:rPr>
                <w:rFonts w:hint="default" w:ascii="Times New Roman" w:hAnsi="Times New Roman" w:eastAsia="宋体" w:cs="Times New Roman"/>
                <w:bCs/>
                <w:sz w:val="24"/>
              </w:rPr>
              <w:t>投资建设</w:t>
            </w:r>
            <w:r>
              <w:rPr>
                <w:rFonts w:hint="default" w:ascii="Times New Roman" w:hAnsi="Times New Roman" w:eastAsia="宋体" w:cs="Times New Roman"/>
                <w:bCs/>
                <w:sz w:val="24"/>
                <w:lang w:val="en-US" w:eastAsia="zh-CN"/>
              </w:rPr>
              <w:t>新型预拌混凝土搅拌站项目。</w:t>
            </w:r>
            <w:r>
              <w:rPr>
                <w:rFonts w:hint="eastAsia" w:ascii="Times New Roman" w:hAnsi="Times New Roman" w:cs="Times New Roman"/>
                <w:bCs/>
                <w:sz w:val="24"/>
                <w:lang w:val="en-US" w:eastAsia="zh-CN"/>
              </w:rPr>
              <w:t>项目占地</w:t>
            </w:r>
            <w:r>
              <w:rPr>
                <w:rFonts w:hint="eastAsia" w:cs="Times New Roman"/>
                <w:bCs/>
                <w:sz w:val="24"/>
                <w:lang w:val="en-US" w:eastAsia="zh-CN"/>
              </w:rPr>
              <w:t>20000</w:t>
            </w:r>
            <w:r>
              <w:rPr>
                <w:rFonts w:hint="eastAsia" w:ascii="Times New Roman" w:hAnsi="Times New Roman" w:cs="Times New Roman"/>
                <w:bCs/>
                <w:sz w:val="24"/>
                <w:lang w:val="en-US" w:eastAsia="zh-CN"/>
              </w:rPr>
              <w:t>m</w:t>
            </w:r>
            <w:r>
              <w:rPr>
                <w:rFonts w:hint="eastAsia" w:ascii="Times New Roman" w:hAnsi="Times New Roman" w:cs="Times New Roman"/>
                <w:bCs/>
                <w:sz w:val="24"/>
                <w:vertAlign w:val="superscript"/>
                <w:lang w:val="en-US" w:eastAsia="zh-CN"/>
              </w:rPr>
              <w:t>2</w:t>
            </w:r>
            <w:r>
              <w:rPr>
                <w:rFonts w:hint="eastAsia" w:ascii="Times New Roman" w:hAnsi="Times New Roman" w:eastAsia="宋体" w:cs="Times New Roman"/>
                <w:bCs/>
                <w:sz w:val="24"/>
                <w:lang w:val="en-US" w:eastAsia="zh-CN"/>
              </w:rPr>
              <w:t>，</w:t>
            </w:r>
            <w:r>
              <w:rPr>
                <w:rFonts w:hint="default" w:ascii="Times New Roman" w:hAnsi="Times New Roman" w:eastAsia="宋体" w:cs="Times New Roman"/>
                <w:bCs/>
                <w:sz w:val="24"/>
              </w:rPr>
              <w:t>计划</w:t>
            </w:r>
            <w:r>
              <w:rPr>
                <w:rFonts w:hint="eastAsia" w:ascii="Times New Roman" w:hAnsi="Times New Roman" w:cs="Times New Roman"/>
                <w:bCs/>
                <w:sz w:val="24"/>
                <w:lang w:val="en-US" w:eastAsia="zh-CN"/>
              </w:rPr>
              <w:t>新增</w:t>
            </w:r>
            <w:r>
              <w:rPr>
                <w:rFonts w:hint="eastAsia" w:cs="Times New Roman"/>
                <w:bCs/>
                <w:sz w:val="24"/>
                <w:lang w:val="en-US" w:eastAsia="zh-CN"/>
              </w:rPr>
              <w:t>搅拌站、搅拌车、筒料仓、装载机、给料机、皮带输送机</w:t>
            </w:r>
            <w:r>
              <w:rPr>
                <w:rFonts w:hint="eastAsia" w:ascii="Times New Roman" w:hAnsi="Times New Roman" w:eastAsia="宋体" w:cs="Times New Roman"/>
                <w:bCs/>
                <w:sz w:val="24"/>
              </w:rPr>
              <w:t>等设备，建成后可达到</w:t>
            </w:r>
            <w:r>
              <w:rPr>
                <w:rFonts w:hint="eastAsia" w:ascii="Times New Roman" w:hAnsi="Times New Roman" w:cs="Times New Roman"/>
                <w:kern w:val="0"/>
                <w:sz w:val="24"/>
                <w:szCs w:val="24"/>
                <w:lang w:val="en-US" w:eastAsia="zh-CN"/>
              </w:rPr>
              <w:t>年产</w:t>
            </w:r>
            <w:r>
              <w:rPr>
                <w:rFonts w:hint="eastAsia" w:cs="Times New Roman"/>
                <w:kern w:val="0"/>
                <w:sz w:val="24"/>
                <w:szCs w:val="24"/>
                <w:lang w:val="en-US" w:eastAsia="zh-CN"/>
              </w:rPr>
              <w:t>70</w:t>
            </w:r>
            <w:r>
              <w:rPr>
                <w:rFonts w:hint="eastAsia" w:ascii="Times New Roman" w:hAnsi="Times New Roman" w:cs="Times New Roman"/>
                <w:kern w:val="0"/>
                <w:sz w:val="24"/>
                <w:szCs w:val="24"/>
                <w:lang w:val="en-US" w:eastAsia="zh-CN"/>
              </w:rPr>
              <w:t>万</w:t>
            </w:r>
            <w:r>
              <w:rPr>
                <w:rFonts w:hint="eastAsia" w:cs="Times New Roman"/>
                <w:kern w:val="0"/>
                <w:sz w:val="24"/>
                <w:szCs w:val="24"/>
                <w:lang w:val="en-US" w:eastAsia="zh-CN"/>
              </w:rPr>
              <w:t>立方混凝土</w:t>
            </w:r>
            <w:r>
              <w:rPr>
                <w:rFonts w:hint="eastAsia" w:ascii="Times New Roman" w:hAnsi="Times New Roman" w:cs="Times New Roman"/>
                <w:kern w:val="0"/>
                <w:sz w:val="24"/>
                <w:szCs w:val="24"/>
                <w:lang w:val="en-US" w:eastAsia="zh-CN"/>
              </w:rPr>
              <w:t>的</w:t>
            </w:r>
            <w:r>
              <w:rPr>
                <w:rFonts w:hint="eastAsia" w:ascii="Times New Roman" w:hAnsi="Times New Roman" w:eastAsia="宋体" w:cs="Times New Roman"/>
                <w:bCs/>
                <w:sz w:val="24"/>
              </w:rPr>
              <w:t>生产能力</w:t>
            </w:r>
            <w:r>
              <w:rPr>
                <w:rFonts w:hint="eastAsia"/>
                <w:lang w:eastAsia="zh-CN"/>
              </w:rPr>
              <w:t>。</w:t>
            </w:r>
            <w:r>
              <w:rPr>
                <w:rFonts w:hint="eastAsia"/>
              </w:rPr>
              <w:t>生产规模</w:t>
            </w:r>
            <w:r>
              <w:t>具体建设内容及规模见下表。</w:t>
            </w:r>
          </w:p>
          <w:p>
            <w:pPr>
              <w:autoSpaceDE w:val="0"/>
              <w:autoSpaceDN w:val="0"/>
              <w:adjustRightInd w:val="0"/>
              <w:jc w:val="center"/>
              <w:rPr>
                <w:b/>
                <w:bCs/>
                <w:kern w:val="0"/>
              </w:rPr>
            </w:pPr>
            <w:r>
              <w:rPr>
                <w:rFonts w:hint="eastAsia"/>
                <w:b/>
                <w:bCs/>
              </w:rPr>
              <w:t xml:space="preserve">表2.1 </w:t>
            </w:r>
            <w:r>
              <w:rPr>
                <w:rFonts w:hint="eastAsia"/>
                <w:b/>
                <w:bCs/>
                <w:lang w:val="en-US" w:eastAsia="zh-CN"/>
              </w:rPr>
              <w:t xml:space="preserve"> </w:t>
            </w:r>
            <w:r>
              <w:rPr>
                <w:b/>
                <w:bCs/>
              </w:rPr>
              <w:t>项目主要建设内容一览表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43"/>
              <w:gridCol w:w="3156"/>
              <w:gridCol w:w="1768"/>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jc w:val="center"/>
                    <w:rPr>
                      <w:b/>
                      <w:bCs/>
                      <w:sz w:val="21"/>
                      <w:szCs w:val="21"/>
                    </w:rPr>
                  </w:pPr>
                  <w:r>
                    <w:rPr>
                      <w:b/>
                      <w:bCs/>
                      <w:sz w:val="21"/>
                      <w:szCs w:val="21"/>
                    </w:rPr>
                    <w:t>类别</w:t>
                  </w:r>
                </w:p>
              </w:tc>
              <w:tc>
                <w:tcPr>
                  <w:tcW w:w="1143" w:type="dxa"/>
                  <w:vAlign w:val="center"/>
                </w:tcPr>
                <w:p>
                  <w:pPr>
                    <w:jc w:val="center"/>
                    <w:rPr>
                      <w:b/>
                      <w:bCs/>
                      <w:sz w:val="21"/>
                      <w:szCs w:val="21"/>
                    </w:rPr>
                  </w:pPr>
                  <w:r>
                    <w:rPr>
                      <w:b/>
                      <w:bCs/>
                      <w:sz w:val="21"/>
                      <w:szCs w:val="21"/>
                    </w:rPr>
                    <w:t>建设内容</w:t>
                  </w:r>
                </w:p>
              </w:tc>
              <w:tc>
                <w:tcPr>
                  <w:tcW w:w="4924" w:type="dxa"/>
                  <w:gridSpan w:val="2"/>
                  <w:vAlign w:val="center"/>
                </w:tcPr>
                <w:p>
                  <w:pPr>
                    <w:jc w:val="center"/>
                    <w:rPr>
                      <w:b/>
                      <w:bCs/>
                      <w:sz w:val="21"/>
                      <w:szCs w:val="21"/>
                    </w:rPr>
                  </w:pPr>
                  <w:r>
                    <w:rPr>
                      <w:b/>
                      <w:bCs/>
                      <w:sz w:val="21"/>
                      <w:szCs w:val="21"/>
                    </w:rPr>
                    <w:t>规模</w:t>
                  </w:r>
                </w:p>
              </w:tc>
              <w:tc>
                <w:tcPr>
                  <w:tcW w:w="739" w:type="dxa"/>
                  <w:vAlign w:val="center"/>
                </w:tcPr>
                <w:p>
                  <w:pPr>
                    <w:jc w:val="center"/>
                    <w:rPr>
                      <w:rFonts w:hint="eastAsia" w:eastAsia="宋体"/>
                      <w:b/>
                      <w:bCs/>
                      <w:sz w:val="21"/>
                      <w:szCs w:val="21"/>
                      <w:lang w:val="en-US" w:eastAsia="zh-CN"/>
                    </w:rPr>
                  </w:pPr>
                  <w:r>
                    <w:rPr>
                      <w:rFonts w:hint="eastAsia"/>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jc w:val="center"/>
                    <w:rPr>
                      <w:sz w:val="21"/>
                      <w:szCs w:val="21"/>
                    </w:rPr>
                  </w:pPr>
                  <w:bookmarkStart w:id="1" w:name="OLE_LINK22" w:colFirst="0" w:colLast="0"/>
                  <w:r>
                    <w:rPr>
                      <w:sz w:val="21"/>
                      <w:szCs w:val="21"/>
                    </w:rPr>
                    <w:t>主体工程</w:t>
                  </w:r>
                </w:p>
              </w:tc>
              <w:tc>
                <w:tcPr>
                  <w:tcW w:w="1143" w:type="dxa"/>
                  <w:vAlign w:val="center"/>
                </w:tcPr>
                <w:p>
                  <w:pPr>
                    <w:adjustRightInd w:val="0"/>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搅拌楼</w:t>
                  </w:r>
                </w:p>
              </w:tc>
              <w:tc>
                <w:tcPr>
                  <w:tcW w:w="3156" w:type="dxa"/>
                  <w:vAlign w:val="center"/>
                </w:tcPr>
                <w:p>
                  <w:pPr>
                    <w:adjustRightInd w:val="0"/>
                    <w:snapToGrid w:val="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建设厂房，钢架结构，为密闭式。占地面积约</w:t>
                  </w:r>
                  <w:r>
                    <w:rPr>
                      <w:rFonts w:hint="default" w:ascii="Times New Roman" w:hAnsi="Times New Roman" w:cs="Times New Roman"/>
                      <w:color w:val="000000" w:themeColor="text1"/>
                      <w:sz w:val="21"/>
                      <w:szCs w:val="21"/>
                      <w:lang w:val="en-US" w:eastAsia="zh-CN"/>
                      <w14:textFill>
                        <w14:solidFill>
                          <w14:schemeClr w14:val="tx1"/>
                        </w14:solidFill>
                      </w14:textFill>
                    </w:rPr>
                    <w:t>20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2</w:t>
                  </w:r>
                  <w:r>
                    <w:rPr>
                      <w:rFonts w:hint="default"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高</w:t>
                  </w:r>
                  <w:r>
                    <w:rPr>
                      <w:rFonts w:hint="default" w:ascii="Times New Roman" w:hAnsi="Times New Roman" w:cs="Times New Roman"/>
                      <w:color w:val="000000" w:themeColor="text1"/>
                      <w:sz w:val="21"/>
                      <w:szCs w:val="21"/>
                      <w:lang w:val="en-US" w:eastAsia="zh-CN"/>
                      <w14:textFill>
                        <w14:solidFill>
                          <w14:schemeClr w14:val="tx1"/>
                        </w14:solidFill>
                      </w14:textFill>
                    </w:rPr>
                    <w:t>25</w:t>
                  </w:r>
                  <w:r>
                    <w:rPr>
                      <w:rFonts w:hint="eastAsia" w:ascii="宋体" w:hAnsi="宋体" w:cs="宋体"/>
                      <w:color w:val="000000" w:themeColor="text1"/>
                      <w:sz w:val="21"/>
                      <w:szCs w:val="21"/>
                      <w:lang w:val="en-US" w:eastAsia="zh-CN"/>
                      <w14:textFill>
                        <w14:solidFill>
                          <w14:schemeClr w14:val="tx1"/>
                        </w14:solidFill>
                      </w14:textFill>
                    </w:rPr>
                    <w:t>米，</w:t>
                  </w:r>
                  <w:r>
                    <w:rPr>
                      <w:rFonts w:hint="default" w:ascii="宋体" w:hAnsi="宋体" w:eastAsia="宋体" w:cs="宋体"/>
                      <w:color w:val="000000" w:themeColor="text1"/>
                      <w:sz w:val="21"/>
                      <w:szCs w:val="21"/>
                      <w:lang w:val="en-US" w:eastAsia="zh-CN"/>
                      <w14:textFill>
                        <w14:solidFill>
                          <w14:schemeClr w14:val="tx1"/>
                        </w14:solidFill>
                      </w14:textFill>
                    </w:rPr>
                    <w:t>建设两条混凝土生产线</w:t>
                  </w:r>
                </w:p>
              </w:tc>
              <w:tc>
                <w:tcPr>
                  <w:tcW w:w="1768" w:type="dxa"/>
                  <w:vAlign w:val="center"/>
                </w:tcPr>
                <w:p>
                  <w:pPr>
                    <w:adjustRightInd w:val="0"/>
                    <w:snapToGrid w:val="0"/>
                    <w:jc w:val="center"/>
                    <w:rPr>
                      <w:rFonts w:ascii="宋体" w:hAnsi="宋体" w:cs="宋体"/>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建设</w:t>
                  </w:r>
                  <w:r>
                    <w:rPr>
                      <w:rFonts w:hint="eastAsia" w:ascii="宋体" w:hAnsi="宋体" w:cs="宋体"/>
                      <w:color w:val="000000" w:themeColor="text1"/>
                      <w:sz w:val="21"/>
                      <w:szCs w:val="21"/>
                      <w:lang w:val="en-US" w:eastAsia="zh-CN"/>
                      <w14:textFill>
                        <w14:solidFill>
                          <w14:schemeClr w14:val="tx1"/>
                        </w14:solidFill>
                      </w14:textFill>
                    </w:rPr>
                    <w:t>新型预拌混凝土搅拌站项目</w:t>
                  </w:r>
                </w:p>
              </w:tc>
              <w:tc>
                <w:tcPr>
                  <w:tcW w:w="739" w:type="dxa"/>
                  <w:vAlign w:val="center"/>
                </w:tcPr>
                <w:p>
                  <w:pPr>
                    <w:adjustRightInd w:val="0"/>
                    <w:snapToGrid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新建</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restart"/>
                  <w:vAlign w:val="center"/>
                </w:tcPr>
                <w:p>
                  <w:pPr>
                    <w:jc w:val="center"/>
                    <w:rPr>
                      <w:rFonts w:hint="default" w:eastAsia="宋体"/>
                      <w:sz w:val="21"/>
                      <w:szCs w:val="21"/>
                      <w:lang w:val="en-US" w:eastAsia="zh-CN"/>
                    </w:rPr>
                  </w:pPr>
                  <w:r>
                    <w:rPr>
                      <w:rFonts w:hint="eastAsia"/>
                      <w:sz w:val="21"/>
                      <w:szCs w:val="21"/>
                      <w:lang w:val="en-US" w:eastAsia="zh-CN"/>
                    </w:rPr>
                    <w:t>辅助工程</w:t>
                  </w:r>
                </w:p>
              </w:tc>
              <w:tc>
                <w:tcPr>
                  <w:tcW w:w="1143" w:type="dxa"/>
                  <w:vAlign w:val="center"/>
                </w:tcPr>
                <w:p>
                  <w:pPr>
                    <w:widowControl/>
                    <w:jc w:val="center"/>
                    <w:rPr>
                      <w:rFonts w:hint="default" w:eastAsia="宋体"/>
                      <w:color w:val="auto"/>
                      <w:sz w:val="21"/>
                      <w:szCs w:val="21"/>
                      <w:lang w:val="en-US" w:eastAsia="zh-CN"/>
                    </w:rPr>
                  </w:pPr>
                  <w:r>
                    <w:rPr>
                      <w:rFonts w:ascii="Times New Roman" w:hAnsi="Times New Roman" w:cs="Times New Roman"/>
                      <w:color w:val="000000"/>
                      <w:sz w:val="21"/>
                      <w:szCs w:val="21"/>
                    </w:rPr>
                    <w:t>办公</w:t>
                  </w:r>
                  <w:r>
                    <w:rPr>
                      <w:rFonts w:hint="eastAsia" w:ascii="Times New Roman" w:hAnsi="Times New Roman" w:cs="Times New Roman"/>
                      <w:color w:val="000000"/>
                      <w:sz w:val="21"/>
                      <w:szCs w:val="21"/>
                      <w:lang w:val="en-US" w:eastAsia="zh-CN"/>
                    </w:rPr>
                    <w:t>综合</w:t>
                  </w:r>
                  <w:r>
                    <w:rPr>
                      <w:rFonts w:ascii="Times New Roman" w:hAnsi="Times New Roman" w:cs="Times New Roman"/>
                      <w:color w:val="000000"/>
                      <w:sz w:val="21"/>
                      <w:szCs w:val="21"/>
                    </w:rPr>
                    <w:t>楼</w:t>
                  </w:r>
                </w:p>
              </w:tc>
              <w:tc>
                <w:tcPr>
                  <w:tcW w:w="4924" w:type="dxa"/>
                  <w:gridSpan w:val="2"/>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rPr>
                    <w:t>建筑面积约</w:t>
                  </w:r>
                  <w:r>
                    <w:rPr>
                      <w:rFonts w:hint="default" w:ascii="Times New Roman" w:hAnsi="Times New Roman" w:cs="Times New Roman"/>
                      <w:color w:val="auto"/>
                      <w:sz w:val="21"/>
                      <w:szCs w:val="21"/>
                      <w:lang w:val="en-US" w:eastAsia="zh-CN"/>
                    </w:rPr>
                    <w:t>50</w:t>
                  </w:r>
                  <w:r>
                    <w:rPr>
                      <w:rFonts w:hint="default" w:ascii="Times New Roman" w:hAnsi="Times New Roman" w:cs="Times New Roman"/>
                      <w:color w:val="auto"/>
                      <w:sz w:val="21"/>
                      <w:szCs w:val="21"/>
                    </w:rPr>
                    <w:t>0</w:t>
                  </w:r>
                  <w:r>
                    <w:rPr>
                      <w:color w:val="auto"/>
                      <w:sz w:val="21"/>
                      <w:szCs w:val="21"/>
                    </w:rPr>
                    <w:t>m</w:t>
                  </w:r>
                  <w:r>
                    <w:rPr>
                      <w:color w:val="auto"/>
                      <w:sz w:val="21"/>
                      <w:szCs w:val="21"/>
                      <w:vertAlign w:val="superscript"/>
                    </w:rPr>
                    <w:t>2</w:t>
                  </w:r>
                  <w:r>
                    <w:rPr>
                      <w:rFonts w:hint="eastAsia" w:ascii="宋体" w:hAnsi="宋体" w:cs="宋体"/>
                      <w:color w:val="auto"/>
                      <w:sz w:val="21"/>
                      <w:szCs w:val="21"/>
                    </w:rPr>
                    <w:t>，</w:t>
                  </w:r>
                  <w:r>
                    <w:rPr>
                      <w:rFonts w:hint="default" w:ascii="Times New Roman" w:hAnsi="Times New Roman" w:cs="Times New Roman"/>
                      <w:color w:val="auto"/>
                      <w:sz w:val="21"/>
                      <w:szCs w:val="21"/>
                      <w:lang w:val="en-US" w:eastAsia="zh-CN"/>
                    </w:rPr>
                    <w:t>2</w:t>
                  </w:r>
                  <w:r>
                    <w:rPr>
                      <w:rFonts w:hint="eastAsia" w:ascii="宋体" w:hAnsi="宋体" w:cs="宋体"/>
                      <w:color w:val="auto"/>
                      <w:sz w:val="21"/>
                      <w:szCs w:val="21"/>
                      <w:lang w:val="en-US" w:eastAsia="zh-CN"/>
                    </w:rPr>
                    <w:t>层框架结构，内部</w:t>
                  </w:r>
                  <w:r>
                    <w:rPr>
                      <w:rFonts w:hint="eastAsia" w:ascii="宋体" w:hAnsi="宋体" w:cs="宋体"/>
                      <w:color w:val="auto"/>
                      <w:sz w:val="21"/>
                      <w:szCs w:val="21"/>
                    </w:rPr>
                    <w:t>主要用于员工的办公</w:t>
                  </w:r>
                </w:p>
              </w:tc>
              <w:tc>
                <w:tcPr>
                  <w:tcW w:w="739" w:type="dxa"/>
                  <w:vAlign w:val="center"/>
                </w:tcPr>
                <w:p>
                  <w:pPr>
                    <w:jc w:val="center"/>
                    <w:rPr>
                      <w:rFonts w:hint="eastAsia" w:ascii="宋体" w:hAnsi="宋体" w:cs="宋体"/>
                      <w:color w:val="auto"/>
                      <w:sz w:val="21"/>
                      <w:szCs w:val="21"/>
                    </w:rPr>
                  </w:pPr>
                  <w:r>
                    <w:rPr>
                      <w:rFonts w:hint="eastAsia" w:ascii="宋体" w:hAnsi="宋体" w:cs="宋体"/>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continue"/>
                  <w:vAlign w:val="center"/>
                </w:tcPr>
                <w:p>
                  <w:pPr>
                    <w:jc w:val="center"/>
                    <w:rPr>
                      <w:rFonts w:hint="eastAsia"/>
                      <w:sz w:val="21"/>
                      <w:szCs w:val="21"/>
                      <w:lang w:val="en-US" w:eastAsia="zh-CN"/>
                    </w:rPr>
                  </w:pPr>
                </w:p>
              </w:tc>
              <w:tc>
                <w:tcPr>
                  <w:tcW w:w="1143" w:type="dxa"/>
                  <w:vAlign w:val="center"/>
                </w:tcPr>
                <w:p>
                  <w:pPr>
                    <w:widowControl/>
                    <w:jc w:val="center"/>
                    <w:rPr>
                      <w:rFonts w:hint="default" w:eastAsia="宋体"/>
                      <w:color w:val="auto"/>
                      <w:sz w:val="21"/>
                      <w:szCs w:val="21"/>
                      <w:lang w:val="en-US" w:eastAsia="zh-CN"/>
                    </w:rPr>
                  </w:pPr>
                  <w:r>
                    <w:rPr>
                      <w:rFonts w:hint="eastAsia"/>
                      <w:color w:val="auto"/>
                      <w:sz w:val="21"/>
                      <w:szCs w:val="21"/>
                      <w:lang w:val="en-US" w:eastAsia="zh-CN"/>
                    </w:rPr>
                    <w:t>调度房</w:t>
                  </w:r>
                </w:p>
              </w:tc>
              <w:tc>
                <w:tcPr>
                  <w:tcW w:w="4924" w:type="dxa"/>
                  <w:gridSpan w:val="2"/>
                  <w:vAlign w:val="center"/>
                </w:tcPr>
                <w:p>
                  <w:pPr>
                    <w:jc w:val="center"/>
                    <w:rPr>
                      <w:rFonts w:hint="default" w:ascii="宋体" w:hAnsi="宋体" w:cs="宋体"/>
                      <w:color w:val="auto"/>
                      <w:sz w:val="21"/>
                      <w:szCs w:val="21"/>
                      <w:lang w:val="en-US"/>
                    </w:rPr>
                  </w:pPr>
                  <w:r>
                    <w:rPr>
                      <w:rFonts w:hint="eastAsia" w:ascii="宋体" w:hAnsi="宋体" w:cs="宋体"/>
                      <w:color w:val="auto"/>
                      <w:sz w:val="21"/>
                      <w:szCs w:val="21"/>
                    </w:rPr>
                    <w:t>建筑面积约</w:t>
                  </w:r>
                  <w:r>
                    <w:rPr>
                      <w:rFonts w:hint="default" w:ascii="Times New Roman" w:hAnsi="Times New Roman" w:cs="Times New Roman"/>
                      <w:color w:val="auto"/>
                      <w:sz w:val="21"/>
                      <w:szCs w:val="21"/>
                      <w:lang w:val="en-US" w:eastAsia="zh-CN"/>
                    </w:rPr>
                    <w:t>26</w:t>
                  </w:r>
                  <w:r>
                    <w:rPr>
                      <w:rFonts w:hint="default" w:ascii="Times New Roman" w:hAnsi="Times New Roman" w:cs="Times New Roman"/>
                      <w:color w:val="auto"/>
                      <w:sz w:val="21"/>
                      <w:szCs w:val="21"/>
                    </w:rPr>
                    <w:t>0</w:t>
                  </w:r>
                  <w:r>
                    <w:rPr>
                      <w:color w:val="auto"/>
                      <w:sz w:val="21"/>
                      <w:szCs w:val="21"/>
                    </w:rPr>
                    <w:t>m</w:t>
                  </w:r>
                  <w:r>
                    <w:rPr>
                      <w:color w:val="auto"/>
                      <w:sz w:val="21"/>
                      <w:szCs w:val="21"/>
                      <w:vertAlign w:val="superscript"/>
                    </w:rPr>
                    <w:t>2</w:t>
                  </w:r>
                  <w:r>
                    <w:rPr>
                      <w:rFonts w:hint="eastAsia" w:ascii="宋体" w:hAnsi="宋体" w:cs="宋体"/>
                      <w:color w:val="auto"/>
                      <w:sz w:val="21"/>
                      <w:szCs w:val="21"/>
                    </w:rPr>
                    <w:t>，</w:t>
                  </w:r>
                  <w:r>
                    <w:rPr>
                      <w:rFonts w:hint="eastAsia" w:ascii="宋体" w:hAnsi="宋体" w:cs="宋体"/>
                      <w:color w:val="auto"/>
                      <w:sz w:val="21"/>
                      <w:szCs w:val="21"/>
                      <w:lang w:val="en-US" w:eastAsia="zh-CN"/>
                    </w:rPr>
                    <w:t>单层砖混结构，位于厂区北侧</w:t>
                  </w:r>
                </w:p>
              </w:tc>
              <w:tc>
                <w:tcPr>
                  <w:tcW w:w="739" w:type="dxa"/>
                  <w:vAlign w:val="center"/>
                </w:tcPr>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continue"/>
                  <w:vAlign w:val="center"/>
                </w:tcPr>
                <w:p>
                  <w:pPr>
                    <w:jc w:val="center"/>
                    <w:rPr>
                      <w:rFonts w:hint="eastAsia"/>
                      <w:sz w:val="21"/>
                      <w:szCs w:val="21"/>
                      <w:lang w:val="en-US" w:eastAsia="zh-CN"/>
                    </w:rPr>
                  </w:pPr>
                </w:p>
              </w:tc>
              <w:tc>
                <w:tcPr>
                  <w:tcW w:w="1143" w:type="dxa"/>
                  <w:vAlign w:val="center"/>
                </w:tcPr>
                <w:p>
                  <w:pPr>
                    <w:widowControl/>
                    <w:jc w:val="center"/>
                    <w:rPr>
                      <w:rFonts w:hint="default"/>
                      <w:color w:val="auto"/>
                      <w:sz w:val="21"/>
                      <w:szCs w:val="21"/>
                      <w:lang w:val="en-US" w:eastAsia="zh-CN"/>
                    </w:rPr>
                  </w:pPr>
                  <w:r>
                    <w:rPr>
                      <w:rFonts w:hint="eastAsia"/>
                      <w:color w:val="auto"/>
                      <w:sz w:val="21"/>
                      <w:szCs w:val="21"/>
                      <w:lang w:val="en-US" w:eastAsia="zh-CN"/>
                    </w:rPr>
                    <w:t>门卫室</w:t>
                  </w:r>
                </w:p>
              </w:tc>
              <w:tc>
                <w:tcPr>
                  <w:tcW w:w="4924" w:type="dxa"/>
                  <w:gridSpan w:val="2"/>
                  <w:vAlign w:val="center"/>
                </w:tcPr>
                <w:p>
                  <w:pPr>
                    <w:jc w:val="center"/>
                    <w:rPr>
                      <w:rFonts w:hint="default" w:ascii="宋体" w:hAnsi="宋体" w:cs="宋体"/>
                      <w:color w:val="0000FF"/>
                      <w:sz w:val="21"/>
                      <w:szCs w:val="21"/>
                      <w:lang w:val="en-US"/>
                    </w:rPr>
                  </w:pPr>
                  <w:r>
                    <w:rPr>
                      <w:rFonts w:hint="eastAsia" w:ascii="宋体" w:hAnsi="宋体" w:cs="宋体"/>
                      <w:color w:val="auto"/>
                      <w:sz w:val="21"/>
                      <w:szCs w:val="21"/>
                    </w:rPr>
                    <w:t>建筑面积约</w:t>
                  </w: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0</w:t>
                  </w:r>
                  <w:r>
                    <w:rPr>
                      <w:color w:val="auto"/>
                      <w:sz w:val="21"/>
                      <w:szCs w:val="21"/>
                    </w:rPr>
                    <w:t>m</w:t>
                  </w:r>
                  <w:r>
                    <w:rPr>
                      <w:color w:val="auto"/>
                      <w:sz w:val="21"/>
                      <w:szCs w:val="21"/>
                      <w:vertAlign w:val="superscript"/>
                    </w:rPr>
                    <w:t>2</w:t>
                  </w:r>
                  <w:r>
                    <w:rPr>
                      <w:rFonts w:hint="eastAsia" w:ascii="宋体" w:hAnsi="宋体" w:cs="宋体"/>
                      <w:color w:val="auto"/>
                      <w:sz w:val="21"/>
                      <w:szCs w:val="21"/>
                    </w:rPr>
                    <w:t>，</w:t>
                  </w:r>
                  <w:r>
                    <w:rPr>
                      <w:rFonts w:hint="eastAsia" w:ascii="宋体" w:hAnsi="宋体" w:cs="宋体"/>
                      <w:color w:val="auto"/>
                      <w:sz w:val="21"/>
                      <w:szCs w:val="21"/>
                      <w:lang w:val="en-US" w:eastAsia="zh-CN"/>
                    </w:rPr>
                    <w:t>单层砖混结构，位于厂区东北侧</w:t>
                  </w:r>
                </w:p>
              </w:tc>
              <w:tc>
                <w:tcPr>
                  <w:tcW w:w="739" w:type="dxa"/>
                  <w:vAlign w:val="center"/>
                </w:tcPr>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continue"/>
                  <w:vAlign w:val="center"/>
                </w:tcPr>
                <w:p>
                  <w:pPr>
                    <w:jc w:val="center"/>
                    <w:rPr>
                      <w:rFonts w:hint="eastAsia"/>
                      <w:sz w:val="21"/>
                      <w:szCs w:val="21"/>
                      <w:lang w:val="en-US" w:eastAsia="zh-CN"/>
                    </w:rPr>
                  </w:pPr>
                </w:p>
              </w:tc>
              <w:tc>
                <w:tcPr>
                  <w:tcW w:w="1143" w:type="dxa"/>
                  <w:vAlign w:val="center"/>
                </w:tcPr>
                <w:p>
                  <w:pPr>
                    <w:widowControl/>
                    <w:jc w:val="center"/>
                    <w:rPr>
                      <w:rFonts w:hint="default"/>
                      <w:color w:val="auto"/>
                      <w:sz w:val="21"/>
                      <w:szCs w:val="21"/>
                      <w:lang w:val="en-US" w:eastAsia="zh-CN"/>
                    </w:rPr>
                  </w:pPr>
                  <w:r>
                    <w:rPr>
                      <w:rFonts w:hint="eastAsia"/>
                      <w:color w:val="auto"/>
                      <w:sz w:val="21"/>
                      <w:szCs w:val="21"/>
                      <w:lang w:val="en-US" w:eastAsia="zh-CN"/>
                    </w:rPr>
                    <w:t>实验室</w:t>
                  </w:r>
                </w:p>
              </w:tc>
              <w:tc>
                <w:tcPr>
                  <w:tcW w:w="4924" w:type="dxa"/>
                  <w:gridSpan w:val="2"/>
                  <w:vAlign w:val="center"/>
                </w:tcPr>
                <w:p>
                  <w:pPr>
                    <w:jc w:val="center"/>
                    <w:rPr>
                      <w:rFonts w:hint="default" w:ascii="宋体" w:hAnsi="宋体" w:cs="宋体"/>
                      <w:color w:val="auto"/>
                      <w:sz w:val="21"/>
                      <w:szCs w:val="21"/>
                      <w:lang w:val="en-US"/>
                    </w:rPr>
                  </w:pPr>
                  <w:r>
                    <w:rPr>
                      <w:rFonts w:hint="eastAsia" w:ascii="宋体" w:hAnsi="宋体" w:cs="宋体"/>
                      <w:color w:val="auto"/>
                      <w:sz w:val="21"/>
                      <w:szCs w:val="21"/>
                    </w:rPr>
                    <w:t>建筑面积约</w:t>
                  </w:r>
                  <w:r>
                    <w:rPr>
                      <w:rFonts w:hint="default" w:ascii="Times New Roman" w:hAnsi="Times New Roman" w:cs="Times New Roman"/>
                      <w:color w:val="auto"/>
                      <w:sz w:val="21"/>
                      <w:szCs w:val="21"/>
                      <w:lang w:val="en-US" w:eastAsia="zh-CN"/>
                    </w:rPr>
                    <w:t>400</w:t>
                  </w:r>
                  <w:r>
                    <w:rPr>
                      <w:color w:val="auto"/>
                      <w:sz w:val="21"/>
                      <w:szCs w:val="21"/>
                    </w:rPr>
                    <w:t>m</w:t>
                  </w:r>
                  <w:r>
                    <w:rPr>
                      <w:color w:val="auto"/>
                      <w:sz w:val="21"/>
                      <w:szCs w:val="21"/>
                      <w:vertAlign w:val="superscript"/>
                    </w:rPr>
                    <w:t>2</w:t>
                  </w:r>
                  <w:r>
                    <w:rPr>
                      <w:rFonts w:hint="eastAsia" w:ascii="宋体" w:hAnsi="宋体" w:cs="宋体"/>
                      <w:color w:val="auto"/>
                      <w:sz w:val="21"/>
                      <w:szCs w:val="21"/>
                    </w:rPr>
                    <w:t>，</w:t>
                  </w:r>
                  <w:r>
                    <w:rPr>
                      <w:rFonts w:hint="eastAsia" w:ascii="宋体" w:hAnsi="宋体" w:cs="宋体"/>
                      <w:color w:val="auto"/>
                      <w:sz w:val="21"/>
                      <w:szCs w:val="21"/>
                      <w:lang w:val="en-US" w:eastAsia="zh-CN"/>
                    </w:rPr>
                    <w:t>位于办公综合楼南侧，主要用于试验</w:t>
                  </w:r>
                </w:p>
              </w:tc>
              <w:tc>
                <w:tcPr>
                  <w:tcW w:w="739" w:type="dxa"/>
                  <w:vAlign w:val="center"/>
                </w:tcPr>
                <w:p>
                  <w:pPr>
                    <w:jc w:val="center"/>
                    <w:rPr>
                      <w:rFonts w:hint="eastAsia" w:ascii="宋体" w:hAnsi="宋体" w:cs="宋体"/>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pPr>
                    <w:jc w:val="center"/>
                    <w:rPr>
                      <w:sz w:val="21"/>
                      <w:szCs w:val="21"/>
                      <w:highlight w:val="yellow"/>
                    </w:rPr>
                  </w:pPr>
                  <w:r>
                    <w:rPr>
                      <w:sz w:val="21"/>
                      <w:szCs w:val="21"/>
                    </w:rPr>
                    <w:t>储运工程</w:t>
                  </w:r>
                </w:p>
              </w:tc>
              <w:tc>
                <w:tcPr>
                  <w:tcW w:w="1143" w:type="dxa"/>
                  <w:vAlign w:val="center"/>
                </w:tcPr>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标准库房</w:t>
                  </w:r>
                </w:p>
              </w:tc>
              <w:tc>
                <w:tcPr>
                  <w:tcW w:w="4924" w:type="dxa"/>
                  <w:gridSpan w:val="2"/>
                  <w:vAlign w:val="center"/>
                </w:tcPr>
                <w:p>
                  <w:pPr>
                    <w:adjustRightInd w:val="0"/>
                    <w:snapToGrid w:val="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auto"/>
                      <w:sz w:val="21"/>
                      <w:szCs w:val="21"/>
                    </w:rPr>
                    <w:t>建筑面积约</w:t>
                  </w:r>
                  <w:r>
                    <w:rPr>
                      <w:rFonts w:hint="default" w:ascii="Times New Roman" w:hAnsi="Times New Roman" w:cs="Times New Roman"/>
                      <w:color w:val="auto"/>
                      <w:sz w:val="21"/>
                      <w:szCs w:val="21"/>
                      <w:lang w:val="en-US" w:eastAsia="zh-CN"/>
                    </w:rPr>
                    <w:t>600</w:t>
                  </w:r>
                  <w:r>
                    <w:rPr>
                      <w:rFonts w:hint="default" w:ascii="Times New Roman" w:hAnsi="Times New Roman" w:cs="Times New Roman"/>
                      <w:color w:val="auto"/>
                      <w:sz w:val="21"/>
                      <w:szCs w:val="21"/>
                    </w:rPr>
                    <w:t>0</w:t>
                  </w:r>
                  <w:r>
                    <w:rPr>
                      <w:color w:val="auto"/>
                      <w:sz w:val="21"/>
                      <w:szCs w:val="21"/>
                    </w:rPr>
                    <w:t>m</w:t>
                  </w:r>
                  <w:r>
                    <w:rPr>
                      <w:color w:val="auto"/>
                      <w:sz w:val="21"/>
                      <w:szCs w:val="21"/>
                      <w:vertAlign w:val="superscript"/>
                    </w:rPr>
                    <w:t>2</w:t>
                  </w:r>
                  <w:r>
                    <w:rPr>
                      <w:rFonts w:hint="eastAsia" w:ascii="宋体" w:hAnsi="宋体" w:cs="宋体"/>
                      <w:color w:val="auto"/>
                      <w:sz w:val="21"/>
                      <w:szCs w:val="21"/>
                    </w:rPr>
                    <w:t>，</w:t>
                  </w:r>
                  <w:r>
                    <w:rPr>
                      <w:rFonts w:hint="eastAsia" w:ascii="宋体" w:hAnsi="宋体" w:cs="宋体"/>
                      <w:color w:val="auto"/>
                      <w:sz w:val="21"/>
                      <w:szCs w:val="21"/>
                      <w:lang w:val="en-US" w:eastAsia="zh-CN"/>
                    </w:rPr>
                    <w:t>高</w:t>
                  </w:r>
                  <w:r>
                    <w:rPr>
                      <w:rFonts w:hint="default" w:ascii="Times New Roman" w:hAnsi="Times New Roman" w:cs="Times New Roman"/>
                      <w:color w:val="auto"/>
                      <w:sz w:val="21"/>
                      <w:szCs w:val="21"/>
                      <w:lang w:val="en-US" w:eastAsia="zh-CN"/>
                    </w:rPr>
                    <w:t>8</w:t>
                  </w:r>
                  <w:r>
                    <w:rPr>
                      <w:rFonts w:hint="eastAsia" w:ascii="宋体" w:hAnsi="宋体" w:cs="宋体"/>
                      <w:color w:val="auto"/>
                      <w:sz w:val="21"/>
                      <w:szCs w:val="21"/>
                      <w:lang w:val="en-US" w:eastAsia="zh-CN"/>
                    </w:rPr>
                    <w:t>米，内部为</w:t>
                  </w:r>
                  <w:r>
                    <w:rPr>
                      <w:rFonts w:hint="default" w:ascii="Times New Roman" w:hAnsi="Times New Roman" w:cs="Times New Roman"/>
                      <w:color w:val="auto"/>
                      <w:sz w:val="21"/>
                      <w:szCs w:val="21"/>
                      <w:lang w:val="en-US" w:eastAsia="zh-CN"/>
                    </w:rPr>
                    <w:t>8</w:t>
                  </w:r>
                  <w:r>
                    <w:rPr>
                      <w:rFonts w:hint="eastAsia" w:ascii="宋体" w:hAnsi="宋体" w:cs="宋体"/>
                      <w:color w:val="auto"/>
                      <w:sz w:val="21"/>
                      <w:szCs w:val="21"/>
                      <w:lang w:val="en-US" w:eastAsia="zh-CN"/>
                    </w:rPr>
                    <w:t>个骨料仓</w:t>
                  </w:r>
                </w:p>
              </w:tc>
              <w:tc>
                <w:tcPr>
                  <w:tcW w:w="739" w:type="dxa"/>
                  <w:vAlign w:val="center"/>
                </w:tcPr>
                <w:p>
                  <w:pPr>
                    <w:adjustRightInd w:val="0"/>
                    <w:snapToGrid w:val="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restart"/>
                  <w:vAlign w:val="center"/>
                </w:tcPr>
                <w:p>
                  <w:pPr>
                    <w:jc w:val="center"/>
                    <w:rPr>
                      <w:sz w:val="21"/>
                      <w:szCs w:val="21"/>
                    </w:rPr>
                  </w:pPr>
                  <w:r>
                    <w:rPr>
                      <w:sz w:val="21"/>
                      <w:szCs w:val="21"/>
                    </w:rPr>
                    <w:t>公用工程</w:t>
                  </w:r>
                </w:p>
              </w:tc>
              <w:tc>
                <w:tcPr>
                  <w:tcW w:w="1143" w:type="dxa"/>
                  <w:vAlign w:val="center"/>
                </w:tcPr>
                <w:p>
                  <w:pPr>
                    <w:jc w:val="center"/>
                    <w:rPr>
                      <w:sz w:val="21"/>
                      <w:szCs w:val="21"/>
                    </w:rPr>
                  </w:pPr>
                  <w:r>
                    <w:rPr>
                      <w:sz w:val="21"/>
                      <w:szCs w:val="21"/>
                    </w:rPr>
                    <w:t>供水</w:t>
                  </w:r>
                </w:p>
              </w:tc>
              <w:tc>
                <w:tcPr>
                  <w:tcW w:w="4924" w:type="dxa"/>
                  <w:gridSpan w:val="2"/>
                  <w:vAlign w:val="center"/>
                </w:tcPr>
                <w:p>
                  <w:pPr>
                    <w:adjustRightInd w:val="0"/>
                    <w:snapToGrid w:val="0"/>
                    <w:jc w:val="center"/>
                    <w:rPr>
                      <w:rFonts w:hint="eastAsia" w:eastAsia="宋体"/>
                      <w:sz w:val="21"/>
                      <w:szCs w:val="21"/>
                      <w:lang w:val="en-US" w:eastAsia="zh-CN"/>
                    </w:rPr>
                  </w:pPr>
                  <w:r>
                    <w:rPr>
                      <w:rFonts w:hint="default"/>
                      <w:sz w:val="21"/>
                      <w:szCs w:val="21"/>
                      <w:lang w:val="en-US" w:eastAsia="zh-CN"/>
                    </w:rPr>
                    <w:t>杨楼镇乡镇</w:t>
                  </w:r>
                  <w:r>
                    <w:rPr>
                      <w:rFonts w:hint="default"/>
                      <w:sz w:val="21"/>
                      <w:szCs w:val="21"/>
                      <w:lang w:val="en-US"/>
                    </w:rPr>
                    <w:t>给水管网</w:t>
                  </w:r>
                  <w:r>
                    <w:rPr>
                      <w:rFonts w:hint="eastAsia"/>
                      <w:sz w:val="21"/>
                      <w:szCs w:val="21"/>
                      <w:lang w:val="en-US" w:eastAsia="zh-CN"/>
                    </w:rPr>
                    <w:t>，年用水</w:t>
                  </w:r>
                  <w:r>
                    <w:rPr>
                      <w:rFonts w:hint="eastAsia"/>
                      <w:b w:val="0"/>
                      <w:bCs/>
                      <w:sz w:val="21"/>
                      <w:szCs w:val="21"/>
                      <w:lang w:val="en-US" w:eastAsia="zh-CN" w:bidi="ar"/>
                    </w:rPr>
                    <w:t>83690.5t/a</w:t>
                  </w:r>
                </w:p>
              </w:tc>
              <w:tc>
                <w:tcPr>
                  <w:tcW w:w="739" w:type="dxa"/>
                  <w:vAlign w:val="center"/>
                </w:tcPr>
                <w:p>
                  <w:pPr>
                    <w:adjustRightInd w:val="0"/>
                    <w:snapToGrid w:val="0"/>
                    <w:jc w:val="center"/>
                    <w:rPr>
                      <w:rFonts w:hint="default"/>
                      <w:sz w:val="21"/>
                      <w:szCs w:val="21"/>
                      <w:lang w:val="en-US" w:eastAsia="zh-CN"/>
                    </w:rPr>
                  </w:pPr>
                  <w:r>
                    <w:rPr>
                      <w:rFonts w:hint="eastAsia"/>
                      <w:sz w:val="21"/>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continue"/>
                  <w:vAlign w:val="center"/>
                </w:tcPr>
                <w:p>
                  <w:pPr>
                    <w:jc w:val="center"/>
                    <w:rPr>
                      <w:sz w:val="21"/>
                      <w:szCs w:val="21"/>
                    </w:rPr>
                  </w:pPr>
                </w:p>
              </w:tc>
              <w:tc>
                <w:tcPr>
                  <w:tcW w:w="1143" w:type="dxa"/>
                  <w:vMerge w:val="restart"/>
                  <w:vAlign w:val="center"/>
                </w:tcPr>
                <w:p>
                  <w:pPr>
                    <w:jc w:val="center"/>
                    <w:rPr>
                      <w:sz w:val="21"/>
                      <w:szCs w:val="21"/>
                    </w:rPr>
                  </w:pPr>
                  <w:r>
                    <w:rPr>
                      <w:sz w:val="21"/>
                      <w:szCs w:val="21"/>
                    </w:rPr>
                    <w:t>排水</w:t>
                  </w:r>
                </w:p>
              </w:tc>
              <w:tc>
                <w:tcPr>
                  <w:tcW w:w="4924" w:type="dxa"/>
                  <w:gridSpan w:val="2"/>
                  <w:vMerge w:val="restart"/>
                  <w:vAlign w:val="center"/>
                </w:tcPr>
                <w:p>
                  <w:pPr>
                    <w:adjustRightInd w:val="0"/>
                    <w:snapToGrid w:val="0"/>
                    <w:jc w:val="center"/>
                    <w:rPr>
                      <w:rFonts w:hint="default"/>
                      <w:sz w:val="21"/>
                      <w:szCs w:val="21"/>
                      <w:lang w:val="en-US"/>
                    </w:rPr>
                  </w:pPr>
                  <w:r>
                    <w:rPr>
                      <w:rFonts w:hint="default"/>
                      <w:sz w:val="21"/>
                      <w:szCs w:val="21"/>
                      <w:lang w:val="en-US"/>
                    </w:rPr>
                    <w:t>雨污分流，雨水设置截排水沟，流入附近河流；生活</w:t>
                  </w:r>
                  <w:r>
                    <w:rPr>
                      <w:rFonts w:hint="eastAsia"/>
                      <w:sz w:val="21"/>
                      <w:szCs w:val="21"/>
                      <w:lang w:val="en-US" w:eastAsia="zh-CN"/>
                    </w:rPr>
                    <w:t>污</w:t>
                  </w:r>
                  <w:r>
                    <w:rPr>
                      <w:rFonts w:hint="default"/>
                      <w:sz w:val="21"/>
                      <w:szCs w:val="21"/>
                      <w:lang w:val="en-US"/>
                    </w:rPr>
                    <w:t>水经</w:t>
                  </w:r>
                  <w:r>
                    <w:rPr>
                      <w:rFonts w:hint="eastAsia"/>
                      <w:sz w:val="21"/>
                      <w:szCs w:val="21"/>
                      <w:lang w:val="en-US" w:eastAsia="zh-CN"/>
                    </w:rPr>
                    <w:t>隔油池+</w:t>
                  </w:r>
                  <w:r>
                    <w:rPr>
                      <w:rFonts w:hint="default"/>
                      <w:sz w:val="21"/>
                      <w:szCs w:val="21"/>
                      <w:lang w:val="en-US"/>
                    </w:rPr>
                    <w:t>化粪池处理后</w:t>
                  </w:r>
                  <w:r>
                    <w:rPr>
                      <w:rFonts w:hint="eastAsia"/>
                      <w:sz w:val="21"/>
                      <w:szCs w:val="21"/>
                      <w:lang w:val="en-US" w:eastAsia="zh-CN"/>
                    </w:rPr>
                    <w:t>定期</w:t>
                  </w:r>
                  <w:r>
                    <w:rPr>
                      <w:rFonts w:hint="default"/>
                      <w:sz w:val="21"/>
                      <w:szCs w:val="21"/>
                      <w:lang w:val="en-US"/>
                    </w:rPr>
                    <w:t>清掏，不外排；生产废水经厂区沉淀池处理后回用</w:t>
                  </w:r>
                </w:p>
              </w:tc>
              <w:tc>
                <w:tcPr>
                  <w:tcW w:w="739" w:type="dxa"/>
                  <w:vMerge w:val="restart"/>
                  <w:vAlign w:val="center"/>
                </w:tcPr>
                <w:p>
                  <w:pPr>
                    <w:adjustRightInd w:val="0"/>
                    <w:snapToGrid w:val="0"/>
                    <w:jc w:val="center"/>
                    <w:rPr>
                      <w:rFonts w:hint="default"/>
                      <w:sz w:val="21"/>
                      <w:szCs w:val="21"/>
                      <w:lang w:val="en-US" w:eastAsia="zh-CN"/>
                    </w:rPr>
                  </w:pPr>
                  <w:r>
                    <w:rPr>
                      <w:rFonts w:hint="eastAsia"/>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continue"/>
                  <w:vAlign w:val="center"/>
                </w:tcPr>
                <w:p>
                  <w:pPr>
                    <w:jc w:val="center"/>
                    <w:rPr>
                      <w:sz w:val="21"/>
                      <w:szCs w:val="21"/>
                    </w:rPr>
                  </w:pPr>
                </w:p>
              </w:tc>
              <w:tc>
                <w:tcPr>
                  <w:tcW w:w="1143" w:type="dxa"/>
                  <w:vMerge w:val="continue"/>
                  <w:vAlign w:val="center"/>
                </w:tcPr>
                <w:p>
                  <w:pPr>
                    <w:jc w:val="center"/>
                    <w:rPr>
                      <w:sz w:val="21"/>
                      <w:szCs w:val="21"/>
                    </w:rPr>
                  </w:pPr>
                </w:p>
              </w:tc>
              <w:tc>
                <w:tcPr>
                  <w:tcW w:w="4924" w:type="dxa"/>
                  <w:gridSpan w:val="2"/>
                  <w:vMerge w:val="continue"/>
                  <w:vAlign w:val="center"/>
                </w:tcPr>
                <w:p>
                  <w:pPr>
                    <w:adjustRightInd w:val="0"/>
                    <w:snapToGrid w:val="0"/>
                    <w:jc w:val="center"/>
                    <w:rPr>
                      <w:sz w:val="21"/>
                      <w:szCs w:val="21"/>
                    </w:rPr>
                  </w:pPr>
                </w:p>
              </w:tc>
              <w:tc>
                <w:tcPr>
                  <w:tcW w:w="739" w:type="dxa"/>
                  <w:vMerge w:val="continue"/>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continue"/>
                  <w:vAlign w:val="center"/>
                </w:tcPr>
                <w:p>
                  <w:pPr>
                    <w:jc w:val="center"/>
                    <w:rPr>
                      <w:sz w:val="21"/>
                      <w:szCs w:val="21"/>
                    </w:rPr>
                  </w:pPr>
                </w:p>
              </w:tc>
              <w:tc>
                <w:tcPr>
                  <w:tcW w:w="1143" w:type="dxa"/>
                  <w:vMerge w:val="restart"/>
                  <w:vAlign w:val="center"/>
                </w:tcPr>
                <w:p>
                  <w:pPr>
                    <w:jc w:val="center"/>
                    <w:rPr>
                      <w:sz w:val="21"/>
                      <w:szCs w:val="21"/>
                    </w:rPr>
                  </w:pPr>
                  <w:r>
                    <w:rPr>
                      <w:sz w:val="21"/>
                      <w:szCs w:val="21"/>
                    </w:rPr>
                    <w:t>供电</w:t>
                  </w:r>
                </w:p>
              </w:tc>
              <w:tc>
                <w:tcPr>
                  <w:tcW w:w="4924" w:type="dxa"/>
                  <w:gridSpan w:val="2"/>
                  <w:vMerge w:val="restart"/>
                  <w:vAlign w:val="center"/>
                </w:tcPr>
                <w:p>
                  <w:pPr>
                    <w:adjustRightInd w:val="0"/>
                    <w:snapToGrid w:val="0"/>
                    <w:jc w:val="center"/>
                    <w:rPr>
                      <w:rFonts w:hint="default" w:eastAsia="宋体"/>
                      <w:sz w:val="21"/>
                      <w:szCs w:val="21"/>
                      <w:lang w:val="en-US" w:eastAsia="zh-CN"/>
                    </w:rPr>
                  </w:pPr>
                  <w:r>
                    <w:rPr>
                      <w:rFonts w:hint="eastAsia" w:ascii="Times New Roman" w:hAnsi="Times New Roman" w:cs="Times New Roman"/>
                      <w:color w:val="000000"/>
                      <w:kern w:val="0"/>
                      <w:sz w:val="21"/>
                      <w:szCs w:val="21"/>
                      <w:lang w:val="en-US" w:eastAsia="zh-CN"/>
                    </w:rPr>
                    <w:t>杨</w:t>
                  </w:r>
                  <w:r>
                    <w:rPr>
                      <w:rFonts w:ascii="Times New Roman" w:hAnsi="Times New Roman" w:cs="Times New Roman"/>
                      <w:color w:val="000000"/>
                      <w:kern w:val="0"/>
                      <w:sz w:val="21"/>
                      <w:szCs w:val="21"/>
                    </w:rPr>
                    <w:t>楼镇电网</w:t>
                  </w:r>
                  <w:r>
                    <w:rPr>
                      <w:rFonts w:hint="eastAsia" w:cs="Times New Roman"/>
                      <w:color w:val="000000"/>
                      <w:kern w:val="0"/>
                      <w:sz w:val="21"/>
                      <w:szCs w:val="21"/>
                      <w:lang w:eastAsia="zh-CN"/>
                    </w:rPr>
                    <w:t>，</w:t>
                  </w:r>
                  <w:r>
                    <w:rPr>
                      <w:rFonts w:hint="eastAsia" w:cs="Times New Roman"/>
                      <w:color w:val="000000"/>
                      <w:kern w:val="0"/>
                      <w:sz w:val="21"/>
                      <w:szCs w:val="21"/>
                      <w:lang w:val="en-US" w:eastAsia="zh-CN"/>
                    </w:rPr>
                    <w:t>年用电</w:t>
                  </w:r>
                  <w:r>
                    <w:rPr>
                      <w:rFonts w:hint="eastAsia"/>
                      <w:color w:val="auto"/>
                      <w:kern w:val="0"/>
                      <w:sz w:val="21"/>
                      <w:szCs w:val="21"/>
                      <w:lang w:val="en-US" w:eastAsia="zh-CN"/>
                    </w:rPr>
                    <w:t>210万</w:t>
                  </w:r>
                  <w:r>
                    <w:rPr>
                      <w:rFonts w:hint="default" w:ascii="Times New Roman" w:hAnsi="Times New Roman" w:cs="Times New Roman"/>
                      <w:color w:val="auto"/>
                      <w:sz w:val="21"/>
                      <w:szCs w:val="21"/>
                      <w:highlight w:val="none"/>
                    </w:rPr>
                    <w:t>k</w:t>
                  </w:r>
                  <w:r>
                    <w:rPr>
                      <w:rFonts w:hint="default" w:ascii="Times New Roman" w:hAnsi="Times New Roman" w:cs="Times New Roman"/>
                      <w:color w:val="auto"/>
                      <w:sz w:val="21"/>
                      <w:szCs w:val="21"/>
                      <w:highlight w:val="none"/>
                      <w:lang w:val="en-US" w:eastAsia="zh-CN"/>
                    </w:rPr>
                    <w:t>W</w:t>
                  </w:r>
                  <w:r>
                    <w:rPr>
                      <w:rFonts w:ascii="Arial" w:hAnsi="Arial" w:eastAsia="宋体" w:cs="Arial"/>
                      <w:i w:val="0"/>
                      <w:iCs w:val="0"/>
                      <w:caps w:val="0"/>
                      <w:color w:val="333333"/>
                      <w:spacing w:val="0"/>
                      <w:sz w:val="19"/>
                      <w:szCs w:val="19"/>
                      <w:shd w:val="clear" w:fill="FFFFFF"/>
                    </w:rPr>
                    <w:t>·</w:t>
                  </w:r>
                  <w:r>
                    <w:rPr>
                      <w:rFonts w:hint="default" w:ascii="Times New Roman" w:hAnsi="Times New Roman" w:cs="Times New Roman"/>
                      <w:color w:val="auto"/>
                      <w:sz w:val="21"/>
                      <w:szCs w:val="21"/>
                      <w:highlight w:val="none"/>
                    </w:rPr>
                    <w:t>h</w:t>
                  </w:r>
                  <w:r>
                    <w:rPr>
                      <w:rFonts w:hint="default" w:ascii="Times New Roman" w:hAnsi="Times New Roman" w:cs="Times New Roman"/>
                      <w:color w:val="auto"/>
                      <w:sz w:val="21"/>
                      <w:szCs w:val="21"/>
                      <w:highlight w:val="none"/>
                      <w:lang w:val="en-US" w:eastAsia="zh-CN"/>
                    </w:rPr>
                    <w:t>/a</w:t>
                  </w:r>
                </w:p>
              </w:tc>
              <w:tc>
                <w:tcPr>
                  <w:tcW w:w="739" w:type="dxa"/>
                  <w:vMerge w:val="restart"/>
                  <w:vAlign w:val="center"/>
                </w:tcPr>
                <w:p>
                  <w:pPr>
                    <w:adjustRightInd w:val="0"/>
                    <w:snapToGrid w:val="0"/>
                    <w:jc w:val="center"/>
                    <w:rPr>
                      <w:rFonts w:hint="default"/>
                      <w:sz w:val="21"/>
                      <w:szCs w:val="21"/>
                      <w:lang w:val="en-US" w:eastAsia="zh-CN"/>
                    </w:rPr>
                  </w:pPr>
                  <w:r>
                    <w:rPr>
                      <w:rFonts w:hint="eastAsia"/>
                      <w:sz w:val="21"/>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9" w:type="dxa"/>
                  <w:vMerge w:val="continue"/>
                  <w:vAlign w:val="center"/>
                </w:tcPr>
                <w:p>
                  <w:pPr>
                    <w:jc w:val="center"/>
                    <w:rPr>
                      <w:sz w:val="21"/>
                      <w:szCs w:val="21"/>
                    </w:rPr>
                  </w:pPr>
                  <w:bookmarkStart w:id="2" w:name="OLE_LINK23" w:colFirst="0" w:colLast="0"/>
                </w:p>
              </w:tc>
              <w:tc>
                <w:tcPr>
                  <w:tcW w:w="1143" w:type="dxa"/>
                  <w:vMerge w:val="continue"/>
                  <w:vAlign w:val="center"/>
                </w:tcPr>
                <w:p>
                  <w:pPr>
                    <w:jc w:val="center"/>
                    <w:rPr>
                      <w:color w:val="000000" w:themeColor="text1"/>
                      <w:sz w:val="21"/>
                      <w:szCs w:val="21"/>
                      <w14:textFill>
                        <w14:solidFill>
                          <w14:schemeClr w14:val="tx1"/>
                        </w14:solidFill>
                      </w14:textFill>
                    </w:rPr>
                  </w:pPr>
                </w:p>
              </w:tc>
              <w:tc>
                <w:tcPr>
                  <w:tcW w:w="4924" w:type="dxa"/>
                  <w:gridSpan w:val="2"/>
                  <w:vMerge w:val="continue"/>
                  <w:vAlign w:val="center"/>
                </w:tcPr>
                <w:p>
                  <w:pPr>
                    <w:adjustRightInd w:val="0"/>
                    <w:snapToGrid w:val="0"/>
                    <w:jc w:val="center"/>
                    <w:rPr>
                      <w:bCs/>
                      <w:color w:val="auto"/>
                      <w:sz w:val="21"/>
                      <w:szCs w:val="21"/>
                    </w:rPr>
                  </w:pPr>
                </w:p>
              </w:tc>
              <w:tc>
                <w:tcPr>
                  <w:tcW w:w="739" w:type="dxa"/>
                  <w:vMerge w:val="continue"/>
                  <w:vAlign w:val="center"/>
                </w:tcPr>
                <w:p>
                  <w:pPr>
                    <w:adjustRightInd w:val="0"/>
                    <w:snapToGrid w:val="0"/>
                    <w:jc w:val="center"/>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restart"/>
                  <w:vAlign w:val="center"/>
                </w:tcPr>
                <w:p>
                  <w:pPr>
                    <w:jc w:val="center"/>
                    <w:rPr>
                      <w:sz w:val="21"/>
                      <w:szCs w:val="21"/>
                    </w:rPr>
                  </w:pPr>
                  <w:r>
                    <w:rPr>
                      <w:sz w:val="21"/>
                      <w:szCs w:val="21"/>
                    </w:rPr>
                    <w:t>环保工程</w:t>
                  </w:r>
                </w:p>
              </w:tc>
              <w:tc>
                <w:tcPr>
                  <w:tcW w:w="1143" w:type="dxa"/>
                  <w:vAlign w:val="center"/>
                </w:tcPr>
                <w:p>
                  <w:pPr>
                    <w:jc w:val="center"/>
                    <w:rPr>
                      <w:sz w:val="21"/>
                      <w:szCs w:val="21"/>
                    </w:rPr>
                  </w:pPr>
                  <w:r>
                    <w:rPr>
                      <w:sz w:val="21"/>
                      <w:szCs w:val="21"/>
                    </w:rPr>
                    <w:t>废气处理</w:t>
                  </w:r>
                </w:p>
              </w:tc>
              <w:tc>
                <w:tcPr>
                  <w:tcW w:w="4924" w:type="dxa"/>
                  <w:gridSpan w:val="2"/>
                  <w:vAlign w:val="center"/>
                </w:tcPr>
                <w:p>
                  <w:pPr>
                    <w:jc w:val="center"/>
                    <w:rPr>
                      <w:rFonts w:hint="default" w:eastAsia="宋体"/>
                      <w:color w:val="auto"/>
                      <w:sz w:val="21"/>
                      <w:szCs w:val="21"/>
                      <w:lang w:val="en-US" w:eastAsia="zh-CN"/>
                    </w:rPr>
                  </w:pPr>
                  <w:r>
                    <w:rPr>
                      <w:rFonts w:ascii="Times New Roman" w:hAnsi="Times New Roman" w:cs="Times New Roman"/>
                      <w:color w:val="000000"/>
                      <w:sz w:val="21"/>
                      <w:szCs w:val="21"/>
                    </w:rPr>
                    <w:t>筒仓仓顶呼吸孔粉尘经脉冲式仓顶除尘器处理后经仓顶以无组织形式在封闭搅拌楼车间内排放；混合搅拌过程中会产生粉尘，粉尘经搅拌机配套脉冲式除尘器处理后以无组织形式在封闭搅拌楼车间内排放；原料堆场粉尘经洒水抑尘、厂房封闭等措施降尘；汽车车辆运输起尘经设置洗车台、洒水抑尘等措施降尘</w:t>
                  </w:r>
                </w:p>
              </w:tc>
              <w:tc>
                <w:tcPr>
                  <w:tcW w:w="739" w:type="dxa"/>
                  <w:vAlign w:val="center"/>
                </w:tcPr>
                <w:p>
                  <w:pPr>
                    <w:jc w:val="center"/>
                    <w:rPr>
                      <w:rFonts w:hint="default"/>
                      <w:color w:val="auto"/>
                      <w:sz w:val="21"/>
                      <w:szCs w:val="21"/>
                      <w:lang w:val="en-US" w:eastAsia="zh-CN"/>
                    </w:rPr>
                  </w:pPr>
                  <w:r>
                    <w:rPr>
                      <w:rFonts w:hint="eastAsia"/>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continue"/>
                  <w:vAlign w:val="center"/>
                </w:tcPr>
                <w:p>
                  <w:pPr>
                    <w:jc w:val="center"/>
                    <w:rPr>
                      <w:sz w:val="21"/>
                      <w:szCs w:val="21"/>
                    </w:rPr>
                  </w:pPr>
                </w:p>
              </w:tc>
              <w:tc>
                <w:tcPr>
                  <w:tcW w:w="1143" w:type="dxa"/>
                  <w:vMerge w:val="restart"/>
                  <w:vAlign w:val="center"/>
                </w:tcPr>
                <w:p>
                  <w:pPr>
                    <w:jc w:val="center"/>
                    <w:rPr>
                      <w:sz w:val="21"/>
                      <w:szCs w:val="21"/>
                    </w:rPr>
                  </w:pPr>
                  <w:r>
                    <w:rPr>
                      <w:sz w:val="21"/>
                      <w:szCs w:val="21"/>
                    </w:rPr>
                    <w:t>废水处理</w:t>
                  </w:r>
                </w:p>
              </w:tc>
              <w:tc>
                <w:tcPr>
                  <w:tcW w:w="4924" w:type="dxa"/>
                  <w:gridSpan w:val="2"/>
                  <w:vMerge w:val="restart"/>
                  <w:vAlign w:val="center"/>
                </w:tcPr>
                <w:p>
                  <w:pPr>
                    <w:jc w:val="center"/>
                    <w:rPr>
                      <w:rFonts w:hint="default"/>
                      <w:color w:val="0000FF"/>
                      <w:sz w:val="21"/>
                      <w:szCs w:val="21"/>
                      <w:lang w:val="en-US"/>
                    </w:rPr>
                  </w:pPr>
                  <w:r>
                    <w:rPr>
                      <w:rFonts w:hint="default"/>
                      <w:color w:val="auto"/>
                      <w:sz w:val="21"/>
                      <w:szCs w:val="21"/>
                      <w:lang w:val="en-US"/>
                    </w:rPr>
                    <w:t>生活污水经隔油池、化粪池处理后定期清掏，不外排；生产废水经厂区沉淀池处理后回用</w:t>
                  </w:r>
                </w:p>
              </w:tc>
              <w:tc>
                <w:tcPr>
                  <w:tcW w:w="739" w:type="dxa"/>
                  <w:vMerge w:val="restart"/>
                  <w:vAlign w:val="center"/>
                </w:tcPr>
                <w:p>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continue"/>
                  <w:vAlign w:val="center"/>
                </w:tcPr>
                <w:p>
                  <w:pPr>
                    <w:jc w:val="center"/>
                    <w:rPr>
                      <w:sz w:val="21"/>
                      <w:szCs w:val="21"/>
                    </w:rPr>
                  </w:pPr>
                </w:p>
              </w:tc>
              <w:tc>
                <w:tcPr>
                  <w:tcW w:w="1143" w:type="dxa"/>
                  <w:vMerge w:val="continue"/>
                  <w:vAlign w:val="center"/>
                </w:tcPr>
                <w:p>
                  <w:pPr>
                    <w:jc w:val="center"/>
                    <w:rPr>
                      <w:sz w:val="21"/>
                      <w:szCs w:val="21"/>
                    </w:rPr>
                  </w:pPr>
                </w:p>
              </w:tc>
              <w:tc>
                <w:tcPr>
                  <w:tcW w:w="4924" w:type="dxa"/>
                  <w:gridSpan w:val="2"/>
                  <w:vMerge w:val="continue"/>
                  <w:vAlign w:val="center"/>
                </w:tcPr>
                <w:p>
                  <w:pPr>
                    <w:jc w:val="center"/>
                    <w:rPr>
                      <w:sz w:val="21"/>
                      <w:szCs w:val="21"/>
                    </w:rPr>
                  </w:pPr>
                </w:p>
              </w:tc>
              <w:tc>
                <w:tcPr>
                  <w:tcW w:w="739"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continue"/>
                  <w:vAlign w:val="center"/>
                </w:tcPr>
                <w:p>
                  <w:pPr>
                    <w:jc w:val="center"/>
                    <w:rPr>
                      <w:sz w:val="21"/>
                      <w:szCs w:val="21"/>
                    </w:rPr>
                  </w:pPr>
                </w:p>
              </w:tc>
              <w:tc>
                <w:tcPr>
                  <w:tcW w:w="1143" w:type="dxa"/>
                  <w:vAlign w:val="center"/>
                </w:tcPr>
                <w:p>
                  <w:pPr>
                    <w:jc w:val="center"/>
                    <w:rPr>
                      <w:sz w:val="21"/>
                      <w:szCs w:val="21"/>
                    </w:rPr>
                  </w:pPr>
                  <w:r>
                    <w:rPr>
                      <w:rFonts w:hint="eastAsia"/>
                      <w:sz w:val="21"/>
                      <w:szCs w:val="21"/>
                    </w:rPr>
                    <w:t>地下水防渗</w:t>
                  </w:r>
                </w:p>
              </w:tc>
              <w:tc>
                <w:tcPr>
                  <w:tcW w:w="4924" w:type="dxa"/>
                  <w:gridSpan w:val="2"/>
                  <w:vAlign w:val="center"/>
                </w:tcPr>
                <w:p>
                  <w:pPr>
                    <w:rPr>
                      <w:rFonts w:hint="eastAsia"/>
                      <w:color w:val="auto"/>
                      <w:sz w:val="21"/>
                      <w:szCs w:val="21"/>
                    </w:rPr>
                  </w:pPr>
                  <w:r>
                    <w:rPr>
                      <w:rFonts w:hint="eastAsia"/>
                      <w:color w:val="auto"/>
                      <w:sz w:val="21"/>
                      <w:szCs w:val="21"/>
                    </w:rPr>
                    <w:t>（1）</w:t>
                  </w:r>
                  <w:r>
                    <w:rPr>
                      <w:rFonts w:hint="eastAsia"/>
                      <w:color w:val="auto"/>
                      <w:sz w:val="21"/>
                      <w:szCs w:val="21"/>
                      <w:lang w:val="en-US" w:eastAsia="zh-CN"/>
                    </w:rPr>
                    <w:t>危废间</w:t>
                  </w:r>
                  <w:r>
                    <w:rPr>
                      <w:rFonts w:hint="eastAsia"/>
                      <w:color w:val="auto"/>
                      <w:sz w:val="21"/>
                      <w:szCs w:val="21"/>
                      <w:lang w:eastAsia="zh-CN"/>
                    </w:rPr>
                    <w:t>、</w:t>
                  </w:r>
                  <w:r>
                    <w:rPr>
                      <w:color w:val="auto"/>
                      <w:sz w:val="21"/>
                      <w:szCs w:val="21"/>
                    </w:rPr>
                    <w:t>化粪池</w:t>
                  </w:r>
                  <w:r>
                    <w:rPr>
                      <w:rFonts w:hint="eastAsia"/>
                      <w:color w:val="auto"/>
                      <w:sz w:val="21"/>
                      <w:szCs w:val="21"/>
                      <w:lang w:eastAsia="zh-CN"/>
                    </w:rPr>
                    <w:t>、</w:t>
                  </w:r>
                  <w:r>
                    <w:rPr>
                      <w:rFonts w:hint="eastAsia"/>
                      <w:color w:val="auto"/>
                      <w:sz w:val="21"/>
                      <w:szCs w:val="21"/>
                      <w:lang w:val="en-US" w:eastAsia="zh-CN"/>
                    </w:rPr>
                    <w:t>沉淀池</w:t>
                  </w:r>
                  <w:r>
                    <w:rPr>
                      <w:color w:val="auto"/>
                      <w:sz w:val="21"/>
                      <w:szCs w:val="21"/>
                    </w:rPr>
                    <w:t>重点防渗，</w:t>
                  </w:r>
                  <w:r>
                    <w:rPr>
                      <w:rFonts w:hint="eastAsia"/>
                      <w:color w:val="auto"/>
                      <w:sz w:val="21"/>
                      <w:szCs w:val="21"/>
                    </w:rPr>
                    <w:t>防渗层为至少</w:t>
                  </w:r>
                  <w:r>
                    <w:rPr>
                      <w:rFonts w:hint="eastAsia"/>
                      <w:color w:val="auto"/>
                      <w:sz w:val="21"/>
                      <w:szCs w:val="21"/>
                      <w:lang w:val="en-US" w:eastAsia="zh-CN"/>
                    </w:rPr>
                    <w:t>6</w:t>
                  </w:r>
                  <w:r>
                    <w:rPr>
                      <w:rFonts w:hint="eastAsia"/>
                      <w:color w:val="auto"/>
                      <w:sz w:val="21"/>
                      <w:szCs w:val="21"/>
                    </w:rPr>
                    <w:t>米厚粘土层（渗透系数≤10</w:t>
                  </w:r>
                  <w:r>
                    <w:rPr>
                      <w:rFonts w:hint="eastAsia"/>
                      <w:color w:val="auto"/>
                      <w:sz w:val="21"/>
                      <w:szCs w:val="21"/>
                      <w:vertAlign w:val="superscript"/>
                    </w:rPr>
                    <w:t>-7</w:t>
                  </w:r>
                  <w:r>
                    <w:rPr>
                      <w:rFonts w:hint="eastAsia"/>
                      <w:color w:val="auto"/>
                      <w:sz w:val="21"/>
                      <w:szCs w:val="21"/>
                    </w:rPr>
                    <w:t>cm/s），或2mm厚高密度聚乙烯，或至少2mm厚的其它人工材料，渗透系数≤10</w:t>
                  </w:r>
                  <w:r>
                    <w:rPr>
                      <w:rFonts w:hint="eastAsia"/>
                      <w:color w:val="auto"/>
                      <w:sz w:val="21"/>
                      <w:szCs w:val="21"/>
                      <w:vertAlign w:val="superscript"/>
                    </w:rPr>
                    <w:t>-10</w:t>
                  </w:r>
                  <w:r>
                    <w:rPr>
                      <w:rFonts w:hint="eastAsia"/>
                      <w:color w:val="auto"/>
                      <w:sz w:val="21"/>
                      <w:szCs w:val="21"/>
                    </w:rPr>
                    <w:t>cm/s</w:t>
                  </w:r>
                </w:p>
                <w:p>
                  <w:pPr>
                    <w:rPr>
                      <w:color w:val="auto"/>
                      <w:sz w:val="21"/>
                      <w:szCs w:val="21"/>
                    </w:rPr>
                  </w:pPr>
                  <w:r>
                    <w:rPr>
                      <w:rFonts w:hint="eastAsia"/>
                      <w:color w:val="auto"/>
                      <w:sz w:val="21"/>
                      <w:szCs w:val="21"/>
                    </w:rPr>
                    <w:t>（2）</w:t>
                  </w:r>
                  <w:r>
                    <w:rPr>
                      <w:color w:val="auto"/>
                      <w:sz w:val="21"/>
                      <w:szCs w:val="21"/>
                    </w:rPr>
                    <w:t>生产车间一般防渗：应采用天然或人工材料构筑防渗层，防渗层的厚度应相当于渗透系数1.0×10</w:t>
                  </w:r>
                  <w:r>
                    <w:rPr>
                      <w:color w:val="auto"/>
                      <w:sz w:val="21"/>
                      <w:szCs w:val="21"/>
                      <w:vertAlign w:val="superscript"/>
                    </w:rPr>
                    <w:t>-7</w:t>
                  </w:r>
                  <w:r>
                    <w:rPr>
                      <w:color w:val="auto"/>
                      <w:sz w:val="21"/>
                      <w:szCs w:val="21"/>
                    </w:rPr>
                    <w:t>cm/s和厚度</w:t>
                  </w:r>
                  <w:r>
                    <w:rPr>
                      <w:rFonts w:hint="eastAsia"/>
                      <w:color w:val="auto"/>
                      <w:sz w:val="21"/>
                      <w:szCs w:val="21"/>
                      <w:lang w:val="en-US" w:eastAsia="zh-CN"/>
                    </w:rPr>
                    <w:t>1.</w:t>
                  </w:r>
                  <w:r>
                    <w:rPr>
                      <w:color w:val="auto"/>
                      <w:sz w:val="21"/>
                      <w:szCs w:val="21"/>
                    </w:rPr>
                    <w:t>5m的粘土层的防渗性能</w:t>
                  </w:r>
                </w:p>
                <w:p>
                  <w:pPr>
                    <w:jc w:val="left"/>
                    <w:rPr>
                      <w:color w:val="0000FF"/>
                      <w:sz w:val="21"/>
                      <w:szCs w:val="21"/>
                    </w:rPr>
                  </w:pPr>
                  <w:r>
                    <w:rPr>
                      <w:rFonts w:hint="eastAsia"/>
                      <w:color w:val="auto"/>
                      <w:sz w:val="21"/>
                      <w:szCs w:val="21"/>
                    </w:rPr>
                    <w:t>（3）</w:t>
                  </w:r>
                  <w:r>
                    <w:rPr>
                      <w:color w:val="auto"/>
                      <w:sz w:val="21"/>
                      <w:szCs w:val="21"/>
                    </w:rPr>
                    <w:t>办公区域简单防渗：一般地面硬化</w:t>
                  </w:r>
                </w:p>
              </w:tc>
              <w:tc>
                <w:tcPr>
                  <w:tcW w:w="739" w:type="dxa"/>
                  <w:vAlign w:val="center"/>
                </w:tcPr>
                <w:p>
                  <w:pPr>
                    <w:jc w:val="left"/>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continue"/>
                  <w:vAlign w:val="center"/>
                </w:tcPr>
                <w:p>
                  <w:pPr>
                    <w:jc w:val="center"/>
                    <w:rPr>
                      <w:sz w:val="21"/>
                      <w:szCs w:val="21"/>
                    </w:rPr>
                  </w:pPr>
                </w:p>
              </w:tc>
              <w:tc>
                <w:tcPr>
                  <w:tcW w:w="1143" w:type="dxa"/>
                  <w:vMerge w:val="restart"/>
                  <w:vAlign w:val="center"/>
                </w:tcPr>
                <w:p>
                  <w:pPr>
                    <w:jc w:val="center"/>
                    <w:rPr>
                      <w:sz w:val="21"/>
                      <w:szCs w:val="21"/>
                    </w:rPr>
                  </w:pPr>
                  <w:r>
                    <w:rPr>
                      <w:sz w:val="21"/>
                      <w:szCs w:val="21"/>
                    </w:rPr>
                    <w:t>噪声处理</w:t>
                  </w:r>
                </w:p>
              </w:tc>
              <w:tc>
                <w:tcPr>
                  <w:tcW w:w="4924" w:type="dxa"/>
                  <w:gridSpan w:val="2"/>
                  <w:vMerge w:val="restart"/>
                  <w:vAlign w:val="center"/>
                </w:tcPr>
                <w:p>
                  <w:pPr>
                    <w:jc w:val="center"/>
                    <w:rPr>
                      <w:sz w:val="21"/>
                      <w:szCs w:val="21"/>
                    </w:rPr>
                  </w:pPr>
                  <w:r>
                    <w:rPr>
                      <w:rFonts w:hint="default"/>
                      <w:sz w:val="21"/>
                      <w:szCs w:val="21"/>
                    </w:rPr>
                    <w:t>采取厂房隔声、基础减振等降噪措施</w:t>
                  </w:r>
                </w:p>
              </w:tc>
              <w:tc>
                <w:tcPr>
                  <w:tcW w:w="739" w:type="dxa"/>
                  <w:vMerge w:val="restart"/>
                  <w:vAlign w:val="center"/>
                </w:tcPr>
                <w:p>
                  <w:pPr>
                    <w:jc w:val="center"/>
                    <w:rPr>
                      <w:rFonts w:hint="eastAsia" w:eastAsia="宋体"/>
                      <w:sz w:val="21"/>
                      <w:szCs w:val="21"/>
                      <w:lang w:val="en-US" w:eastAsia="zh-CN"/>
                    </w:rPr>
                  </w:pPr>
                  <w:r>
                    <w:rPr>
                      <w:rFonts w:hint="eastAsia"/>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continue"/>
                  <w:vAlign w:val="center"/>
                </w:tcPr>
                <w:p>
                  <w:pPr>
                    <w:jc w:val="center"/>
                    <w:rPr>
                      <w:sz w:val="21"/>
                      <w:szCs w:val="21"/>
                    </w:rPr>
                  </w:pPr>
                </w:p>
              </w:tc>
              <w:tc>
                <w:tcPr>
                  <w:tcW w:w="1143" w:type="dxa"/>
                  <w:vMerge w:val="continue"/>
                  <w:vAlign w:val="center"/>
                </w:tcPr>
                <w:p>
                  <w:pPr>
                    <w:jc w:val="center"/>
                    <w:rPr>
                      <w:sz w:val="21"/>
                      <w:szCs w:val="21"/>
                    </w:rPr>
                  </w:pPr>
                </w:p>
              </w:tc>
              <w:tc>
                <w:tcPr>
                  <w:tcW w:w="4924" w:type="dxa"/>
                  <w:gridSpan w:val="2"/>
                  <w:vMerge w:val="continue"/>
                  <w:vAlign w:val="center"/>
                </w:tcPr>
                <w:p>
                  <w:pPr>
                    <w:jc w:val="center"/>
                    <w:rPr>
                      <w:sz w:val="21"/>
                      <w:szCs w:val="21"/>
                    </w:rPr>
                  </w:pPr>
                </w:p>
              </w:tc>
              <w:tc>
                <w:tcPr>
                  <w:tcW w:w="739"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continue"/>
                  <w:vAlign w:val="center"/>
                </w:tcPr>
                <w:p>
                  <w:pPr>
                    <w:jc w:val="center"/>
                    <w:rPr>
                      <w:sz w:val="21"/>
                      <w:szCs w:val="21"/>
                    </w:rPr>
                  </w:pPr>
                </w:p>
              </w:tc>
              <w:tc>
                <w:tcPr>
                  <w:tcW w:w="1143" w:type="dxa"/>
                  <w:vMerge w:val="restart"/>
                  <w:vAlign w:val="center"/>
                </w:tcPr>
                <w:p>
                  <w:pPr>
                    <w:jc w:val="center"/>
                    <w:rPr>
                      <w:sz w:val="21"/>
                      <w:szCs w:val="21"/>
                    </w:rPr>
                  </w:pPr>
                  <w:r>
                    <w:rPr>
                      <w:sz w:val="21"/>
                      <w:szCs w:val="21"/>
                    </w:rPr>
                    <w:t>固废处理</w:t>
                  </w:r>
                </w:p>
              </w:tc>
              <w:tc>
                <w:tcPr>
                  <w:tcW w:w="4924" w:type="dxa"/>
                  <w:gridSpan w:val="2"/>
                  <w:vAlign w:val="center"/>
                </w:tcPr>
                <w:p>
                  <w:pPr>
                    <w:jc w:val="center"/>
                    <w:rPr>
                      <w:rFonts w:hint="eastAsia" w:eastAsia="宋体"/>
                      <w:sz w:val="21"/>
                      <w:szCs w:val="21"/>
                      <w:lang w:eastAsia="zh-CN"/>
                    </w:rPr>
                  </w:pPr>
                  <w:r>
                    <w:rPr>
                      <w:rFonts w:hint="eastAsia" w:eastAsia="宋体"/>
                      <w:sz w:val="21"/>
                      <w:szCs w:val="21"/>
                      <w:lang w:eastAsia="zh-CN"/>
                    </w:rPr>
                    <w:t>项目除尘器收集的粉尘、沉淀池底泥等收集后暂存在一般固废暂存场，定期回用于生产；一般固废暂存场位于原料仓库内</w:t>
                  </w:r>
                </w:p>
              </w:tc>
              <w:tc>
                <w:tcPr>
                  <w:tcW w:w="739" w:type="dxa"/>
                  <w:vAlign w:val="center"/>
                </w:tcPr>
                <w:p>
                  <w:pPr>
                    <w:spacing w:line="276" w:lineRule="auto"/>
                    <w:jc w:val="left"/>
                    <w:rPr>
                      <w:rFonts w:hint="eastAsia"/>
                      <w:sz w:val="21"/>
                      <w:szCs w:val="21"/>
                    </w:rPr>
                  </w:pPr>
                  <w:r>
                    <w:rPr>
                      <w:rFonts w:hint="eastAsia"/>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continue"/>
                  <w:vAlign w:val="center"/>
                </w:tcPr>
                <w:p>
                  <w:pPr>
                    <w:jc w:val="center"/>
                    <w:rPr>
                      <w:sz w:val="21"/>
                      <w:szCs w:val="21"/>
                    </w:rPr>
                  </w:pPr>
                </w:p>
              </w:tc>
              <w:tc>
                <w:tcPr>
                  <w:tcW w:w="1143" w:type="dxa"/>
                  <w:vMerge w:val="continue"/>
                  <w:vAlign w:val="center"/>
                </w:tcPr>
                <w:p>
                  <w:pPr>
                    <w:jc w:val="center"/>
                    <w:rPr>
                      <w:sz w:val="21"/>
                      <w:szCs w:val="21"/>
                    </w:rPr>
                  </w:pPr>
                </w:p>
              </w:tc>
              <w:tc>
                <w:tcPr>
                  <w:tcW w:w="4924" w:type="dxa"/>
                  <w:gridSpan w:val="2"/>
                  <w:vAlign w:val="center"/>
                </w:tcPr>
                <w:p>
                  <w:pPr>
                    <w:jc w:val="center"/>
                    <w:rPr>
                      <w:rFonts w:hint="eastAsia" w:eastAsia="宋体"/>
                      <w:sz w:val="21"/>
                      <w:szCs w:val="21"/>
                      <w:lang w:eastAsia="zh-CN"/>
                    </w:rPr>
                  </w:pPr>
                  <w:r>
                    <w:rPr>
                      <w:rFonts w:ascii="Times New Roman" w:hAnsi="Times New Roman" w:cs="Times New Roman"/>
                      <w:color w:val="000000"/>
                      <w:sz w:val="21"/>
                      <w:szCs w:val="21"/>
                    </w:rPr>
                    <w:t>废机油、废机油桶暂存在危废间内，定期委托有资质单位处理；</w:t>
                  </w:r>
                  <w:r>
                    <w:rPr>
                      <w:rFonts w:ascii="Times New Roman" w:hAnsi="Times New Roman" w:cs="Times New Roman"/>
                      <w:color w:val="auto"/>
                      <w:sz w:val="21"/>
                      <w:szCs w:val="21"/>
                    </w:rPr>
                    <w:t>危险固废暂存场位于</w:t>
                  </w:r>
                  <w:r>
                    <w:rPr>
                      <w:rFonts w:hint="eastAsia" w:cs="Times New Roman"/>
                      <w:color w:val="auto"/>
                      <w:sz w:val="21"/>
                      <w:szCs w:val="21"/>
                      <w:lang w:val="en-US" w:eastAsia="zh-CN"/>
                    </w:rPr>
                    <w:t>实验室</w:t>
                  </w:r>
                  <w:r>
                    <w:rPr>
                      <w:rFonts w:hint="eastAsia" w:ascii="Times New Roman" w:hAnsi="Times New Roman" w:cs="Times New Roman"/>
                      <w:color w:val="auto"/>
                      <w:sz w:val="21"/>
                      <w:szCs w:val="21"/>
                      <w:lang w:val="en-US" w:eastAsia="zh-CN"/>
                    </w:rPr>
                    <w:t>南</w:t>
                  </w:r>
                  <w:r>
                    <w:rPr>
                      <w:rFonts w:ascii="Times New Roman" w:hAnsi="Times New Roman" w:cs="Times New Roman"/>
                      <w:color w:val="auto"/>
                      <w:sz w:val="21"/>
                      <w:szCs w:val="21"/>
                    </w:rPr>
                    <w:t>侧，建筑面积10m</w:t>
                  </w:r>
                  <w:r>
                    <w:rPr>
                      <w:rFonts w:ascii="Times New Roman" w:hAnsi="Times New Roman" w:cs="Times New Roman"/>
                      <w:color w:val="auto"/>
                      <w:sz w:val="21"/>
                      <w:szCs w:val="21"/>
                      <w:vertAlign w:val="superscript"/>
                    </w:rPr>
                    <w:t>2</w:t>
                  </w:r>
                </w:p>
              </w:tc>
              <w:tc>
                <w:tcPr>
                  <w:tcW w:w="739" w:type="dxa"/>
                  <w:vAlign w:val="center"/>
                </w:tcPr>
                <w:p>
                  <w:pPr>
                    <w:spacing w:line="276" w:lineRule="auto"/>
                    <w:jc w:val="left"/>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continue"/>
                  <w:vAlign w:val="center"/>
                </w:tcPr>
                <w:p>
                  <w:pPr>
                    <w:spacing w:line="276" w:lineRule="auto"/>
                    <w:jc w:val="center"/>
                    <w:rPr>
                      <w:sz w:val="21"/>
                      <w:szCs w:val="21"/>
                    </w:rPr>
                  </w:pPr>
                </w:p>
              </w:tc>
              <w:tc>
                <w:tcPr>
                  <w:tcW w:w="1143" w:type="dxa"/>
                  <w:vAlign w:val="center"/>
                </w:tcPr>
                <w:p>
                  <w:pPr>
                    <w:jc w:val="center"/>
                    <w:rPr>
                      <w:sz w:val="21"/>
                      <w:szCs w:val="21"/>
                    </w:rPr>
                  </w:pPr>
                  <w:r>
                    <w:rPr>
                      <w:rFonts w:hint="eastAsia"/>
                      <w:color w:val="000000" w:themeColor="text1"/>
                      <w:sz w:val="21"/>
                      <w:szCs w:val="21"/>
                      <w14:textFill>
                        <w14:solidFill>
                          <w14:schemeClr w14:val="tx1"/>
                        </w14:solidFill>
                      </w14:textFill>
                    </w:rPr>
                    <w:t>风险</w:t>
                  </w:r>
                </w:p>
              </w:tc>
              <w:tc>
                <w:tcPr>
                  <w:tcW w:w="4924" w:type="dxa"/>
                  <w:gridSpan w:val="2"/>
                  <w:vAlign w:val="center"/>
                </w:tcPr>
                <w:p>
                  <w:pPr>
                    <w:jc w:val="left"/>
                    <w:rPr>
                      <w:sz w:val="21"/>
                      <w:szCs w:val="21"/>
                    </w:rPr>
                  </w:pPr>
                  <w:r>
                    <w:rPr>
                      <w:rFonts w:hint="default" w:ascii="Times New Roman" w:hAnsi="Times New Roman" w:cs="Times New Roman"/>
                      <w:color w:val="000000"/>
                      <w:sz w:val="21"/>
                      <w:szCs w:val="21"/>
                      <w:lang w:val="en-US" w:eastAsia="zh-CN"/>
                    </w:rPr>
                    <w:t>合理安全储存</w:t>
                  </w:r>
                  <w:r>
                    <w:rPr>
                      <w:rFonts w:hint="eastAsia" w:cs="Times New Roman"/>
                      <w:color w:val="000000"/>
                      <w:sz w:val="21"/>
                      <w:szCs w:val="21"/>
                      <w:lang w:val="en-US" w:eastAsia="zh-CN"/>
                    </w:rPr>
                    <w:t>原辅料</w:t>
                  </w:r>
                  <w:r>
                    <w:rPr>
                      <w:rFonts w:hint="default" w:ascii="Times New Roman" w:hAnsi="Times New Roman" w:cs="Times New Roman"/>
                      <w:color w:val="000000"/>
                      <w:sz w:val="21"/>
                      <w:szCs w:val="21"/>
                      <w:lang w:val="en-US" w:eastAsia="zh-CN"/>
                    </w:rPr>
                    <w:t>，定期对</w:t>
                  </w:r>
                  <w:r>
                    <w:rPr>
                      <w:rFonts w:hint="eastAsia" w:cs="Times New Roman"/>
                      <w:color w:val="000000"/>
                      <w:sz w:val="21"/>
                      <w:szCs w:val="21"/>
                      <w:lang w:val="en-US" w:eastAsia="zh-CN"/>
                    </w:rPr>
                    <w:t>筒仓、搅拌机</w:t>
                  </w:r>
                  <w:r>
                    <w:rPr>
                      <w:rFonts w:hint="default" w:ascii="Times New Roman" w:hAnsi="Times New Roman" w:cs="Times New Roman"/>
                      <w:color w:val="000000"/>
                      <w:sz w:val="21"/>
                      <w:szCs w:val="21"/>
                      <w:lang w:val="en-US" w:eastAsia="zh-CN"/>
                    </w:rPr>
                    <w:t>等</w:t>
                  </w:r>
                  <w:r>
                    <w:rPr>
                      <w:rFonts w:hint="eastAsia" w:ascii="Times New Roman" w:hAnsi="Times New Roman" w:cs="Times New Roman"/>
                      <w:color w:val="000000"/>
                      <w:sz w:val="21"/>
                      <w:szCs w:val="21"/>
                      <w:lang w:val="en-US" w:eastAsia="zh-CN"/>
                    </w:rPr>
                    <w:t>设备</w:t>
                  </w:r>
                  <w:r>
                    <w:rPr>
                      <w:rFonts w:hint="default" w:ascii="Times New Roman" w:hAnsi="Times New Roman" w:cs="Times New Roman"/>
                      <w:color w:val="000000"/>
                      <w:sz w:val="21"/>
                      <w:szCs w:val="21"/>
                      <w:lang w:val="en-US" w:eastAsia="zh-CN"/>
                    </w:rPr>
                    <w:t>进行安全状况检查，车间内配置相应的消防设备、设施和灭火药剂；制定严格的运行操作规章制度，发生火灾、爆炸事故后，灭火的同时疏散周边无关人员；制定应急预案等</w:t>
                  </w:r>
                </w:p>
              </w:tc>
              <w:tc>
                <w:tcPr>
                  <w:tcW w:w="739" w:type="dxa"/>
                  <w:vAlign w:val="center"/>
                </w:tcPr>
                <w:p>
                  <w:pPr>
                    <w:jc w:val="left"/>
                    <w:rPr>
                      <w:rFonts w:hint="default" w:ascii="Times New Roman" w:hAnsi="Times New Roman" w:cs="Times New Roman"/>
                      <w:color w:val="000000"/>
                      <w:sz w:val="21"/>
                      <w:szCs w:val="21"/>
                      <w:lang w:val="en-US" w:eastAsia="zh-CN"/>
                    </w:rPr>
                  </w:pPr>
                  <w:r>
                    <w:rPr>
                      <w:rFonts w:hint="eastAsia"/>
                      <w:sz w:val="21"/>
                      <w:szCs w:val="21"/>
                      <w:lang w:val="en-US" w:eastAsia="zh-CN"/>
                    </w:rPr>
                    <w:t>新建</w:t>
                  </w:r>
                </w:p>
              </w:tc>
            </w:tr>
            <w:bookmarkEnd w:id="2"/>
          </w:tbl>
          <w:p>
            <w:pPr>
              <w:adjustRightInd w:val="0"/>
              <w:snapToGrid w:val="0"/>
              <w:spacing w:before="120" w:beforeLines="50" w:line="360" w:lineRule="auto"/>
              <w:rPr>
                <w:b/>
                <w:bCs/>
                <w:kern w:val="0"/>
              </w:rPr>
            </w:pPr>
            <w:r>
              <w:rPr>
                <w:rFonts w:hint="eastAsia"/>
                <w:b/>
                <w:bCs/>
                <w:kern w:val="0"/>
              </w:rPr>
              <w:t>2、</w:t>
            </w:r>
            <w:r>
              <w:rPr>
                <w:b/>
                <w:bCs/>
                <w:kern w:val="0"/>
              </w:rPr>
              <w:t>产品方案</w:t>
            </w:r>
            <w:r>
              <w:rPr>
                <w:rFonts w:hint="eastAsia"/>
                <w:b/>
                <w:bCs/>
                <w:kern w:val="0"/>
              </w:rPr>
              <w:t>、</w:t>
            </w:r>
            <w:r>
              <w:rPr>
                <w:b/>
              </w:rPr>
              <w:t>生产规模及产品规格</w:t>
            </w:r>
          </w:p>
          <w:p>
            <w:pPr>
              <w:autoSpaceDE w:val="0"/>
              <w:autoSpaceDN w:val="0"/>
              <w:adjustRightInd w:val="0"/>
              <w:spacing w:line="360" w:lineRule="auto"/>
              <w:ind w:firstLine="480"/>
              <w:rPr>
                <w:b/>
              </w:rPr>
            </w:pPr>
            <w:r>
              <w:t>本项目建成后</w:t>
            </w:r>
            <w:r>
              <w:rPr>
                <w:rFonts w:hint="eastAsia"/>
              </w:rPr>
              <w:t>产品主要为</w:t>
            </w:r>
            <w:r>
              <w:rPr>
                <w:rFonts w:hint="eastAsia"/>
                <w:lang w:val="en-US" w:eastAsia="zh-CN"/>
              </w:rPr>
              <w:t>混凝土</w:t>
            </w:r>
            <w:r>
              <w:t>。本项目产品主要具体见下表</w:t>
            </w:r>
            <w:r>
              <w:rPr>
                <w:bCs/>
              </w:rPr>
              <w:t>。</w:t>
            </w:r>
          </w:p>
          <w:p>
            <w:pPr>
              <w:pStyle w:val="64"/>
              <w:spacing w:before="0" w:beforeAutospacing="0" w:after="0" w:afterAutospacing="0"/>
              <w:jc w:val="center"/>
              <w:rPr>
                <w:b/>
              </w:rPr>
            </w:pPr>
            <w:r>
              <w:rPr>
                <w:b/>
              </w:rPr>
              <w:t>表</w:t>
            </w:r>
            <w:r>
              <w:rPr>
                <w:rFonts w:ascii="Times New Roman" w:hAnsi="Times New Roman" w:cs="Times New Roman"/>
                <w:b/>
              </w:rPr>
              <w:t>2</w:t>
            </w:r>
            <w:r>
              <w:rPr>
                <w:rFonts w:hint="eastAsia" w:ascii="Times New Roman" w:hAnsi="Times New Roman" w:cs="Times New Roman"/>
                <w:b/>
              </w:rPr>
              <w:t>.2</w:t>
            </w:r>
            <w:r>
              <w:rPr>
                <w:rFonts w:hint="eastAsia" w:ascii="Times New Roman" w:hAnsi="Times New Roman" w:cs="Times New Roman"/>
                <w:b/>
                <w:lang w:val="en-US" w:eastAsia="zh-CN"/>
              </w:rPr>
              <w:t xml:space="preserve">  </w:t>
            </w:r>
            <w:r>
              <w:rPr>
                <w:b/>
              </w:rPr>
              <w:t>项目产品方案</w:t>
            </w:r>
            <w:r>
              <w:rPr>
                <w:rFonts w:hint="eastAsia"/>
                <w:b/>
              </w:rPr>
              <w:t>及规格</w:t>
            </w:r>
            <w:r>
              <w:rPr>
                <w:b/>
              </w:rPr>
              <w:t>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081"/>
              <w:gridCol w:w="2436"/>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 w:type="dxa"/>
                  <w:vAlign w:val="center"/>
                </w:tcPr>
                <w:p>
                  <w:pPr>
                    <w:jc w:val="center"/>
                    <w:rPr>
                      <w:b/>
                      <w:bCs/>
                      <w:sz w:val="21"/>
                      <w:szCs w:val="21"/>
                    </w:rPr>
                  </w:pPr>
                  <w:r>
                    <w:rPr>
                      <w:b/>
                      <w:bCs/>
                      <w:sz w:val="21"/>
                      <w:szCs w:val="21"/>
                    </w:rPr>
                    <w:t>序号</w:t>
                  </w:r>
                </w:p>
              </w:tc>
              <w:tc>
                <w:tcPr>
                  <w:tcW w:w="1680" w:type="dxa"/>
                  <w:vAlign w:val="center"/>
                </w:tcPr>
                <w:p>
                  <w:pPr>
                    <w:pStyle w:val="66"/>
                    <w:rPr>
                      <w:b/>
                      <w:bCs/>
                      <w:color w:val="000000"/>
                      <w:sz w:val="21"/>
                    </w:rPr>
                  </w:pPr>
                  <w:r>
                    <w:rPr>
                      <w:b/>
                      <w:bCs/>
                      <w:color w:val="000000"/>
                      <w:sz w:val="21"/>
                    </w:rPr>
                    <w:t>产品名称</w:t>
                  </w:r>
                </w:p>
              </w:tc>
              <w:tc>
                <w:tcPr>
                  <w:tcW w:w="1967" w:type="dxa"/>
                  <w:vAlign w:val="center"/>
                </w:tcPr>
                <w:p>
                  <w:pPr>
                    <w:pStyle w:val="66"/>
                    <w:rPr>
                      <w:rFonts w:hint="default" w:eastAsia="宋体"/>
                      <w:b/>
                      <w:bCs/>
                      <w:color w:val="000000"/>
                      <w:sz w:val="21"/>
                      <w:lang w:val="en-US" w:eastAsia="zh-CN"/>
                    </w:rPr>
                  </w:pPr>
                  <w:r>
                    <w:rPr>
                      <w:rFonts w:hint="eastAsia"/>
                      <w:b/>
                      <w:bCs/>
                      <w:color w:val="000000"/>
                      <w:sz w:val="21"/>
                    </w:rPr>
                    <w:t>型号</w:t>
                  </w:r>
                  <w:r>
                    <w:rPr>
                      <w:rFonts w:hint="eastAsia"/>
                      <w:b/>
                      <w:bCs/>
                      <w:color w:val="000000"/>
                      <w:sz w:val="21"/>
                      <w:lang w:val="en-US" w:eastAsia="zh-CN"/>
                    </w:rPr>
                    <w:t>/规格</w:t>
                  </w:r>
                </w:p>
              </w:tc>
              <w:tc>
                <w:tcPr>
                  <w:tcW w:w="2073" w:type="dxa"/>
                  <w:vAlign w:val="center"/>
                </w:tcPr>
                <w:p>
                  <w:pPr>
                    <w:pStyle w:val="66"/>
                    <w:rPr>
                      <w:rFonts w:hint="eastAsia" w:eastAsia="宋体"/>
                      <w:b/>
                      <w:bCs/>
                      <w:sz w:val="21"/>
                      <w:lang w:eastAsia="zh-CN"/>
                    </w:rPr>
                  </w:pPr>
                  <w:r>
                    <w:rPr>
                      <w:b/>
                      <w:bCs/>
                      <w:color w:val="000000"/>
                      <w:sz w:val="21"/>
                    </w:rPr>
                    <w:t>数量</w:t>
                  </w:r>
                  <w:r>
                    <w:rPr>
                      <w:rFonts w:hint="eastAsia"/>
                      <w:b/>
                      <w:bCs/>
                      <w:color w:val="000000"/>
                      <w:sz w:val="21"/>
                      <w:lang w:eastAsia="zh-CN"/>
                    </w:rPr>
                    <w:t>（</w:t>
                  </w:r>
                  <w:r>
                    <w:rPr>
                      <w:rFonts w:hint="eastAsia"/>
                      <w:b/>
                      <w:bCs/>
                      <w:color w:val="000000"/>
                      <w:sz w:val="21"/>
                      <w:lang w:val="en-US" w:eastAsia="zh-CN"/>
                    </w:rPr>
                    <w:t>立方</w:t>
                  </w:r>
                  <w:r>
                    <w:rPr>
                      <w:rFonts w:hint="eastAsia"/>
                      <w:b/>
                      <w:bCs/>
                      <w:color w:val="000000"/>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 w:type="dxa"/>
                  <w:vAlign w:val="center"/>
                </w:tcPr>
                <w:p>
                  <w:pPr>
                    <w:jc w:val="center"/>
                    <w:rPr>
                      <w:sz w:val="21"/>
                      <w:szCs w:val="21"/>
                    </w:rPr>
                  </w:pPr>
                  <w:r>
                    <w:rPr>
                      <w:sz w:val="21"/>
                      <w:szCs w:val="21"/>
                    </w:rPr>
                    <w:t>1</w:t>
                  </w:r>
                </w:p>
              </w:tc>
              <w:tc>
                <w:tcPr>
                  <w:tcW w:w="1680" w:type="dxa"/>
                  <w:vAlign w:val="center"/>
                </w:tcPr>
                <w:p>
                  <w:pPr>
                    <w:jc w:val="center"/>
                    <w:rPr>
                      <w:rFonts w:hint="default" w:eastAsia="宋体"/>
                      <w:sz w:val="21"/>
                      <w:szCs w:val="21"/>
                      <w:lang w:val="en-US" w:eastAsia="zh-CN"/>
                    </w:rPr>
                  </w:pPr>
                  <w:r>
                    <w:rPr>
                      <w:rFonts w:hint="eastAsia"/>
                      <w:sz w:val="21"/>
                      <w:szCs w:val="21"/>
                      <w:lang w:val="en-US" w:eastAsia="zh-CN"/>
                    </w:rPr>
                    <w:t>混凝土</w:t>
                  </w:r>
                </w:p>
              </w:tc>
              <w:tc>
                <w:tcPr>
                  <w:tcW w:w="1967" w:type="dxa"/>
                  <w:vAlign w:val="center"/>
                </w:tcPr>
                <w:p>
                  <w:pPr>
                    <w:jc w:val="center"/>
                    <w:rPr>
                      <w:rFonts w:hint="default" w:eastAsia="宋体"/>
                      <w:sz w:val="21"/>
                      <w:szCs w:val="21"/>
                      <w:lang w:val="en-US" w:eastAsia="zh-CN"/>
                    </w:rPr>
                  </w:pPr>
                  <w:r>
                    <w:rPr>
                      <w:rFonts w:hint="eastAsia"/>
                      <w:sz w:val="21"/>
                      <w:szCs w:val="21"/>
                      <w:lang w:val="en-US" w:eastAsia="zh-CN"/>
                    </w:rPr>
                    <w:t>/</w:t>
                  </w:r>
                </w:p>
              </w:tc>
              <w:tc>
                <w:tcPr>
                  <w:tcW w:w="2073" w:type="dxa"/>
                  <w:vAlign w:val="center"/>
                </w:tcPr>
                <w:p>
                  <w:pPr>
                    <w:pStyle w:val="66"/>
                    <w:rPr>
                      <w:rFonts w:hint="default" w:eastAsia="宋体"/>
                      <w:color w:val="000000"/>
                      <w:sz w:val="21"/>
                      <w:lang w:val="en-US" w:eastAsia="zh-CN"/>
                    </w:rPr>
                  </w:pPr>
                  <w:r>
                    <w:rPr>
                      <w:rFonts w:hint="eastAsia"/>
                      <w:color w:val="000000"/>
                      <w:sz w:val="21"/>
                      <w:lang w:val="en-US" w:eastAsia="zh-CN"/>
                    </w:rPr>
                    <w:t>70万</w:t>
                  </w:r>
                </w:p>
              </w:tc>
            </w:tr>
          </w:tbl>
          <w:p>
            <w:pPr>
              <w:autoSpaceDE w:val="0"/>
              <w:autoSpaceDN w:val="0"/>
              <w:adjustRightInd w:val="0"/>
              <w:snapToGrid w:val="0"/>
              <w:spacing w:before="120" w:beforeLines="50" w:line="360" w:lineRule="auto"/>
            </w:pPr>
            <w:r>
              <w:rPr>
                <w:rFonts w:hint="eastAsia"/>
                <w:b/>
                <w:bCs/>
                <w:kern w:val="0"/>
              </w:rPr>
              <w:t>3、</w:t>
            </w:r>
            <w:r>
              <w:rPr>
                <w:b/>
                <w:bCs/>
                <w:kern w:val="0"/>
              </w:rPr>
              <w:t>主要设备</w:t>
            </w:r>
          </w:p>
          <w:p>
            <w:pPr>
              <w:autoSpaceDE w:val="0"/>
              <w:autoSpaceDN w:val="0"/>
              <w:adjustRightInd w:val="0"/>
              <w:spacing w:line="360" w:lineRule="auto"/>
              <w:ind w:firstLine="480" w:firstLineChars="200"/>
              <w:rPr>
                <w:kern w:val="0"/>
              </w:rPr>
            </w:pPr>
            <w:r>
              <w:rPr>
                <w:rFonts w:hint="eastAsia"/>
                <w:kern w:val="0"/>
              </w:rPr>
              <w:t>项目主要</w:t>
            </w:r>
            <w:r>
              <w:rPr>
                <w:rFonts w:hint="eastAsia"/>
                <w:color w:val="000000" w:themeColor="text1"/>
                <w:kern w:val="0"/>
                <w14:textFill>
                  <w14:solidFill>
                    <w14:schemeClr w14:val="tx1"/>
                  </w14:solidFill>
                </w14:textFill>
              </w:rPr>
              <w:t>从事</w:t>
            </w:r>
            <w:r>
              <w:rPr>
                <w:rFonts w:hint="eastAsia"/>
                <w:color w:val="000000" w:themeColor="text1"/>
                <w:kern w:val="0"/>
                <w:lang w:val="en-US" w:eastAsia="zh-CN"/>
                <w14:textFill>
                  <w14:solidFill>
                    <w14:schemeClr w14:val="tx1"/>
                  </w14:solidFill>
                </w14:textFill>
              </w:rPr>
              <w:t>混凝土</w:t>
            </w:r>
            <w:r>
              <w:rPr>
                <w:rFonts w:hint="eastAsia"/>
                <w:color w:val="000000" w:themeColor="text1"/>
                <w:kern w:val="0"/>
                <w14:textFill>
                  <w14:solidFill>
                    <w14:schemeClr w14:val="tx1"/>
                  </w14:solidFill>
                </w14:textFill>
              </w:rPr>
              <w:t>的生产，项目生产过程用到的主要</w:t>
            </w:r>
            <w:r>
              <w:rPr>
                <w:rFonts w:hint="eastAsia"/>
                <w:kern w:val="0"/>
              </w:rPr>
              <w:t>生产设备</w:t>
            </w:r>
            <w:r>
              <w:rPr>
                <w:kern w:val="0"/>
              </w:rPr>
              <w:t>见下表所示</w:t>
            </w:r>
            <w:r>
              <w:rPr>
                <w:rFonts w:hint="eastAsia"/>
                <w:kern w:val="0"/>
              </w:rPr>
              <w:t>：</w:t>
            </w:r>
          </w:p>
          <w:p>
            <w:pPr>
              <w:pStyle w:val="10"/>
              <w:spacing w:before="0" w:line="240" w:lineRule="auto"/>
              <w:rPr>
                <w:rFonts w:eastAsia="宋体"/>
                <w:b/>
                <w:szCs w:val="24"/>
              </w:rPr>
            </w:pPr>
            <w:r>
              <w:rPr>
                <w:rFonts w:eastAsia="宋体"/>
                <w:b/>
                <w:szCs w:val="24"/>
              </w:rPr>
              <w:t>表</w:t>
            </w:r>
            <w:r>
              <w:rPr>
                <w:rFonts w:hint="eastAsia" w:eastAsia="宋体"/>
                <w:b/>
                <w:szCs w:val="24"/>
              </w:rPr>
              <w:t>2.3</w:t>
            </w:r>
            <w:r>
              <w:rPr>
                <w:rFonts w:hint="eastAsia" w:eastAsia="宋体"/>
                <w:b/>
                <w:szCs w:val="24"/>
                <w:lang w:val="en-US" w:eastAsia="zh-CN"/>
              </w:rPr>
              <w:t xml:space="preserve">  </w:t>
            </w:r>
            <w:r>
              <w:rPr>
                <w:rFonts w:eastAsia="宋体"/>
                <w:b/>
                <w:szCs w:val="24"/>
              </w:rPr>
              <w:t>建设项目主要生产设备一览表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158"/>
              <w:gridCol w:w="1398"/>
              <w:gridCol w:w="1409"/>
              <w:gridCol w:w="1113"/>
              <w:gridCol w:w="1026"/>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
                      <w:color w:val="auto"/>
                      <w:w w:val="100"/>
                      <w:sz w:val="21"/>
                      <w:szCs w:val="21"/>
                    </w:rPr>
                  </w:pPr>
                  <w:r>
                    <w:rPr>
                      <w:rFonts w:hint="eastAsia"/>
                      <w:b/>
                      <w:color w:val="auto"/>
                      <w:w w:val="100"/>
                      <w:sz w:val="21"/>
                      <w:szCs w:val="21"/>
                    </w:rPr>
                    <w:t>主要生产单元</w:t>
                  </w:r>
                </w:p>
              </w:tc>
              <w:tc>
                <w:tcPr>
                  <w:tcW w:w="729"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
                      <w:color w:val="auto"/>
                      <w:w w:val="100"/>
                      <w:sz w:val="21"/>
                      <w:szCs w:val="21"/>
                    </w:rPr>
                  </w:pPr>
                  <w:r>
                    <w:rPr>
                      <w:rFonts w:hint="eastAsia"/>
                      <w:b/>
                      <w:color w:val="auto"/>
                      <w:w w:val="100"/>
                      <w:sz w:val="21"/>
                      <w:szCs w:val="21"/>
                    </w:rPr>
                    <w:t>主要工艺</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
                      <w:color w:val="auto"/>
                      <w:w w:val="100"/>
                      <w:sz w:val="21"/>
                      <w:szCs w:val="21"/>
                    </w:rPr>
                  </w:pPr>
                  <w:r>
                    <w:rPr>
                      <w:rFonts w:hint="eastAsia"/>
                      <w:b/>
                      <w:color w:val="auto"/>
                      <w:w w:val="100"/>
                      <w:sz w:val="21"/>
                      <w:szCs w:val="21"/>
                    </w:rPr>
                    <w:t>生产设施</w:t>
                  </w:r>
                </w:p>
              </w:tc>
              <w:tc>
                <w:tcPr>
                  <w:tcW w:w="887"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
                      <w:color w:val="auto"/>
                      <w:w w:val="100"/>
                      <w:sz w:val="21"/>
                      <w:szCs w:val="21"/>
                    </w:rPr>
                  </w:pPr>
                  <w:r>
                    <w:rPr>
                      <w:rFonts w:hint="eastAsia"/>
                      <w:b/>
                      <w:color w:val="auto"/>
                      <w:w w:val="100"/>
                      <w:sz w:val="21"/>
                      <w:szCs w:val="21"/>
                    </w:rPr>
                    <w:t>数量（台/套）</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
                      <w:color w:val="auto"/>
                      <w:w w:val="100"/>
                      <w:sz w:val="21"/>
                      <w:szCs w:val="21"/>
                    </w:rPr>
                  </w:pPr>
                  <w:r>
                    <w:rPr>
                      <w:rFonts w:hint="eastAsia"/>
                      <w:b/>
                      <w:color w:val="auto"/>
                      <w:w w:val="100"/>
                      <w:sz w:val="21"/>
                      <w:szCs w:val="21"/>
                    </w:rPr>
                    <w:t>设施参数</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b/>
                      <w:color w:val="auto"/>
                      <w:w w:val="100"/>
                      <w:sz w:val="21"/>
                      <w:szCs w:val="21"/>
                    </w:rPr>
                  </w:pPr>
                  <w:r>
                    <w:rPr>
                      <w:rFonts w:hint="eastAsia"/>
                      <w:b/>
                      <w:color w:val="auto"/>
                      <w:w w:val="100"/>
                      <w:sz w:val="21"/>
                      <w:szCs w:val="21"/>
                    </w:rPr>
                    <w:t>设计值</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
                      <w:color w:val="auto"/>
                      <w:w w:val="100"/>
                      <w:sz w:val="21"/>
                      <w:szCs w:val="21"/>
                    </w:rPr>
                  </w:pPr>
                  <w:r>
                    <w:rPr>
                      <w:rFonts w:hint="eastAsia"/>
                      <w:b/>
                      <w:color w:val="auto"/>
                      <w:w w:val="100"/>
                      <w:sz w:val="21"/>
                      <w:szCs w:val="21"/>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配料站</w:t>
                  </w:r>
                </w:p>
              </w:tc>
              <w:tc>
                <w:tcPr>
                  <w:tcW w:w="729" w:type="pct"/>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配料</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储料仓</w:t>
                  </w:r>
                </w:p>
              </w:tc>
              <w:tc>
                <w:tcPr>
                  <w:tcW w:w="88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bCs/>
                      <w:color w:val="auto"/>
                      <w:w w:val="100"/>
                      <w:sz w:val="21"/>
                      <w:szCs w:val="21"/>
                      <w:lang w:val="en-US" w:eastAsia="zh-CN"/>
                    </w:rPr>
                  </w:pPr>
                  <w:r>
                    <w:rPr>
                      <w:rFonts w:hint="eastAsia"/>
                      <w:bCs/>
                      <w:color w:val="auto"/>
                      <w:w w:val="100"/>
                      <w:sz w:val="21"/>
                      <w:szCs w:val="21"/>
                      <w:lang w:val="en-US" w:eastAsia="zh-CN"/>
                    </w:rPr>
                    <w:t>10</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容积</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25</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m</w:t>
                  </w:r>
                  <w:r>
                    <w:rPr>
                      <w:rFonts w:hint="eastAsia"/>
                      <w:bCs/>
                      <w:color w:val="auto"/>
                      <w:w w:val="10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color w:val="auto"/>
                      <w:w w:val="100"/>
                      <w:sz w:val="21"/>
                      <w:szCs w:val="21"/>
                    </w:rPr>
                  </w:pPr>
                </w:p>
              </w:tc>
              <w:tc>
                <w:tcPr>
                  <w:tcW w:w="72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color w:val="auto"/>
                      <w:w w:val="100"/>
                      <w:sz w:val="21"/>
                      <w:szCs w:val="21"/>
                    </w:rPr>
                    <w:t>计量斗</w:t>
                  </w:r>
                </w:p>
              </w:tc>
              <w:tc>
                <w:tcPr>
                  <w:tcW w:w="887" w:type="pct"/>
                  <w:noWrap w:val="0"/>
                  <w:vAlign w:val="center"/>
                </w:tcPr>
                <w:p>
                  <w:pPr>
                    <w:pStyle w:val="6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w w:val="100"/>
                      <w:sz w:val="21"/>
                      <w:szCs w:val="21"/>
                      <w:lang w:val="en-US" w:eastAsia="zh-CN"/>
                    </w:rPr>
                  </w:pPr>
                  <w:r>
                    <w:rPr>
                      <w:rFonts w:hint="eastAsia" w:ascii="Times New Roman" w:hAnsi="Times New Roman" w:cs="Times New Roman"/>
                      <w:color w:val="auto"/>
                      <w:w w:val="100"/>
                      <w:sz w:val="21"/>
                      <w:szCs w:val="21"/>
                      <w:lang w:val="en-US" w:eastAsia="zh-CN"/>
                    </w:rPr>
                    <w:t>10</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容积</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2.5</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m</w:t>
                  </w:r>
                  <w:r>
                    <w:rPr>
                      <w:rFonts w:hint="eastAsia"/>
                      <w:bCs/>
                      <w:color w:val="auto"/>
                      <w:w w:val="10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p>
              </w:tc>
              <w:tc>
                <w:tcPr>
                  <w:tcW w:w="72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color w:val="auto"/>
                      <w:w w:val="100"/>
                      <w:sz w:val="21"/>
                      <w:szCs w:val="21"/>
                    </w:rPr>
                    <w:t>称重传感器</w:t>
                  </w:r>
                </w:p>
              </w:tc>
              <w:tc>
                <w:tcPr>
                  <w:tcW w:w="887" w:type="pct"/>
                  <w:noWrap w:val="0"/>
                  <w:vAlign w:val="center"/>
                </w:tcPr>
                <w:p>
                  <w:pPr>
                    <w:pStyle w:val="6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auto"/>
                      <w:w w:val="100"/>
                      <w:sz w:val="21"/>
                      <w:szCs w:val="21"/>
                      <w:lang w:val="en-US" w:eastAsia="zh-CN"/>
                    </w:rPr>
                  </w:pPr>
                  <w:r>
                    <w:rPr>
                      <w:rFonts w:hint="eastAsia" w:ascii="Times New Roman" w:hAnsi="Times New Roman" w:cs="Times New Roman"/>
                      <w:color w:val="auto"/>
                      <w:w w:val="100"/>
                      <w:sz w:val="21"/>
                      <w:szCs w:val="21"/>
                      <w:lang w:val="en-US" w:eastAsia="zh-CN"/>
                    </w:rPr>
                    <w:t>10</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能力</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eastAsiaTheme="minorEastAsia"/>
                      <w:bCs/>
                      <w:color w:val="auto"/>
                      <w:w w:val="100"/>
                      <w:sz w:val="21"/>
                      <w:szCs w:val="21"/>
                      <w:lang w:val="en-US" w:eastAsia="zh-CN"/>
                    </w:rPr>
                  </w:pPr>
                  <w:r>
                    <w:rPr>
                      <w:bCs/>
                      <w:color w:val="auto"/>
                      <w:w w:val="100"/>
                      <w:sz w:val="21"/>
                      <w:szCs w:val="21"/>
                    </w:rPr>
                    <w:t>3×</w:t>
                  </w:r>
                  <w:r>
                    <w:rPr>
                      <w:rFonts w:hint="eastAsia"/>
                      <w:bCs/>
                      <w:color w:val="auto"/>
                      <w:w w:val="100"/>
                      <w:sz w:val="21"/>
                      <w:szCs w:val="21"/>
                      <w:lang w:val="en-US" w:eastAsia="zh-CN"/>
                    </w:rPr>
                    <w:t>3000</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bCs/>
                      <w:color w:val="auto"/>
                      <w:w w:val="100"/>
                      <w:sz w:val="21"/>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p>
              </w:tc>
              <w:tc>
                <w:tcPr>
                  <w:tcW w:w="72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color w:val="auto"/>
                      <w:w w:val="100"/>
                      <w:sz w:val="21"/>
                      <w:szCs w:val="21"/>
                    </w:rPr>
                  </w:pPr>
                  <w:r>
                    <w:rPr>
                      <w:rFonts w:hint="eastAsia"/>
                      <w:color w:val="auto"/>
                      <w:w w:val="100"/>
                      <w:sz w:val="21"/>
                      <w:szCs w:val="21"/>
                    </w:rPr>
                    <w:t>气缸</w:t>
                  </w:r>
                </w:p>
              </w:tc>
              <w:tc>
                <w:tcPr>
                  <w:tcW w:w="887" w:type="pct"/>
                  <w:noWrap w:val="0"/>
                  <w:vAlign w:val="center"/>
                </w:tcPr>
                <w:p>
                  <w:pPr>
                    <w:pStyle w:val="62"/>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cs="Times New Roman"/>
                      <w:bCs/>
                      <w:color w:val="auto"/>
                      <w:w w:val="100"/>
                      <w:sz w:val="21"/>
                      <w:szCs w:val="21"/>
                      <w:lang w:val="en-US" w:eastAsia="zh-CN"/>
                    </w:rPr>
                  </w:pPr>
                  <w:r>
                    <w:rPr>
                      <w:rFonts w:hint="eastAsia" w:ascii="Times New Roman" w:hAnsi="Times New Roman" w:cs="Times New Roman"/>
                      <w:color w:val="auto"/>
                      <w:w w:val="100"/>
                      <w:sz w:val="21"/>
                      <w:szCs w:val="21"/>
                      <w:lang w:val="en-US" w:eastAsia="zh-CN"/>
                    </w:rPr>
                    <w:t>30</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缸径</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bCs/>
                      <w:color w:val="auto"/>
                      <w:w w:val="100"/>
                      <w:sz w:val="21"/>
                      <w:szCs w:val="21"/>
                    </w:rPr>
                    <w:t>φ 100</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bCs/>
                      <w:color w:val="auto"/>
                      <w:w w:val="100"/>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p>
              </w:tc>
              <w:tc>
                <w:tcPr>
                  <w:tcW w:w="72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color w:val="auto"/>
                      <w:w w:val="100"/>
                      <w:sz w:val="21"/>
                      <w:szCs w:val="21"/>
                    </w:rPr>
                  </w:pPr>
                  <w:r>
                    <w:rPr>
                      <w:rFonts w:hint="eastAsia"/>
                      <w:color w:val="auto"/>
                      <w:w w:val="100"/>
                      <w:sz w:val="21"/>
                      <w:szCs w:val="21"/>
                    </w:rPr>
                    <w:t>输送带</w:t>
                  </w:r>
                </w:p>
              </w:tc>
              <w:tc>
                <w:tcPr>
                  <w:tcW w:w="887" w:type="pct"/>
                  <w:noWrap w:val="0"/>
                  <w:vAlign w:val="center"/>
                </w:tcPr>
                <w:p>
                  <w:pPr>
                    <w:pStyle w:val="62"/>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color w:val="auto"/>
                      <w:w w:val="100"/>
                      <w:sz w:val="21"/>
                      <w:szCs w:val="21"/>
                      <w:lang w:eastAsia="zh-CN"/>
                    </w:rPr>
                  </w:pPr>
                  <w:r>
                    <w:rPr>
                      <w:rFonts w:hint="eastAsia" w:ascii="Times New Roman" w:hAnsi="Times New Roman" w:cs="Times New Roman"/>
                      <w:color w:val="auto"/>
                      <w:w w:val="100"/>
                      <w:sz w:val="21"/>
                      <w:szCs w:val="21"/>
                      <w:lang w:eastAsia="zh-CN"/>
                    </w:rPr>
                    <w:t>2</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长度</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1000</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斜皮带机</w:t>
                  </w:r>
                </w:p>
              </w:tc>
              <w:tc>
                <w:tcPr>
                  <w:tcW w:w="729"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输送</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color w:val="auto"/>
                      <w:w w:val="100"/>
                      <w:sz w:val="21"/>
                      <w:szCs w:val="21"/>
                    </w:rPr>
                  </w:pPr>
                  <w:r>
                    <w:rPr>
                      <w:rFonts w:hint="eastAsia"/>
                      <w:color w:val="auto"/>
                      <w:w w:val="100"/>
                      <w:sz w:val="21"/>
                      <w:szCs w:val="21"/>
                    </w:rPr>
                    <w:t>输送带</w:t>
                  </w:r>
                </w:p>
              </w:tc>
              <w:tc>
                <w:tcPr>
                  <w:tcW w:w="887" w:type="pct"/>
                  <w:noWrap w:val="0"/>
                  <w:vAlign w:val="center"/>
                </w:tcPr>
                <w:p>
                  <w:pPr>
                    <w:pStyle w:val="62"/>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color w:val="auto"/>
                      <w:w w:val="100"/>
                      <w:sz w:val="21"/>
                      <w:szCs w:val="21"/>
                      <w:lang w:eastAsia="zh-CN"/>
                    </w:rPr>
                  </w:pPr>
                  <w:r>
                    <w:rPr>
                      <w:rFonts w:hint="eastAsia" w:ascii="Times New Roman" w:hAnsi="Times New Roman" w:cs="Times New Roman"/>
                      <w:color w:val="auto"/>
                      <w:w w:val="100"/>
                      <w:sz w:val="21"/>
                      <w:szCs w:val="21"/>
                      <w:lang w:eastAsia="zh-CN"/>
                    </w:rPr>
                    <w:t>2</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长度</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1000</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水泥计量</w:t>
                  </w:r>
                </w:p>
              </w:tc>
              <w:tc>
                <w:tcPr>
                  <w:tcW w:w="729" w:type="pct"/>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计量</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rPr>
                      <w:color w:val="auto"/>
                      <w:w w:val="100"/>
                      <w:sz w:val="21"/>
                      <w:szCs w:val="21"/>
                    </w:rPr>
                  </w:pPr>
                  <w:r>
                    <w:rPr>
                      <w:rFonts w:hint="eastAsia"/>
                      <w:color w:val="auto"/>
                      <w:w w:val="100"/>
                      <w:sz w:val="21"/>
                      <w:szCs w:val="21"/>
                    </w:rPr>
                    <w:t>计量斗</w:t>
                  </w:r>
                </w:p>
              </w:tc>
              <w:tc>
                <w:tcPr>
                  <w:tcW w:w="887" w:type="pct"/>
                  <w:noWrap w:val="0"/>
                  <w:vAlign w:val="center"/>
                </w:tcPr>
                <w:p>
                  <w:pPr>
                    <w:pStyle w:val="62"/>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cs="Times New Roman"/>
                      <w:color w:val="auto"/>
                      <w:w w:val="100"/>
                      <w:sz w:val="21"/>
                      <w:szCs w:val="21"/>
                      <w:lang w:val="en-US" w:eastAsia="zh-CN"/>
                    </w:rPr>
                  </w:pPr>
                  <w:r>
                    <w:rPr>
                      <w:rFonts w:hint="eastAsia" w:ascii="Times New Roman" w:hAnsi="Times New Roman" w:cs="Times New Roman"/>
                      <w:color w:val="auto"/>
                      <w:w w:val="100"/>
                      <w:sz w:val="21"/>
                      <w:szCs w:val="21"/>
                      <w:lang w:val="en-US" w:eastAsia="zh-CN"/>
                    </w:rPr>
                    <w:t>2</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容积</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1.5</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m</w:t>
                  </w:r>
                  <w:r>
                    <w:rPr>
                      <w:rFonts w:hint="eastAsia"/>
                      <w:bCs/>
                      <w:color w:val="auto"/>
                      <w:w w:val="10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72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color w:val="auto"/>
                      <w:w w:val="100"/>
                      <w:sz w:val="21"/>
                      <w:szCs w:val="21"/>
                    </w:rPr>
                    <w:t>称重传感器</w:t>
                  </w:r>
                </w:p>
              </w:tc>
              <w:tc>
                <w:tcPr>
                  <w:tcW w:w="887" w:type="pct"/>
                  <w:noWrap w:val="0"/>
                  <w:vAlign w:val="center"/>
                </w:tcPr>
                <w:p>
                  <w:pPr>
                    <w:pStyle w:val="62"/>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cs="Times New Roman"/>
                      <w:bCs/>
                      <w:color w:val="auto"/>
                      <w:w w:val="100"/>
                      <w:sz w:val="21"/>
                      <w:szCs w:val="21"/>
                      <w:lang w:val="en-US" w:eastAsia="zh-CN"/>
                    </w:rPr>
                  </w:pPr>
                  <w:r>
                    <w:rPr>
                      <w:rFonts w:hint="eastAsia" w:ascii="Times New Roman" w:hAnsi="Times New Roman" w:cs="Times New Roman"/>
                      <w:color w:val="auto"/>
                      <w:w w:val="100"/>
                      <w:sz w:val="21"/>
                      <w:szCs w:val="21"/>
                      <w:lang w:val="en-US" w:eastAsia="zh-CN"/>
                    </w:rPr>
                    <w:t>2</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能力</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eastAsiaTheme="minorEastAsia"/>
                      <w:bCs/>
                      <w:color w:val="auto"/>
                      <w:w w:val="100"/>
                      <w:sz w:val="21"/>
                      <w:szCs w:val="21"/>
                      <w:lang w:val="en-US" w:eastAsia="zh-CN"/>
                    </w:rPr>
                  </w:pPr>
                  <w:r>
                    <w:rPr>
                      <w:bCs/>
                      <w:color w:val="auto"/>
                      <w:w w:val="100"/>
                      <w:sz w:val="21"/>
                      <w:szCs w:val="21"/>
                    </w:rPr>
                    <w:t>3×</w:t>
                  </w:r>
                  <w:r>
                    <w:rPr>
                      <w:rFonts w:hint="eastAsia"/>
                      <w:bCs/>
                      <w:color w:val="auto"/>
                      <w:w w:val="100"/>
                      <w:sz w:val="21"/>
                      <w:szCs w:val="21"/>
                    </w:rPr>
                    <w:t>1</w:t>
                  </w:r>
                  <w:r>
                    <w:rPr>
                      <w:rFonts w:hint="eastAsia"/>
                      <w:bCs/>
                      <w:color w:val="auto"/>
                      <w:w w:val="100"/>
                      <w:sz w:val="21"/>
                      <w:szCs w:val="21"/>
                      <w:lang w:val="en-US" w:eastAsia="zh-CN"/>
                    </w:rPr>
                    <w:t>500</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bCs/>
                      <w:color w:val="auto"/>
                      <w:w w:val="100"/>
                      <w:sz w:val="21"/>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72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rPr>
                      <w:color w:val="auto"/>
                      <w:w w:val="100"/>
                      <w:sz w:val="21"/>
                      <w:szCs w:val="21"/>
                    </w:rPr>
                  </w:pPr>
                  <w:r>
                    <w:rPr>
                      <w:rFonts w:hint="eastAsia"/>
                      <w:color w:val="auto"/>
                      <w:w w:val="100"/>
                      <w:sz w:val="21"/>
                      <w:szCs w:val="21"/>
                    </w:rPr>
                    <w:t>气动蝶阀</w:t>
                  </w:r>
                </w:p>
              </w:tc>
              <w:tc>
                <w:tcPr>
                  <w:tcW w:w="887" w:type="pct"/>
                  <w:noWrap w:val="0"/>
                  <w:vAlign w:val="center"/>
                </w:tcPr>
                <w:p>
                  <w:pPr>
                    <w:pStyle w:val="62"/>
                    <w:keepNext w:val="0"/>
                    <w:keepLines w:val="0"/>
                    <w:pageBreakBefore w:val="0"/>
                    <w:widowControl w:val="0"/>
                    <w:kinsoku/>
                    <w:wordWrap/>
                    <w:overflowPunct/>
                    <w:topLinePunct w:val="0"/>
                    <w:autoSpaceDE/>
                    <w:autoSpaceDN/>
                    <w:bidi w:val="0"/>
                    <w:adjustRightInd/>
                    <w:snapToGrid/>
                    <w:jc w:val="center"/>
                    <w:rPr>
                      <w:rFonts w:ascii="Times New Roman" w:hAnsi="Times New Roman" w:cs="Times New Roman"/>
                      <w:color w:val="auto"/>
                      <w:w w:val="100"/>
                      <w:sz w:val="21"/>
                      <w:szCs w:val="21"/>
                      <w:lang w:eastAsia="zh-CN"/>
                    </w:rPr>
                  </w:pPr>
                  <w:r>
                    <w:rPr>
                      <w:rFonts w:hint="eastAsia" w:ascii="Times New Roman" w:hAnsi="Times New Roman" w:cs="Times New Roman"/>
                      <w:color w:val="auto"/>
                      <w:w w:val="100"/>
                      <w:sz w:val="21"/>
                      <w:szCs w:val="21"/>
                      <w:lang w:eastAsia="zh-CN"/>
                    </w:rPr>
                    <w:t>2</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公称直径</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bCs/>
                      <w:color w:val="auto"/>
                      <w:w w:val="100"/>
                      <w:sz w:val="21"/>
                      <w:szCs w:val="21"/>
                    </w:rPr>
                    <w:t>φ 100</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bCs/>
                      <w:color w:val="auto"/>
                      <w:w w:val="100"/>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煤灰计量</w:t>
                  </w:r>
                </w:p>
              </w:tc>
              <w:tc>
                <w:tcPr>
                  <w:tcW w:w="729" w:type="pct"/>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计量</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color w:val="auto"/>
                      <w:w w:val="100"/>
                      <w:sz w:val="21"/>
                      <w:szCs w:val="21"/>
                    </w:rPr>
                  </w:pPr>
                  <w:r>
                    <w:rPr>
                      <w:rFonts w:hint="eastAsia"/>
                      <w:color w:val="auto"/>
                      <w:w w:val="100"/>
                      <w:sz w:val="21"/>
                      <w:szCs w:val="21"/>
                    </w:rPr>
                    <w:t>计量斗</w:t>
                  </w:r>
                </w:p>
              </w:tc>
              <w:tc>
                <w:tcPr>
                  <w:tcW w:w="887" w:type="pct"/>
                  <w:noWrap w:val="0"/>
                  <w:vAlign w:val="center"/>
                </w:tcPr>
                <w:p>
                  <w:pPr>
                    <w:pStyle w:val="62"/>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cs="Times New Roman"/>
                      <w:color w:val="auto"/>
                      <w:w w:val="100"/>
                      <w:sz w:val="21"/>
                      <w:szCs w:val="21"/>
                      <w:lang w:val="en-US" w:eastAsia="zh-CN"/>
                    </w:rPr>
                  </w:pPr>
                  <w:r>
                    <w:rPr>
                      <w:rFonts w:hint="eastAsia" w:ascii="Times New Roman" w:hAnsi="Times New Roman" w:cs="Times New Roman"/>
                      <w:color w:val="auto"/>
                      <w:w w:val="100"/>
                      <w:sz w:val="21"/>
                      <w:szCs w:val="21"/>
                      <w:lang w:val="en-US" w:eastAsia="zh-CN"/>
                    </w:rPr>
                    <w:t>2</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容积</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1.5</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m</w:t>
                  </w:r>
                  <w:r>
                    <w:rPr>
                      <w:rFonts w:hint="eastAsia"/>
                      <w:bCs/>
                      <w:color w:val="auto"/>
                      <w:w w:val="10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72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color w:val="auto"/>
                      <w:w w:val="100"/>
                      <w:sz w:val="21"/>
                      <w:szCs w:val="21"/>
                    </w:rPr>
                    <w:t>称重传感器</w:t>
                  </w:r>
                </w:p>
              </w:tc>
              <w:tc>
                <w:tcPr>
                  <w:tcW w:w="887" w:type="pct"/>
                  <w:noWrap w:val="0"/>
                  <w:vAlign w:val="center"/>
                </w:tcPr>
                <w:p>
                  <w:pPr>
                    <w:pStyle w:val="62"/>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cs="Times New Roman"/>
                      <w:bCs/>
                      <w:color w:val="auto"/>
                      <w:w w:val="100"/>
                      <w:sz w:val="21"/>
                      <w:szCs w:val="21"/>
                      <w:lang w:val="en-US" w:eastAsia="zh-CN"/>
                    </w:rPr>
                  </w:pPr>
                  <w:r>
                    <w:rPr>
                      <w:rFonts w:hint="eastAsia" w:ascii="Times New Roman" w:hAnsi="Times New Roman" w:cs="Times New Roman"/>
                      <w:color w:val="auto"/>
                      <w:w w:val="100"/>
                      <w:sz w:val="21"/>
                      <w:szCs w:val="21"/>
                      <w:lang w:val="en-US" w:eastAsia="zh-CN"/>
                    </w:rPr>
                    <w:t>2</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能力</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eastAsiaTheme="minorEastAsia"/>
                      <w:bCs/>
                      <w:color w:val="auto"/>
                      <w:w w:val="100"/>
                      <w:sz w:val="21"/>
                      <w:szCs w:val="21"/>
                      <w:lang w:val="en-US" w:eastAsia="zh-CN"/>
                    </w:rPr>
                  </w:pPr>
                  <w:r>
                    <w:rPr>
                      <w:bCs/>
                      <w:color w:val="auto"/>
                      <w:w w:val="100"/>
                      <w:sz w:val="21"/>
                      <w:szCs w:val="21"/>
                    </w:rPr>
                    <w:t>3×</w:t>
                  </w:r>
                  <w:r>
                    <w:rPr>
                      <w:rFonts w:hint="eastAsia"/>
                      <w:bCs/>
                      <w:color w:val="auto"/>
                      <w:w w:val="100"/>
                      <w:sz w:val="21"/>
                      <w:szCs w:val="21"/>
                    </w:rPr>
                    <w:t>1</w:t>
                  </w:r>
                  <w:r>
                    <w:rPr>
                      <w:rFonts w:hint="eastAsia"/>
                      <w:bCs/>
                      <w:color w:val="auto"/>
                      <w:w w:val="100"/>
                      <w:sz w:val="21"/>
                      <w:szCs w:val="21"/>
                      <w:lang w:val="en-US" w:eastAsia="zh-CN"/>
                    </w:rPr>
                    <w:t>500</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bCs/>
                      <w:color w:val="auto"/>
                      <w:w w:val="100"/>
                      <w:sz w:val="21"/>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72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color w:val="auto"/>
                      <w:w w:val="100"/>
                      <w:sz w:val="21"/>
                      <w:szCs w:val="21"/>
                    </w:rPr>
                  </w:pPr>
                  <w:r>
                    <w:rPr>
                      <w:rFonts w:hint="eastAsia"/>
                      <w:color w:val="auto"/>
                      <w:w w:val="100"/>
                      <w:sz w:val="21"/>
                      <w:szCs w:val="21"/>
                    </w:rPr>
                    <w:t>气动蝶阀</w:t>
                  </w:r>
                </w:p>
              </w:tc>
              <w:tc>
                <w:tcPr>
                  <w:tcW w:w="887" w:type="pct"/>
                  <w:noWrap w:val="0"/>
                  <w:vAlign w:val="center"/>
                </w:tcPr>
                <w:p>
                  <w:pPr>
                    <w:pStyle w:val="62"/>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color w:val="auto"/>
                      <w:w w:val="100"/>
                      <w:sz w:val="21"/>
                      <w:szCs w:val="21"/>
                      <w:lang w:eastAsia="zh-CN"/>
                    </w:rPr>
                  </w:pPr>
                  <w:r>
                    <w:rPr>
                      <w:rFonts w:hint="eastAsia" w:ascii="Times New Roman" w:hAnsi="Times New Roman" w:cs="Times New Roman"/>
                      <w:color w:val="auto"/>
                      <w:w w:val="100"/>
                      <w:sz w:val="21"/>
                      <w:szCs w:val="21"/>
                      <w:lang w:eastAsia="zh-CN"/>
                    </w:rPr>
                    <w:t>2</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公称直径</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bCs/>
                      <w:color w:val="auto"/>
                      <w:w w:val="100"/>
                      <w:sz w:val="21"/>
                      <w:szCs w:val="21"/>
                    </w:rPr>
                    <w:t>φ 100</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bCs/>
                      <w:color w:val="auto"/>
                      <w:w w:val="100"/>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水计量及供水系统</w:t>
                  </w:r>
                </w:p>
              </w:tc>
              <w:tc>
                <w:tcPr>
                  <w:tcW w:w="729" w:type="pct"/>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计量</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color w:val="auto"/>
                      <w:w w:val="100"/>
                      <w:sz w:val="21"/>
                      <w:szCs w:val="21"/>
                    </w:rPr>
                  </w:pPr>
                  <w:r>
                    <w:rPr>
                      <w:rFonts w:hint="eastAsia"/>
                      <w:color w:val="auto"/>
                      <w:w w:val="100"/>
                      <w:sz w:val="21"/>
                      <w:szCs w:val="21"/>
                    </w:rPr>
                    <w:t>计量斗</w:t>
                  </w:r>
                </w:p>
              </w:tc>
              <w:tc>
                <w:tcPr>
                  <w:tcW w:w="887" w:type="pct"/>
                  <w:noWrap w:val="0"/>
                  <w:vAlign w:val="center"/>
                </w:tcPr>
                <w:p>
                  <w:pPr>
                    <w:pStyle w:val="62"/>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cs="Times New Roman"/>
                      <w:color w:val="auto"/>
                      <w:w w:val="100"/>
                      <w:sz w:val="21"/>
                      <w:szCs w:val="21"/>
                      <w:lang w:val="en-US" w:eastAsia="zh-CN"/>
                    </w:rPr>
                  </w:pPr>
                  <w:r>
                    <w:rPr>
                      <w:rFonts w:hint="eastAsia" w:ascii="Times New Roman" w:hAnsi="Times New Roman" w:cs="Times New Roman"/>
                      <w:color w:val="auto"/>
                      <w:w w:val="100"/>
                      <w:sz w:val="21"/>
                      <w:szCs w:val="21"/>
                      <w:lang w:val="en-US" w:eastAsia="zh-CN"/>
                    </w:rPr>
                    <w:t>2</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容积</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0.8</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m</w:t>
                  </w:r>
                  <w:r>
                    <w:rPr>
                      <w:rFonts w:hint="eastAsia"/>
                      <w:bCs/>
                      <w:color w:val="auto"/>
                      <w:w w:val="10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72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color w:val="auto"/>
                      <w:w w:val="100"/>
                      <w:sz w:val="21"/>
                      <w:szCs w:val="21"/>
                    </w:rPr>
                    <w:t>称重传感器</w:t>
                  </w:r>
                </w:p>
              </w:tc>
              <w:tc>
                <w:tcPr>
                  <w:tcW w:w="887" w:type="pct"/>
                  <w:noWrap w:val="0"/>
                  <w:vAlign w:val="center"/>
                </w:tcPr>
                <w:p>
                  <w:pPr>
                    <w:pStyle w:val="62"/>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cs="Times New Roman"/>
                      <w:bCs/>
                      <w:color w:val="auto"/>
                      <w:w w:val="100"/>
                      <w:sz w:val="21"/>
                      <w:szCs w:val="21"/>
                      <w:lang w:val="en-US" w:eastAsia="zh-CN"/>
                    </w:rPr>
                  </w:pPr>
                  <w:r>
                    <w:rPr>
                      <w:rFonts w:hint="eastAsia" w:ascii="Times New Roman" w:hAnsi="Times New Roman" w:cs="Times New Roman"/>
                      <w:color w:val="auto"/>
                      <w:w w:val="100"/>
                      <w:sz w:val="21"/>
                      <w:szCs w:val="21"/>
                      <w:lang w:val="en-US" w:eastAsia="zh-CN"/>
                    </w:rPr>
                    <w:t>2</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能力</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1</w:t>
                  </w:r>
                  <w:r>
                    <w:rPr>
                      <w:bCs/>
                      <w:color w:val="auto"/>
                      <w:w w:val="100"/>
                      <w:sz w:val="21"/>
                      <w:szCs w:val="21"/>
                    </w:rPr>
                    <w:t>000</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bCs/>
                      <w:color w:val="auto"/>
                      <w:w w:val="100"/>
                      <w:sz w:val="21"/>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72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color w:val="auto"/>
                      <w:w w:val="100"/>
                      <w:sz w:val="21"/>
                      <w:szCs w:val="21"/>
                    </w:rPr>
                  </w:pPr>
                  <w:r>
                    <w:rPr>
                      <w:rFonts w:hint="eastAsia"/>
                      <w:color w:val="auto"/>
                      <w:w w:val="100"/>
                      <w:sz w:val="21"/>
                      <w:szCs w:val="21"/>
                    </w:rPr>
                    <w:t>气动蝶阀</w:t>
                  </w:r>
                </w:p>
              </w:tc>
              <w:tc>
                <w:tcPr>
                  <w:tcW w:w="887" w:type="pct"/>
                  <w:noWrap w:val="0"/>
                  <w:vAlign w:val="center"/>
                </w:tcPr>
                <w:p>
                  <w:pPr>
                    <w:pStyle w:val="62"/>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color w:val="auto"/>
                      <w:w w:val="100"/>
                      <w:sz w:val="21"/>
                      <w:szCs w:val="21"/>
                      <w:lang w:eastAsia="zh-CN"/>
                    </w:rPr>
                  </w:pPr>
                  <w:r>
                    <w:rPr>
                      <w:rFonts w:hint="eastAsia" w:ascii="Times New Roman" w:hAnsi="Times New Roman" w:cs="Times New Roman"/>
                      <w:color w:val="auto"/>
                      <w:w w:val="100"/>
                      <w:sz w:val="21"/>
                      <w:szCs w:val="21"/>
                      <w:lang w:eastAsia="zh-CN"/>
                    </w:rPr>
                    <w:t>2</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公称直径</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bCs/>
                      <w:color w:val="auto"/>
                      <w:w w:val="100"/>
                      <w:sz w:val="21"/>
                      <w:szCs w:val="21"/>
                    </w:rPr>
                    <w:t xml:space="preserve">φ </w:t>
                  </w:r>
                  <w:r>
                    <w:rPr>
                      <w:rFonts w:hint="eastAsia"/>
                      <w:bCs/>
                      <w:color w:val="auto"/>
                      <w:w w:val="100"/>
                      <w:sz w:val="21"/>
                      <w:szCs w:val="21"/>
                    </w:rPr>
                    <w:t>2</w:t>
                  </w:r>
                  <w:r>
                    <w:rPr>
                      <w:bCs/>
                      <w:color w:val="auto"/>
                      <w:w w:val="100"/>
                      <w:sz w:val="21"/>
                      <w:szCs w:val="21"/>
                    </w:rPr>
                    <w:t>00</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bCs/>
                      <w:color w:val="auto"/>
                      <w:w w:val="100"/>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72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rPr>
                      <w:color w:val="auto"/>
                      <w:w w:val="100"/>
                      <w:sz w:val="21"/>
                      <w:szCs w:val="21"/>
                    </w:rPr>
                  </w:pPr>
                  <w:r>
                    <w:rPr>
                      <w:rFonts w:hint="eastAsia"/>
                      <w:color w:val="auto"/>
                      <w:w w:val="100"/>
                      <w:sz w:val="21"/>
                      <w:szCs w:val="21"/>
                    </w:rPr>
                    <w:t>水泵</w:t>
                  </w:r>
                </w:p>
              </w:tc>
              <w:tc>
                <w:tcPr>
                  <w:tcW w:w="887" w:type="pct"/>
                  <w:noWrap w:val="0"/>
                  <w:vAlign w:val="center"/>
                </w:tcPr>
                <w:p>
                  <w:pPr>
                    <w:pStyle w:val="62"/>
                    <w:keepNext w:val="0"/>
                    <w:keepLines w:val="0"/>
                    <w:pageBreakBefore w:val="0"/>
                    <w:widowControl w:val="0"/>
                    <w:kinsoku/>
                    <w:wordWrap/>
                    <w:overflowPunct/>
                    <w:topLinePunct w:val="0"/>
                    <w:autoSpaceDE/>
                    <w:autoSpaceDN/>
                    <w:bidi w:val="0"/>
                    <w:adjustRightInd/>
                    <w:snapToGrid/>
                    <w:jc w:val="center"/>
                    <w:rPr>
                      <w:rFonts w:ascii="Times New Roman" w:hAnsi="Times New Roman" w:cs="Times New Roman"/>
                      <w:color w:val="auto"/>
                      <w:w w:val="100"/>
                      <w:sz w:val="21"/>
                      <w:szCs w:val="21"/>
                      <w:lang w:eastAsia="zh-CN"/>
                    </w:rPr>
                  </w:pPr>
                  <w:r>
                    <w:rPr>
                      <w:rFonts w:hint="eastAsia" w:ascii="Times New Roman" w:hAnsi="Times New Roman" w:cs="Times New Roman"/>
                      <w:color w:val="auto"/>
                      <w:w w:val="100"/>
                      <w:sz w:val="21"/>
                      <w:szCs w:val="21"/>
                      <w:lang w:eastAsia="zh-CN"/>
                    </w:rPr>
                    <w:t>2</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外加剂计量系统</w:t>
                  </w:r>
                </w:p>
              </w:tc>
              <w:tc>
                <w:tcPr>
                  <w:tcW w:w="729" w:type="pct"/>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计量</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color w:val="auto"/>
                      <w:w w:val="100"/>
                      <w:sz w:val="21"/>
                      <w:szCs w:val="21"/>
                    </w:rPr>
                  </w:pPr>
                  <w:r>
                    <w:rPr>
                      <w:rFonts w:hint="eastAsia"/>
                      <w:color w:val="auto"/>
                      <w:w w:val="100"/>
                      <w:sz w:val="21"/>
                      <w:szCs w:val="21"/>
                    </w:rPr>
                    <w:t>计量斗</w:t>
                  </w:r>
                </w:p>
              </w:tc>
              <w:tc>
                <w:tcPr>
                  <w:tcW w:w="887" w:type="pct"/>
                  <w:noWrap w:val="0"/>
                  <w:vAlign w:val="center"/>
                </w:tcPr>
                <w:p>
                  <w:pPr>
                    <w:pStyle w:val="62"/>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cs="Times New Roman"/>
                      <w:color w:val="auto"/>
                      <w:w w:val="100"/>
                      <w:sz w:val="21"/>
                      <w:szCs w:val="21"/>
                      <w:lang w:val="en-US" w:eastAsia="zh-CN"/>
                    </w:rPr>
                  </w:pPr>
                  <w:r>
                    <w:rPr>
                      <w:rFonts w:hint="eastAsia" w:ascii="Times New Roman" w:hAnsi="Times New Roman" w:cs="Times New Roman"/>
                      <w:color w:val="auto"/>
                      <w:w w:val="100"/>
                      <w:sz w:val="21"/>
                      <w:szCs w:val="21"/>
                      <w:lang w:val="en-US" w:eastAsia="zh-CN"/>
                    </w:rPr>
                    <w:t>2</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容积</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0.1</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m</w:t>
                  </w:r>
                  <w:r>
                    <w:rPr>
                      <w:rFonts w:hint="eastAsia"/>
                      <w:bCs/>
                      <w:color w:val="auto"/>
                      <w:w w:val="10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72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rPr>
                      <w:color w:val="auto"/>
                      <w:w w:val="100"/>
                      <w:sz w:val="21"/>
                      <w:szCs w:val="21"/>
                    </w:rPr>
                  </w:pPr>
                  <w:r>
                    <w:rPr>
                      <w:rFonts w:hint="eastAsia"/>
                      <w:color w:val="auto"/>
                      <w:w w:val="100"/>
                      <w:sz w:val="21"/>
                      <w:szCs w:val="21"/>
                    </w:rPr>
                    <w:t>储液箱</w:t>
                  </w:r>
                </w:p>
              </w:tc>
              <w:tc>
                <w:tcPr>
                  <w:tcW w:w="887" w:type="pct"/>
                  <w:noWrap w:val="0"/>
                  <w:vAlign w:val="center"/>
                </w:tcPr>
                <w:p>
                  <w:pPr>
                    <w:pStyle w:val="62"/>
                    <w:keepNext w:val="0"/>
                    <w:keepLines w:val="0"/>
                    <w:pageBreakBefore w:val="0"/>
                    <w:widowControl w:val="0"/>
                    <w:kinsoku/>
                    <w:wordWrap/>
                    <w:overflowPunct/>
                    <w:topLinePunct w:val="0"/>
                    <w:autoSpaceDE/>
                    <w:autoSpaceDN/>
                    <w:bidi w:val="0"/>
                    <w:adjustRightInd/>
                    <w:snapToGrid/>
                    <w:jc w:val="center"/>
                    <w:rPr>
                      <w:rFonts w:ascii="Times New Roman" w:hAnsi="Times New Roman" w:cs="Times New Roman"/>
                      <w:color w:val="auto"/>
                      <w:w w:val="100"/>
                      <w:sz w:val="21"/>
                      <w:szCs w:val="21"/>
                      <w:lang w:eastAsia="zh-CN"/>
                    </w:rPr>
                  </w:pPr>
                  <w:r>
                    <w:rPr>
                      <w:rFonts w:hint="eastAsia" w:ascii="Times New Roman" w:hAnsi="Times New Roman" w:cs="Times New Roman"/>
                      <w:color w:val="auto"/>
                      <w:w w:val="100"/>
                      <w:sz w:val="21"/>
                      <w:szCs w:val="21"/>
                      <w:lang w:val="en-US" w:eastAsia="zh-CN"/>
                    </w:rPr>
                    <w:t>6</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容积</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10</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m</w:t>
                  </w:r>
                  <w:r>
                    <w:rPr>
                      <w:rFonts w:hint="eastAsia"/>
                      <w:bCs/>
                      <w:color w:val="auto"/>
                      <w:w w:val="10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72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color w:val="auto"/>
                      <w:w w:val="100"/>
                      <w:sz w:val="21"/>
                      <w:szCs w:val="21"/>
                    </w:rPr>
                    <w:t>称重传感器</w:t>
                  </w:r>
                </w:p>
              </w:tc>
              <w:tc>
                <w:tcPr>
                  <w:tcW w:w="887" w:type="pct"/>
                  <w:noWrap w:val="0"/>
                  <w:vAlign w:val="center"/>
                </w:tcPr>
                <w:p>
                  <w:pPr>
                    <w:pStyle w:val="62"/>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cs="Times New Roman"/>
                      <w:bCs/>
                      <w:color w:val="auto"/>
                      <w:w w:val="100"/>
                      <w:sz w:val="21"/>
                      <w:szCs w:val="21"/>
                      <w:lang w:val="en-US" w:eastAsia="zh-CN"/>
                    </w:rPr>
                  </w:pPr>
                  <w:r>
                    <w:rPr>
                      <w:rFonts w:hint="eastAsia" w:ascii="Times New Roman" w:hAnsi="Times New Roman" w:cs="Times New Roman"/>
                      <w:color w:val="auto"/>
                      <w:w w:val="100"/>
                      <w:sz w:val="21"/>
                      <w:szCs w:val="21"/>
                      <w:lang w:val="en-US" w:eastAsia="zh-CN"/>
                    </w:rPr>
                    <w:t>2</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能力</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2</w:t>
                  </w:r>
                  <w:r>
                    <w:rPr>
                      <w:bCs/>
                      <w:color w:val="auto"/>
                      <w:w w:val="100"/>
                      <w:sz w:val="21"/>
                      <w:szCs w:val="21"/>
                    </w:rPr>
                    <w:t>00</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bCs/>
                      <w:color w:val="auto"/>
                      <w:w w:val="100"/>
                      <w:sz w:val="21"/>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72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color w:val="auto"/>
                      <w:w w:val="100"/>
                      <w:sz w:val="21"/>
                      <w:szCs w:val="21"/>
                    </w:rPr>
                  </w:pPr>
                  <w:r>
                    <w:rPr>
                      <w:rFonts w:hint="eastAsia"/>
                      <w:color w:val="auto"/>
                      <w:w w:val="100"/>
                      <w:sz w:val="21"/>
                      <w:szCs w:val="21"/>
                    </w:rPr>
                    <w:t>气动蝶阀</w:t>
                  </w:r>
                </w:p>
              </w:tc>
              <w:tc>
                <w:tcPr>
                  <w:tcW w:w="887" w:type="pct"/>
                  <w:noWrap w:val="0"/>
                  <w:vAlign w:val="center"/>
                </w:tcPr>
                <w:p>
                  <w:pPr>
                    <w:pStyle w:val="62"/>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color w:val="auto"/>
                      <w:w w:val="100"/>
                      <w:sz w:val="21"/>
                      <w:szCs w:val="21"/>
                      <w:lang w:eastAsia="zh-CN"/>
                    </w:rPr>
                  </w:pPr>
                  <w:r>
                    <w:rPr>
                      <w:rFonts w:hint="eastAsia" w:ascii="Times New Roman" w:hAnsi="Times New Roman" w:cs="Times New Roman"/>
                      <w:color w:val="auto"/>
                      <w:w w:val="100"/>
                      <w:sz w:val="21"/>
                      <w:szCs w:val="21"/>
                      <w:lang w:eastAsia="zh-CN"/>
                    </w:rPr>
                    <w:t>2</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公称直径</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bCs/>
                      <w:color w:val="auto"/>
                      <w:w w:val="100"/>
                      <w:sz w:val="21"/>
                      <w:szCs w:val="21"/>
                    </w:rPr>
                    <w:t xml:space="preserve">φ </w:t>
                  </w:r>
                  <w:r>
                    <w:rPr>
                      <w:rFonts w:hint="eastAsia"/>
                      <w:bCs/>
                      <w:color w:val="auto"/>
                      <w:w w:val="100"/>
                      <w:sz w:val="21"/>
                      <w:szCs w:val="21"/>
                    </w:rPr>
                    <w:t>8</w:t>
                  </w:r>
                  <w:r>
                    <w:rPr>
                      <w:bCs/>
                      <w:color w:val="auto"/>
                      <w:w w:val="100"/>
                      <w:sz w:val="21"/>
                      <w:szCs w:val="21"/>
                    </w:rPr>
                    <w:t>0</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bCs/>
                      <w:color w:val="auto"/>
                      <w:w w:val="100"/>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搅拌主楼</w:t>
                  </w:r>
                </w:p>
              </w:tc>
              <w:tc>
                <w:tcPr>
                  <w:tcW w:w="729" w:type="pct"/>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搅拌</w:t>
                  </w:r>
                </w:p>
              </w:tc>
              <w:tc>
                <w:tcPr>
                  <w:tcW w:w="880" w:type="pct"/>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rPr>
                      <w:color w:val="auto"/>
                      <w:w w:val="100"/>
                      <w:sz w:val="21"/>
                      <w:szCs w:val="21"/>
                    </w:rPr>
                  </w:pPr>
                  <w:r>
                    <w:rPr>
                      <w:rFonts w:hint="eastAsia"/>
                      <w:color w:val="auto"/>
                      <w:w w:val="100"/>
                      <w:sz w:val="21"/>
                      <w:szCs w:val="21"/>
                    </w:rPr>
                    <w:t>搅拌机</w:t>
                  </w:r>
                </w:p>
              </w:tc>
              <w:tc>
                <w:tcPr>
                  <w:tcW w:w="887" w:type="pct"/>
                  <w:vMerge w:val="restart"/>
                  <w:noWrap w:val="0"/>
                  <w:vAlign w:val="center"/>
                </w:tcPr>
                <w:p>
                  <w:pPr>
                    <w:pStyle w:val="62"/>
                    <w:keepNext w:val="0"/>
                    <w:keepLines w:val="0"/>
                    <w:pageBreakBefore w:val="0"/>
                    <w:widowControl w:val="0"/>
                    <w:kinsoku/>
                    <w:wordWrap/>
                    <w:overflowPunct/>
                    <w:topLinePunct w:val="0"/>
                    <w:autoSpaceDE/>
                    <w:autoSpaceDN/>
                    <w:bidi w:val="0"/>
                    <w:adjustRightInd/>
                    <w:snapToGrid/>
                    <w:jc w:val="center"/>
                    <w:rPr>
                      <w:rFonts w:ascii="Times New Roman" w:hAnsi="Times New Roman" w:cs="Times New Roman"/>
                      <w:color w:val="auto"/>
                      <w:w w:val="100"/>
                      <w:sz w:val="21"/>
                      <w:szCs w:val="21"/>
                      <w:lang w:eastAsia="zh-CN"/>
                    </w:rPr>
                  </w:pPr>
                  <w:r>
                    <w:rPr>
                      <w:rFonts w:hint="eastAsia" w:ascii="Times New Roman" w:hAnsi="Times New Roman" w:cs="Times New Roman"/>
                      <w:color w:val="auto"/>
                      <w:w w:val="100"/>
                      <w:sz w:val="21"/>
                      <w:szCs w:val="21"/>
                      <w:lang w:eastAsia="zh-CN"/>
                    </w:rPr>
                    <w:t>2</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搅拌能力</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eastAsiaTheme="minorEastAsia"/>
                      <w:bCs/>
                      <w:color w:val="auto"/>
                      <w:w w:val="100"/>
                      <w:sz w:val="21"/>
                      <w:szCs w:val="21"/>
                      <w:lang w:val="en-US" w:eastAsia="zh-CN"/>
                    </w:rPr>
                  </w:pPr>
                  <w:r>
                    <w:rPr>
                      <w:rFonts w:hint="eastAsia"/>
                      <w:bCs/>
                      <w:color w:val="auto"/>
                      <w:w w:val="100"/>
                      <w:sz w:val="21"/>
                      <w:szCs w:val="21"/>
                      <w:lang w:val="en-US" w:eastAsia="zh-CN"/>
                    </w:rPr>
                    <w:t>240</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color w:val="auto"/>
                      <w:w w:val="100"/>
                      <w:kern w:val="0"/>
                      <w:sz w:val="21"/>
                      <w:szCs w:val="21"/>
                    </w:rPr>
                    <w:t>m</w:t>
                  </w:r>
                  <w:r>
                    <w:rPr>
                      <w:rFonts w:hint="eastAsia"/>
                      <w:color w:val="auto"/>
                      <w:w w:val="100"/>
                      <w:kern w:val="0"/>
                      <w:sz w:val="21"/>
                      <w:szCs w:val="21"/>
                      <w:vertAlign w:val="superscript"/>
                    </w:rPr>
                    <w:t>3</w:t>
                  </w:r>
                  <w:r>
                    <w:rPr>
                      <w:rFonts w:hint="eastAsia"/>
                      <w:color w:val="auto"/>
                      <w:w w:val="100"/>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72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p>
              </w:tc>
              <w:tc>
                <w:tcPr>
                  <w:tcW w:w="880"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color w:val="auto"/>
                      <w:w w:val="100"/>
                      <w:sz w:val="21"/>
                      <w:szCs w:val="21"/>
                    </w:rPr>
                  </w:pPr>
                </w:p>
              </w:tc>
              <w:tc>
                <w:tcPr>
                  <w:tcW w:w="887" w:type="pct"/>
                  <w:vMerge w:val="continue"/>
                  <w:noWrap w:val="0"/>
                  <w:vAlign w:val="center"/>
                </w:tcPr>
                <w:p>
                  <w:pPr>
                    <w:pStyle w:val="62"/>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color w:val="auto"/>
                      <w:w w:val="100"/>
                      <w:sz w:val="21"/>
                      <w:szCs w:val="21"/>
                      <w:lang w:eastAsia="zh-CN"/>
                    </w:rPr>
                  </w:pP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公称容积</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eastAsiaTheme="minorEastAsia"/>
                      <w:bCs/>
                      <w:color w:val="auto"/>
                      <w:w w:val="100"/>
                      <w:sz w:val="21"/>
                      <w:szCs w:val="21"/>
                      <w:lang w:val="en-US" w:eastAsia="zh-CN"/>
                    </w:rPr>
                  </w:pPr>
                  <w:r>
                    <w:rPr>
                      <w:rFonts w:hint="eastAsia"/>
                      <w:bCs/>
                      <w:color w:val="auto"/>
                      <w:w w:val="100"/>
                      <w:sz w:val="21"/>
                      <w:szCs w:val="21"/>
                      <w:lang w:val="en-US" w:eastAsia="zh-CN"/>
                    </w:rPr>
                    <w:t>4</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m</w:t>
                  </w:r>
                  <w:r>
                    <w:rPr>
                      <w:rFonts w:hint="eastAsia"/>
                      <w:bCs/>
                      <w:color w:val="auto"/>
                      <w:w w:val="10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粉罐</w:t>
                  </w:r>
                </w:p>
              </w:tc>
              <w:tc>
                <w:tcPr>
                  <w:tcW w:w="729"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贮存</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rPr>
                      <w:color w:val="auto"/>
                      <w:w w:val="100"/>
                      <w:sz w:val="21"/>
                      <w:szCs w:val="21"/>
                    </w:rPr>
                  </w:pPr>
                  <w:r>
                    <w:rPr>
                      <w:rFonts w:hint="eastAsia"/>
                      <w:color w:val="auto"/>
                      <w:w w:val="100"/>
                      <w:sz w:val="21"/>
                      <w:szCs w:val="21"/>
                    </w:rPr>
                    <w:t>粉罐</w:t>
                  </w:r>
                </w:p>
              </w:tc>
              <w:tc>
                <w:tcPr>
                  <w:tcW w:w="887" w:type="pct"/>
                  <w:noWrap w:val="0"/>
                  <w:vAlign w:val="center"/>
                </w:tcPr>
                <w:p>
                  <w:pPr>
                    <w:pStyle w:val="62"/>
                    <w:keepNext w:val="0"/>
                    <w:keepLines w:val="0"/>
                    <w:pageBreakBefore w:val="0"/>
                    <w:widowControl w:val="0"/>
                    <w:kinsoku/>
                    <w:wordWrap/>
                    <w:overflowPunct/>
                    <w:topLinePunct w:val="0"/>
                    <w:autoSpaceDE/>
                    <w:autoSpaceDN/>
                    <w:bidi w:val="0"/>
                    <w:adjustRightInd/>
                    <w:snapToGrid/>
                    <w:jc w:val="center"/>
                    <w:rPr>
                      <w:rFonts w:ascii="Times New Roman" w:hAnsi="Times New Roman" w:cs="Times New Roman"/>
                      <w:color w:val="auto"/>
                      <w:w w:val="100"/>
                      <w:sz w:val="21"/>
                      <w:szCs w:val="21"/>
                      <w:lang w:eastAsia="zh-CN"/>
                    </w:rPr>
                  </w:pPr>
                  <w:r>
                    <w:rPr>
                      <w:rFonts w:hint="eastAsia" w:ascii="Times New Roman" w:hAnsi="Times New Roman" w:cs="Times New Roman"/>
                      <w:color w:val="auto"/>
                      <w:w w:val="100"/>
                      <w:sz w:val="21"/>
                      <w:szCs w:val="21"/>
                      <w:lang w:val="en-US" w:eastAsia="zh-CN"/>
                    </w:rPr>
                    <w:t>8</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贮存能力</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bCs/>
                      <w:color w:val="auto"/>
                      <w:w w:val="100"/>
                      <w:sz w:val="21"/>
                      <w:szCs w:val="21"/>
                      <w:lang w:val="en-US"/>
                    </w:rPr>
                  </w:pPr>
                  <w:r>
                    <w:rPr>
                      <w:rFonts w:hint="eastAsia"/>
                      <w:bCs/>
                      <w:color w:val="auto"/>
                      <w:w w:val="100"/>
                      <w:sz w:val="21"/>
                      <w:szCs w:val="21"/>
                      <w:lang w:val="en-US" w:eastAsia="zh-CN"/>
                    </w:rPr>
                    <w:t>250</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螺旋机</w:t>
                  </w:r>
                </w:p>
              </w:tc>
              <w:tc>
                <w:tcPr>
                  <w:tcW w:w="729"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输送</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rPr>
                      <w:color w:val="auto"/>
                      <w:w w:val="100"/>
                      <w:sz w:val="21"/>
                      <w:szCs w:val="21"/>
                    </w:rPr>
                  </w:pPr>
                  <w:r>
                    <w:rPr>
                      <w:rFonts w:hint="eastAsia"/>
                      <w:color w:val="auto"/>
                      <w:w w:val="100"/>
                      <w:sz w:val="21"/>
                      <w:szCs w:val="21"/>
                    </w:rPr>
                    <w:t>螺旋输送机</w:t>
                  </w:r>
                </w:p>
              </w:tc>
              <w:tc>
                <w:tcPr>
                  <w:tcW w:w="887" w:type="pct"/>
                  <w:noWrap w:val="0"/>
                  <w:vAlign w:val="center"/>
                </w:tcPr>
                <w:p>
                  <w:pPr>
                    <w:pStyle w:val="62"/>
                    <w:keepNext w:val="0"/>
                    <w:keepLines w:val="0"/>
                    <w:pageBreakBefore w:val="0"/>
                    <w:widowControl w:val="0"/>
                    <w:kinsoku/>
                    <w:wordWrap/>
                    <w:overflowPunct/>
                    <w:topLinePunct w:val="0"/>
                    <w:autoSpaceDE/>
                    <w:autoSpaceDN/>
                    <w:bidi w:val="0"/>
                    <w:adjustRightInd/>
                    <w:snapToGrid/>
                    <w:jc w:val="center"/>
                    <w:rPr>
                      <w:rFonts w:ascii="Times New Roman" w:hAnsi="Times New Roman" w:cs="Times New Roman"/>
                      <w:color w:val="auto"/>
                      <w:w w:val="100"/>
                      <w:sz w:val="21"/>
                      <w:szCs w:val="21"/>
                      <w:lang w:eastAsia="zh-CN"/>
                    </w:rPr>
                  </w:pPr>
                  <w:r>
                    <w:rPr>
                      <w:rFonts w:hint="eastAsia" w:ascii="Times New Roman" w:hAnsi="Times New Roman" w:cs="Times New Roman"/>
                      <w:color w:val="auto"/>
                      <w:w w:val="100"/>
                      <w:sz w:val="21"/>
                      <w:szCs w:val="21"/>
                      <w:lang w:eastAsia="zh-CN"/>
                    </w:rPr>
                    <w:t>8</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bCs/>
                      <w:color w:val="auto"/>
                      <w:w w:val="100"/>
                      <w:sz w:val="21"/>
                      <w:szCs w:val="21"/>
                    </w:rPr>
                  </w:pPr>
                  <w:r>
                    <w:rPr>
                      <w:rFonts w:hint="eastAsia"/>
                      <w:bCs/>
                      <w:color w:val="auto"/>
                      <w:w w:val="100"/>
                      <w:sz w:val="21"/>
                      <w:szCs w:val="21"/>
                    </w:rPr>
                    <w:t>公称直径</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bCs/>
                      <w:color w:val="auto"/>
                      <w:w w:val="100"/>
                      <w:sz w:val="21"/>
                      <w:szCs w:val="21"/>
                    </w:rPr>
                    <w:t xml:space="preserve">φ </w:t>
                  </w:r>
                  <w:r>
                    <w:rPr>
                      <w:rFonts w:hint="eastAsia"/>
                      <w:bCs/>
                      <w:color w:val="auto"/>
                      <w:w w:val="100"/>
                      <w:sz w:val="21"/>
                      <w:szCs w:val="21"/>
                    </w:rPr>
                    <w:t>273</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bCs/>
                      <w:color w:val="auto"/>
                      <w:w w:val="100"/>
                      <w:sz w:val="21"/>
                      <w:szCs w:val="21"/>
                    </w:rPr>
                  </w:pPr>
                  <w:r>
                    <w:rPr>
                      <w:rFonts w:hint="eastAsia"/>
                      <w:bCs/>
                      <w:color w:val="auto"/>
                      <w:w w:val="100"/>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ascii="Times New Roman" w:hAnsi="Times New Roman" w:cs="Times New Roman"/>
                      <w:bCs/>
                      <w:color w:val="auto"/>
                      <w:sz w:val="21"/>
                      <w:szCs w:val="21"/>
                    </w:rPr>
                    <w:t>砂石分离</w:t>
                  </w:r>
                </w:p>
              </w:tc>
              <w:tc>
                <w:tcPr>
                  <w:tcW w:w="729"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ascii="Times New Roman" w:hAnsi="Times New Roman" w:cs="Times New Roman"/>
                      <w:bCs/>
                      <w:color w:val="auto"/>
                      <w:sz w:val="21"/>
                      <w:szCs w:val="21"/>
                    </w:rPr>
                    <w:t>砂石分离</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baseline"/>
                    <w:rPr>
                      <w:rFonts w:hint="eastAsia" w:ascii="Times New Roman" w:hAnsi="Times New Roman" w:cs="Times New Roman"/>
                      <w:bCs/>
                      <w:color w:val="auto"/>
                      <w:kern w:val="2"/>
                      <w:sz w:val="21"/>
                      <w:szCs w:val="21"/>
                      <w:lang w:val="en-US" w:eastAsia="zh-CN" w:bidi="ar-SA"/>
                    </w:rPr>
                  </w:pPr>
                  <w:r>
                    <w:rPr>
                      <w:rFonts w:ascii="Times New Roman" w:hAnsi="Times New Roman" w:cs="Times New Roman"/>
                      <w:color w:val="auto"/>
                      <w:kern w:val="0"/>
                      <w:sz w:val="21"/>
                      <w:szCs w:val="21"/>
                    </w:rPr>
                    <w:t>砂石分离机</w:t>
                  </w:r>
                </w:p>
              </w:tc>
              <w:tc>
                <w:tcPr>
                  <w:tcW w:w="88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baseline"/>
                    <w:rPr>
                      <w:rFonts w:hint="eastAsia" w:ascii="Times New Roman" w:hAnsi="Times New Roman" w:cs="Times New Roman"/>
                      <w:bCs/>
                      <w:color w:val="auto"/>
                      <w:kern w:val="2"/>
                      <w:sz w:val="21"/>
                      <w:szCs w:val="21"/>
                      <w:lang w:val="en-US" w:eastAsia="zh-CN" w:bidi="ar-SA"/>
                    </w:rPr>
                  </w:pPr>
                  <w:r>
                    <w:rPr>
                      <w:rFonts w:ascii="Times New Roman" w:hAnsi="Times New Roman" w:cs="Times New Roman"/>
                      <w:color w:val="auto"/>
                      <w:sz w:val="21"/>
                      <w:szCs w:val="21"/>
                    </w:rPr>
                    <w:t>1个</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hint="eastAsia" w:ascii="Times New Roman" w:hAnsi="Times New Roman" w:cs="Times New Roman"/>
                      <w:bCs/>
                      <w:color w:val="auto"/>
                      <w:sz w:val="21"/>
                      <w:szCs w:val="21"/>
                    </w:rPr>
                    <w:t>筛分</w:t>
                  </w:r>
                  <w:r>
                    <w:rPr>
                      <w:rFonts w:ascii="Times New Roman" w:hAnsi="Times New Roman" w:cs="Times New Roman"/>
                      <w:bCs/>
                      <w:color w:val="auto"/>
                      <w:sz w:val="21"/>
                      <w:szCs w:val="21"/>
                    </w:rPr>
                    <w:t>能力</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ascii="Times New Roman" w:hAnsi="Times New Roman" w:cs="Times New Roman"/>
                      <w:bCs/>
                      <w:color w:val="auto"/>
                      <w:kern w:val="2"/>
                      <w:sz w:val="21"/>
                      <w:szCs w:val="21"/>
                      <w:lang w:val="en-US" w:eastAsia="zh-CN" w:bidi="ar-SA"/>
                    </w:rPr>
                  </w:pPr>
                  <w:r>
                    <w:rPr>
                      <w:rFonts w:hint="eastAsia" w:ascii="Times New Roman" w:hAnsi="Times New Roman" w:cs="Times New Roman"/>
                      <w:bCs/>
                      <w:color w:val="auto"/>
                      <w:sz w:val="21"/>
                      <w:szCs w:val="21"/>
                    </w:rPr>
                    <w:t>30</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hint="eastAsia" w:ascii="Times New Roman" w:hAnsi="Times New Roman" w:cs="Times New Roman"/>
                      <w:bCs/>
                      <w:color w:val="auto"/>
                      <w:sz w:val="21"/>
                      <w:szCs w:val="21"/>
                    </w:rPr>
                    <w:t>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ascii="Times New Roman" w:hAnsi="Times New Roman" w:cs="Times New Roman"/>
                      <w:bCs/>
                      <w:color w:val="auto"/>
                      <w:sz w:val="21"/>
                      <w:szCs w:val="21"/>
                    </w:rPr>
                    <w:t>车辆冲洗</w:t>
                  </w:r>
                </w:p>
              </w:tc>
              <w:tc>
                <w:tcPr>
                  <w:tcW w:w="729"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ascii="Times New Roman" w:hAnsi="Times New Roman" w:cs="Times New Roman"/>
                      <w:bCs/>
                      <w:color w:val="auto"/>
                      <w:sz w:val="21"/>
                      <w:szCs w:val="21"/>
                    </w:rPr>
                    <w:t>车辆冲洗</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baseline"/>
                    <w:rPr>
                      <w:rFonts w:hint="eastAsia" w:ascii="Times New Roman" w:hAnsi="Times New Roman" w:cs="Times New Roman"/>
                      <w:color w:val="auto"/>
                      <w:kern w:val="2"/>
                      <w:sz w:val="21"/>
                      <w:szCs w:val="21"/>
                      <w:lang w:val="en-US" w:eastAsia="zh-CN" w:bidi="ar-SA"/>
                    </w:rPr>
                  </w:pPr>
                  <w:r>
                    <w:rPr>
                      <w:rFonts w:ascii="Times New Roman" w:hAnsi="Times New Roman" w:cs="Times New Roman"/>
                      <w:color w:val="auto"/>
                      <w:kern w:val="0"/>
                      <w:sz w:val="21"/>
                      <w:szCs w:val="21"/>
                    </w:rPr>
                    <w:t>洗车房</w:t>
                  </w:r>
                </w:p>
              </w:tc>
              <w:tc>
                <w:tcPr>
                  <w:tcW w:w="88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baseline"/>
                    <w:rPr>
                      <w:rFonts w:hint="eastAsia" w:ascii="Times New Roman" w:hAnsi="Times New Roman" w:cs="Times New Roman"/>
                      <w:bCs/>
                      <w:color w:val="auto"/>
                      <w:kern w:val="2"/>
                      <w:sz w:val="21"/>
                      <w:szCs w:val="21"/>
                      <w:lang w:val="en-US" w:eastAsia="zh-CN" w:bidi="ar-SA"/>
                    </w:rPr>
                  </w:pPr>
                  <w:r>
                    <w:rPr>
                      <w:rFonts w:ascii="Times New Roman" w:hAnsi="Times New Roman" w:cs="Times New Roman"/>
                      <w:color w:val="auto"/>
                      <w:sz w:val="21"/>
                      <w:szCs w:val="21"/>
                    </w:rPr>
                    <w:t>1个</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hint="eastAsia" w:ascii="Times New Roman" w:hAnsi="Times New Roman" w:cs="Times New Roman"/>
                      <w:bCs/>
                      <w:color w:val="auto"/>
                      <w:sz w:val="21"/>
                      <w:szCs w:val="21"/>
                    </w:rPr>
                    <w:t>规格</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ascii="Times New Roman" w:hAnsi="Times New Roman" w:cs="Times New Roman"/>
                      <w:bCs/>
                      <w:color w:val="auto"/>
                      <w:kern w:val="2"/>
                      <w:sz w:val="21"/>
                      <w:szCs w:val="21"/>
                      <w:lang w:val="en-US" w:eastAsia="zh-CN" w:bidi="ar-SA"/>
                    </w:rPr>
                  </w:pPr>
                  <w:r>
                    <w:rPr>
                      <w:rFonts w:ascii="Times New Roman" w:hAnsi="Times New Roman" w:cs="Times New Roman"/>
                      <w:bCs/>
                      <w:color w:val="auto"/>
                      <w:sz w:val="21"/>
                      <w:szCs w:val="21"/>
                    </w:rPr>
                    <w:t>4600*4600*5300</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ascii="Times New Roman" w:hAnsi="Times New Roman" w:cs="Times New Roman"/>
                      <w:bCs/>
                      <w:color w:val="auto"/>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ascii="Times New Roman" w:hAnsi="Times New Roman" w:cs="Times New Roman"/>
                      <w:bCs/>
                      <w:color w:val="auto"/>
                      <w:sz w:val="21"/>
                      <w:szCs w:val="21"/>
                    </w:rPr>
                    <w:t>厂区喷淋</w:t>
                  </w:r>
                </w:p>
              </w:tc>
              <w:tc>
                <w:tcPr>
                  <w:tcW w:w="729"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ascii="Times New Roman" w:hAnsi="Times New Roman" w:cs="Times New Roman"/>
                      <w:bCs/>
                      <w:color w:val="auto"/>
                      <w:sz w:val="21"/>
                      <w:szCs w:val="21"/>
                    </w:rPr>
                    <w:t>厂区喷淋</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baseline"/>
                    <w:rPr>
                      <w:rFonts w:hint="eastAsia" w:ascii="Times New Roman" w:hAnsi="Times New Roman" w:cs="Times New Roman"/>
                      <w:color w:val="auto"/>
                      <w:kern w:val="2"/>
                      <w:sz w:val="21"/>
                      <w:szCs w:val="21"/>
                      <w:lang w:val="en-US" w:eastAsia="zh-CN" w:bidi="ar-SA"/>
                    </w:rPr>
                  </w:pPr>
                  <w:r>
                    <w:rPr>
                      <w:rFonts w:ascii="Times New Roman" w:hAnsi="Times New Roman" w:cs="Times New Roman"/>
                      <w:color w:val="auto"/>
                      <w:kern w:val="0"/>
                      <w:sz w:val="21"/>
                      <w:szCs w:val="21"/>
                    </w:rPr>
                    <w:t>喷淋系统</w:t>
                  </w:r>
                </w:p>
              </w:tc>
              <w:tc>
                <w:tcPr>
                  <w:tcW w:w="88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baseline"/>
                    <w:rPr>
                      <w:rFonts w:hint="eastAsia" w:ascii="Times New Roman" w:hAnsi="Times New Roman" w:cs="Times New Roman"/>
                      <w:color w:val="auto"/>
                      <w:kern w:val="2"/>
                      <w:sz w:val="21"/>
                      <w:szCs w:val="21"/>
                      <w:lang w:val="en-US" w:eastAsia="zh-CN" w:bidi="ar-SA"/>
                    </w:rPr>
                  </w:pPr>
                  <w:r>
                    <w:rPr>
                      <w:rFonts w:ascii="Times New Roman" w:hAnsi="Times New Roman" w:cs="Times New Roman"/>
                      <w:color w:val="auto"/>
                      <w:sz w:val="21"/>
                      <w:szCs w:val="21"/>
                    </w:rPr>
                    <w:t>1套</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ascii="Times New Roman" w:hAnsi="Times New Roman" w:cs="Times New Roman"/>
                      <w:bCs/>
                      <w:color w:val="auto"/>
                      <w:sz w:val="21"/>
                      <w:szCs w:val="21"/>
                    </w:rPr>
                    <w:t>/</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ascii="Times New Roman" w:hAnsi="Times New Roman" w:cs="Times New Roman"/>
                      <w:bCs/>
                      <w:color w:val="auto"/>
                      <w:kern w:val="2"/>
                      <w:sz w:val="21"/>
                      <w:szCs w:val="21"/>
                      <w:lang w:val="en-US" w:eastAsia="zh-CN" w:bidi="ar-SA"/>
                    </w:rPr>
                  </w:pPr>
                  <w:r>
                    <w:rPr>
                      <w:rFonts w:ascii="Times New Roman" w:hAnsi="Times New Roman" w:cs="Times New Roman"/>
                      <w:bCs/>
                      <w:color w:val="auto"/>
                      <w:sz w:val="21"/>
                      <w:szCs w:val="21"/>
                    </w:rPr>
                    <w:t>/</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ascii="Times New Roman" w:hAnsi="Times New Roman" w:cs="Times New Roman"/>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hint="eastAsia" w:ascii="Times New Roman" w:hAnsi="Times New Roman" w:cs="Times New Roman"/>
                      <w:bCs/>
                      <w:color w:val="auto"/>
                      <w:sz w:val="21"/>
                      <w:szCs w:val="21"/>
                    </w:rPr>
                    <w:t>试验</w:t>
                  </w:r>
                </w:p>
              </w:tc>
              <w:tc>
                <w:tcPr>
                  <w:tcW w:w="729"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hint="eastAsia" w:ascii="Times New Roman" w:hAnsi="Times New Roman" w:cs="Times New Roman"/>
                      <w:bCs/>
                      <w:color w:val="auto"/>
                      <w:sz w:val="21"/>
                      <w:szCs w:val="21"/>
                    </w:rPr>
                    <w:t>试验</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baseline"/>
                    <w:rPr>
                      <w:rFonts w:hint="eastAsia" w:ascii="Times New Roman" w:hAnsi="Times New Roman" w:cs="Times New Roman"/>
                      <w:color w:val="auto"/>
                      <w:kern w:val="2"/>
                      <w:sz w:val="21"/>
                      <w:szCs w:val="21"/>
                      <w:lang w:val="en-US" w:eastAsia="zh-CN" w:bidi="ar-SA"/>
                    </w:rPr>
                  </w:pPr>
                  <w:r>
                    <w:rPr>
                      <w:rFonts w:ascii="Times New Roman" w:hAnsi="Times New Roman" w:cs="Times New Roman"/>
                      <w:color w:val="auto"/>
                      <w:kern w:val="0"/>
                      <w:sz w:val="21"/>
                      <w:szCs w:val="21"/>
                    </w:rPr>
                    <w:t>试验室设备</w:t>
                  </w:r>
                </w:p>
              </w:tc>
              <w:tc>
                <w:tcPr>
                  <w:tcW w:w="88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baseline"/>
                    <w:rPr>
                      <w:rFonts w:hint="eastAsia" w:ascii="Times New Roman" w:hAnsi="Times New Roman" w:cs="Times New Roman"/>
                      <w:color w:val="auto"/>
                      <w:kern w:val="2"/>
                      <w:sz w:val="21"/>
                      <w:szCs w:val="21"/>
                      <w:lang w:val="en-US" w:eastAsia="zh-CN" w:bidi="ar-SA"/>
                    </w:rPr>
                  </w:pPr>
                  <w:r>
                    <w:rPr>
                      <w:rFonts w:ascii="Times New Roman" w:hAnsi="Times New Roman" w:cs="Times New Roman"/>
                      <w:color w:val="auto"/>
                      <w:sz w:val="21"/>
                      <w:szCs w:val="21"/>
                    </w:rPr>
                    <w:t>1套</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hint="eastAsia" w:ascii="Times New Roman" w:hAnsi="Times New Roman" w:cs="Times New Roman"/>
                      <w:bCs/>
                      <w:color w:val="auto"/>
                      <w:sz w:val="21"/>
                      <w:szCs w:val="21"/>
                    </w:rPr>
                    <w:t>/</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hint="eastAsia" w:ascii="Times New Roman" w:hAnsi="Times New Roman" w:cs="Times New Roman"/>
                      <w:bCs/>
                      <w:color w:val="auto"/>
                      <w:sz w:val="21"/>
                      <w:szCs w:val="21"/>
                    </w:rPr>
                    <w:t>/</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hint="eastAsia" w:ascii="Times New Roman" w:hAnsi="Times New Roman" w:cs="Times New Roman"/>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hint="eastAsia" w:ascii="Times New Roman" w:hAnsi="Times New Roman" w:cs="Times New Roman"/>
                      <w:bCs/>
                      <w:color w:val="auto"/>
                      <w:sz w:val="21"/>
                      <w:szCs w:val="21"/>
                    </w:rPr>
                    <w:t>污水处理</w:t>
                  </w:r>
                </w:p>
              </w:tc>
              <w:tc>
                <w:tcPr>
                  <w:tcW w:w="729"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hint="eastAsia" w:ascii="Times New Roman" w:hAnsi="Times New Roman" w:cs="Times New Roman"/>
                      <w:bCs/>
                      <w:color w:val="auto"/>
                      <w:sz w:val="21"/>
                      <w:szCs w:val="21"/>
                    </w:rPr>
                    <w:t>污水处理</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baseline"/>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沉淀池</w:t>
                  </w:r>
                </w:p>
              </w:tc>
              <w:tc>
                <w:tcPr>
                  <w:tcW w:w="88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baseline"/>
                    <w:rPr>
                      <w:rFonts w:hint="eastAsia" w:ascii="Times New Roman" w:hAnsi="Times New Roman" w:cs="Times New Roman"/>
                      <w:color w:val="auto"/>
                      <w:kern w:val="2"/>
                      <w:sz w:val="21"/>
                      <w:szCs w:val="21"/>
                      <w:lang w:val="en-US" w:eastAsia="zh-CN" w:bidi="ar-SA"/>
                    </w:rPr>
                  </w:pPr>
                  <w:r>
                    <w:rPr>
                      <w:rFonts w:ascii="Times New Roman" w:hAnsi="Times New Roman" w:cs="Times New Roman"/>
                      <w:color w:val="auto"/>
                      <w:sz w:val="21"/>
                      <w:szCs w:val="21"/>
                    </w:rPr>
                    <w:t>1套</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ascii="Times New Roman" w:hAnsi="Times New Roman" w:cs="Times New Roman"/>
                      <w:bCs/>
                      <w:color w:val="auto"/>
                      <w:sz w:val="21"/>
                      <w:szCs w:val="21"/>
                    </w:rPr>
                    <w:t>容积</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ascii="Times New Roman" w:hAnsi="Times New Roman" w:cs="Times New Roman"/>
                      <w:bCs/>
                      <w:color w:val="auto"/>
                      <w:kern w:val="2"/>
                      <w:sz w:val="21"/>
                      <w:szCs w:val="21"/>
                      <w:lang w:val="en-US" w:eastAsia="zh-CN" w:bidi="ar-SA"/>
                    </w:rPr>
                  </w:pPr>
                  <w:r>
                    <w:rPr>
                      <w:rFonts w:hint="eastAsia" w:ascii="Times New Roman" w:hAnsi="Times New Roman" w:cs="Times New Roman"/>
                      <w:bCs/>
                      <w:color w:val="auto"/>
                      <w:sz w:val="21"/>
                      <w:szCs w:val="21"/>
                    </w:rPr>
                    <w:t>30</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ascii="Times New Roman" w:hAnsi="Times New Roman" w:cs="Times New Roman"/>
                      <w:bCs/>
                      <w:color w:val="auto"/>
                      <w:sz w:val="21"/>
                      <w:szCs w:val="21"/>
                    </w:rPr>
                    <w:t>m</w:t>
                  </w:r>
                  <w:r>
                    <w:rPr>
                      <w:rFonts w:ascii="Times New Roman" w:hAnsi="Times New Roman" w:cs="Times New Roman"/>
                      <w:bCs/>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ascii="Times New Roman" w:hAnsi="Times New Roman" w:cs="Times New Roman"/>
                      <w:bCs/>
                      <w:color w:val="auto"/>
                      <w:sz w:val="21"/>
                      <w:szCs w:val="21"/>
                    </w:rPr>
                    <w:t>/</w:t>
                  </w:r>
                </w:p>
              </w:tc>
              <w:tc>
                <w:tcPr>
                  <w:tcW w:w="729"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ascii="Times New Roman" w:hAnsi="Times New Roman" w:cs="Times New Roman"/>
                      <w:bCs/>
                      <w:color w:val="auto"/>
                      <w:sz w:val="21"/>
                      <w:szCs w:val="21"/>
                    </w:rPr>
                    <w:t>/</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baseline"/>
                    <w:rPr>
                      <w:rFonts w:hint="eastAsia" w:ascii="Times New Roman" w:hAnsi="Times New Roman" w:cs="Times New Roman"/>
                      <w:bCs/>
                      <w:color w:val="auto"/>
                      <w:kern w:val="2"/>
                      <w:sz w:val="21"/>
                      <w:szCs w:val="21"/>
                      <w:lang w:val="en-US" w:eastAsia="zh-CN" w:bidi="ar-SA"/>
                    </w:rPr>
                  </w:pPr>
                  <w:r>
                    <w:rPr>
                      <w:rFonts w:ascii="Times New Roman" w:hAnsi="Times New Roman" w:cs="Times New Roman"/>
                      <w:color w:val="auto"/>
                      <w:kern w:val="0"/>
                      <w:sz w:val="21"/>
                      <w:szCs w:val="21"/>
                    </w:rPr>
                    <w:t>地磅</w:t>
                  </w:r>
                </w:p>
              </w:tc>
              <w:tc>
                <w:tcPr>
                  <w:tcW w:w="88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baseline"/>
                    <w:rPr>
                      <w:rFonts w:hint="eastAsia" w:ascii="Times New Roman" w:hAnsi="Times New Roman" w:cs="Times New Roman"/>
                      <w:bCs/>
                      <w:color w:val="auto"/>
                      <w:kern w:val="2"/>
                      <w:sz w:val="21"/>
                      <w:szCs w:val="21"/>
                      <w:lang w:val="en-US" w:eastAsia="zh-CN" w:bidi="ar-SA"/>
                    </w:rPr>
                  </w:pPr>
                  <w:r>
                    <w:rPr>
                      <w:rFonts w:ascii="Times New Roman" w:hAnsi="Times New Roman" w:cs="Times New Roman"/>
                      <w:color w:val="auto"/>
                      <w:sz w:val="21"/>
                      <w:szCs w:val="21"/>
                    </w:rPr>
                    <w:t>2个</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ascii="Times New Roman" w:hAnsi="Times New Roman" w:cs="Times New Roman"/>
                      <w:bCs/>
                      <w:color w:val="auto"/>
                      <w:sz w:val="21"/>
                      <w:szCs w:val="21"/>
                    </w:rPr>
                    <w:t>吨位</w:t>
                  </w:r>
                </w:p>
              </w:tc>
              <w:tc>
                <w:tcPr>
                  <w:tcW w:w="64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ascii="Times New Roman" w:hAnsi="Times New Roman" w:cs="Times New Roman"/>
                      <w:bCs/>
                      <w:color w:val="auto"/>
                      <w:kern w:val="2"/>
                      <w:sz w:val="21"/>
                      <w:szCs w:val="21"/>
                      <w:lang w:val="en-US" w:eastAsia="zh-CN" w:bidi="ar-SA"/>
                    </w:rPr>
                  </w:pPr>
                  <w:r>
                    <w:rPr>
                      <w:rFonts w:ascii="Times New Roman" w:hAnsi="Times New Roman" w:cs="Times New Roman"/>
                      <w:bCs/>
                      <w:color w:val="auto"/>
                      <w:sz w:val="21"/>
                      <w:szCs w:val="21"/>
                    </w:rPr>
                    <w:t>200</w:t>
                  </w:r>
                </w:p>
              </w:tc>
              <w:tc>
                <w:tcPr>
                  <w:tcW w:w="48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eastAsia" w:ascii="Times New Roman" w:hAnsi="Times New Roman" w:cs="Times New Roman"/>
                      <w:bCs/>
                      <w:color w:val="auto"/>
                      <w:kern w:val="2"/>
                      <w:sz w:val="21"/>
                      <w:szCs w:val="21"/>
                      <w:lang w:val="en-US" w:eastAsia="zh-CN" w:bidi="ar-SA"/>
                    </w:rPr>
                  </w:pPr>
                  <w:r>
                    <w:rPr>
                      <w:rFonts w:ascii="Times New Roman" w:hAnsi="Times New Roman" w:cs="Times New Roman"/>
                      <w:bCs/>
                      <w:color w:val="auto"/>
                      <w:sz w:val="21"/>
                      <w:szCs w:val="21"/>
                    </w:rPr>
                    <w:t>t</w:t>
                  </w:r>
                </w:p>
              </w:tc>
            </w:tr>
          </w:tbl>
          <w:p>
            <w:pPr>
              <w:widowControl/>
              <w:adjustRightInd w:val="0"/>
              <w:snapToGrid w:val="0"/>
              <w:spacing w:before="120" w:beforeLines="50" w:line="360" w:lineRule="auto"/>
              <w:textAlignment w:val="center"/>
              <w:rPr>
                <w:b/>
                <w:kern w:val="0"/>
              </w:rPr>
            </w:pPr>
            <w:r>
              <w:rPr>
                <w:rFonts w:hint="eastAsia"/>
                <w:b/>
                <w:kern w:val="0"/>
              </w:rPr>
              <w:t>4</w:t>
            </w:r>
            <w:r>
              <w:rPr>
                <w:b/>
                <w:kern w:val="0"/>
              </w:rPr>
              <w:t>、原辅料及能源消耗</w:t>
            </w:r>
          </w:p>
          <w:p>
            <w:pPr>
              <w:pStyle w:val="64"/>
              <w:spacing w:before="0" w:beforeAutospacing="0" w:after="0" w:afterAutospacing="0" w:line="360" w:lineRule="auto"/>
              <w:ind w:firstLine="480" w:firstLineChars="200"/>
              <w:rPr>
                <w:rFonts w:ascii="Times New Roman" w:hAnsi="Times New Roman"/>
                <w:b/>
                <w:bCs/>
              </w:rPr>
            </w:pPr>
            <w:r>
              <w:rPr>
                <w:rFonts w:ascii="Times New Roman" w:hAnsi="Times New Roman"/>
              </w:rPr>
              <w:t>本项目原辅材料及能源消耗情况如下表所示：</w:t>
            </w:r>
          </w:p>
          <w:p>
            <w:pPr>
              <w:pStyle w:val="64"/>
              <w:spacing w:before="0" w:beforeAutospacing="0" w:after="0" w:afterAutospacing="0"/>
              <w:jc w:val="center"/>
              <w:rPr>
                <w:b/>
              </w:rPr>
            </w:pPr>
            <w:r>
              <w:rPr>
                <w:rFonts w:ascii="Times New Roman" w:hAnsi="Times New Roman"/>
                <w:b/>
                <w:bCs/>
              </w:rPr>
              <w:t>表</w:t>
            </w:r>
            <w:r>
              <w:rPr>
                <w:rFonts w:hint="eastAsia" w:ascii="Times New Roman" w:hAnsi="Times New Roman"/>
                <w:b/>
                <w:bCs/>
              </w:rPr>
              <w:t>2.4</w:t>
            </w:r>
            <w:r>
              <w:rPr>
                <w:rFonts w:ascii="Times New Roman" w:hAnsi="Times New Roman"/>
                <w:b/>
                <w:bCs/>
              </w:rPr>
              <w:t xml:space="preserve"> </w:t>
            </w:r>
            <w:r>
              <w:rPr>
                <w:rFonts w:hint="eastAsia" w:ascii="Times New Roman" w:hAnsi="Times New Roman"/>
                <w:b/>
                <w:bCs/>
                <w:lang w:val="en-US" w:eastAsia="zh-CN"/>
              </w:rPr>
              <w:t xml:space="preserve"> </w:t>
            </w:r>
            <w:r>
              <w:rPr>
                <w:rFonts w:ascii="Times New Roman" w:hAnsi="Times New Roman"/>
                <w:b/>
                <w:bCs/>
              </w:rPr>
              <w:t>主要原辅材料及能源消耗一览表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086"/>
              <w:gridCol w:w="1329"/>
              <w:gridCol w:w="1483"/>
              <w:gridCol w:w="931"/>
              <w:gridCol w:w="1095"/>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dxa"/>
                  <w:tcBorders>
                    <w:top w:val="single" w:color="auto" w:sz="4" w:space="0"/>
                    <w:left w:val="single" w:color="auto" w:sz="4" w:space="0"/>
                    <w:right w:val="single" w:color="auto" w:sz="4" w:space="0"/>
                  </w:tcBorders>
                  <w:vAlign w:val="center"/>
                </w:tcPr>
                <w:p>
                  <w:pPr>
                    <w:adjustRightInd w:val="0"/>
                    <w:snapToGrid w:val="0"/>
                    <w:jc w:val="center"/>
                    <w:rPr>
                      <w:b/>
                      <w:bCs/>
                      <w:sz w:val="21"/>
                      <w:szCs w:val="21"/>
                    </w:rPr>
                  </w:pPr>
                  <w:r>
                    <w:rPr>
                      <w:b/>
                      <w:bCs/>
                      <w:color w:val="000000"/>
                      <w:sz w:val="21"/>
                      <w:szCs w:val="21"/>
                    </w:rPr>
                    <w:t>类别</w:t>
                  </w:r>
                </w:p>
              </w:tc>
              <w:tc>
                <w:tcPr>
                  <w:tcW w:w="1086" w:type="dxa"/>
                  <w:tcBorders>
                    <w:top w:val="single" w:color="auto" w:sz="4" w:space="0"/>
                    <w:left w:val="nil"/>
                    <w:right w:val="single" w:color="auto" w:sz="4" w:space="0"/>
                  </w:tcBorders>
                  <w:vAlign w:val="center"/>
                </w:tcPr>
                <w:p>
                  <w:pPr>
                    <w:adjustRightInd w:val="0"/>
                    <w:snapToGrid w:val="0"/>
                    <w:jc w:val="center"/>
                    <w:rPr>
                      <w:b/>
                      <w:bCs/>
                      <w:sz w:val="21"/>
                      <w:szCs w:val="21"/>
                    </w:rPr>
                  </w:pPr>
                  <w:r>
                    <w:rPr>
                      <w:b/>
                      <w:bCs/>
                      <w:color w:val="000000"/>
                      <w:sz w:val="21"/>
                      <w:szCs w:val="21"/>
                    </w:rPr>
                    <w:t>名称</w:t>
                  </w:r>
                </w:p>
              </w:tc>
              <w:tc>
                <w:tcPr>
                  <w:tcW w:w="1329" w:type="dxa"/>
                  <w:tcBorders>
                    <w:top w:val="single" w:color="auto" w:sz="4" w:space="0"/>
                    <w:left w:val="nil"/>
                    <w:bottom w:val="single" w:color="auto" w:sz="4" w:space="0"/>
                    <w:right w:val="single" w:color="auto" w:sz="4" w:space="0"/>
                  </w:tcBorders>
                  <w:vAlign w:val="center"/>
                </w:tcPr>
                <w:p>
                  <w:pPr>
                    <w:jc w:val="center"/>
                    <w:rPr>
                      <w:rFonts w:hint="eastAsia" w:eastAsia="宋体"/>
                      <w:b/>
                      <w:sz w:val="21"/>
                      <w:szCs w:val="21"/>
                      <w:lang w:eastAsia="zh-CN" w:bidi="ar"/>
                    </w:rPr>
                  </w:pPr>
                  <w:r>
                    <w:rPr>
                      <w:b/>
                      <w:sz w:val="21"/>
                      <w:szCs w:val="21"/>
                      <w:lang w:bidi="ar"/>
                    </w:rPr>
                    <w:t>消耗量</w:t>
                  </w:r>
                  <w:r>
                    <w:rPr>
                      <w:rFonts w:hint="eastAsia"/>
                      <w:b/>
                      <w:sz w:val="21"/>
                      <w:szCs w:val="21"/>
                      <w:lang w:eastAsia="zh-CN" w:bidi="ar"/>
                    </w:rPr>
                    <w:t>（</w:t>
                  </w:r>
                  <w:r>
                    <w:rPr>
                      <w:rFonts w:hint="eastAsia"/>
                      <w:b/>
                      <w:sz w:val="21"/>
                      <w:szCs w:val="21"/>
                      <w:lang w:val="en-US" w:eastAsia="zh-CN" w:bidi="ar"/>
                    </w:rPr>
                    <w:t>t/a</w:t>
                  </w:r>
                  <w:r>
                    <w:rPr>
                      <w:rFonts w:hint="eastAsia"/>
                      <w:b/>
                      <w:sz w:val="21"/>
                      <w:szCs w:val="21"/>
                      <w:lang w:eastAsia="zh-CN" w:bidi="ar"/>
                    </w:rPr>
                    <w:t>）</w:t>
                  </w:r>
                </w:p>
              </w:tc>
              <w:tc>
                <w:tcPr>
                  <w:tcW w:w="1483" w:type="dxa"/>
                  <w:tcBorders>
                    <w:top w:val="single" w:color="auto" w:sz="4" w:space="0"/>
                    <w:left w:val="nil"/>
                    <w:right w:val="single" w:color="auto" w:sz="4" w:space="0"/>
                  </w:tcBorders>
                  <w:vAlign w:val="center"/>
                </w:tcPr>
                <w:p>
                  <w:pPr>
                    <w:jc w:val="center"/>
                    <w:rPr>
                      <w:rFonts w:hint="eastAsia" w:eastAsia="宋体"/>
                      <w:b/>
                      <w:sz w:val="21"/>
                      <w:szCs w:val="21"/>
                      <w:lang w:eastAsia="zh-CN" w:bidi="ar"/>
                    </w:rPr>
                  </w:pPr>
                  <w:r>
                    <w:rPr>
                      <w:rFonts w:hint="eastAsia"/>
                      <w:b/>
                      <w:sz w:val="21"/>
                      <w:szCs w:val="21"/>
                      <w:lang w:bidi="ar"/>
                    </w:rPr>
                    <w:t>最大储存量</w:t>
                  </w:r>
                  <w:r>
                    <w:rPr>
                      <w:rFonts w:hint="eastAsia"/>
                      <w:b/>
                      <w:sz w:val="21"/>
                      <w:szCs w:val="21"/>
                      <w:lang w:eastAsia="zh-CN" w:bidi="ar"/>
                    </w:rPr>
                    <w:t>（</w:t>
                  </w:r>
                  <w:r>
                    <w:rPr>
                      <w:rFonts w:hint="eastAsia"/>
                      <w:b/>
                      <w:sz w:val="21"/>
                      <w:szCs w:val="21"/>
                      <w:lang w:val="en-US" w:eastAsia="zh-CN" w:bidi="ar"/>
                    </w:rPr>
                    <w:t>t/a</w:t>
                  </w:r>
                  <w:r>
                    <w:rPr>
                      <w:rFonts w:hint="eastAsia"/>
                      <w:b/>
                      <w:sz w:val="21"/>
                      <w:szCs w:val="21"/>
                      <w:lang w:eastAsia="zh-CN" w:bidi="ar"/>
                    </w:rPr>
                    <w:t>）</w:t>
                  </w:r>
                </w:p>
              </w:tc>
              <w:tc>
                <w:tcPr>
                  <w:tcW w:w="931" w:type="dxa"/>
                  <w:tcBorders>
                    <w:top w:val="single" w:color="auto" w:sz="4" w:space="0"/>
                    <w:left w:val="nil"/>
                    <w:right w:val="single" w:color="auto" w:sz="4" w:space="0"/>
                  </w:tcBorders>
                  <w:vAlign w:val="center"/>
                </w:tcPr>
                <w:p>
                  <w:pPr>
                    <w:jc w:val="center"/>
                    <w:rPr>
                      <w:rFonts w:hint="default" w:eastAsia="宋体"/>
                      <w:b/>
                      <w:sz w:val="21"/>
                      <w:szCs w:val="21"/>
                      <w:lang w:val="en-US" w:eastAsia="zh-CN" w:bidi="ar"/>
                    </w:rPr>
                  </w:pPr>
                  <w:r>
                    <w:rPr>
                      <w:rFonts w:hint="eastAsia"/>
                      <w:b/>
                      <w:sz w:val="21"/>
                      <w:szCs w:val="21"/>
                      <w:lang w:val="en-US" w:eastAsia="zh-CN" w:bidi="ar"/>
                    </w:rPr>
                    <w:t>最大储存天数</w:t>
                  </w:r>
                </w:p>
              </w:tc>
              <w:tc>
                <w:tcPr>
                  <w:tcW w:w="1095" w:type="dxa"/>
                  <w:tcBorders>
                    <w:top w:val="single" w:color="auto" w:sz="4" w:space="0"/>
                    <w:left w:val="nil"/>
                    <w:right w:val="single" w:color="auto" w:sz="4" w:space="0"/>
                  </w:tcBorders>
                  <w:vAlign w:val="center"/>
                </w:tcPr>
                <w:p>
                  <w:pPr>
                    <w:jc w:val="center"/>
                    <w:rPr>
                      <w:rFonts w:hint="default"/>
                      <w:b/>
                      <w:sz w:val="21"/>
                      <w:szCs w:val="21"/>
                      <w:lang w:val="en-US" w:eastAsia="zh-CN" w:bidi="ar"/>
                    </w:rPr>
                  </w:pPr>
                  <w:r>
                    <w:rPr>
                      <w:rFonts w:hint="eastAsia"/>
                      <w:b/>
                      <w:sz w:val="21"/>
                      <w:szCs w:val="21"/>
                      <w:lang w:val="en-US" w:eastAsia="zh-CN" w:bidi="ar"/>
                    </w:rPr>
                    <w:t>储存位置</w:t>
                  </w:r>
                </w:p>
              </w:tc>
              <w:tc>
                <w:tcPr>
                  <w:tcW w:w="1126" w:type="dxa"/>
                  <w:tcBorders>
                    <w:top w:val="single" w:color="auto" w:sz="4" w:space="0"/>
                    <w:left w:val="nil"/>
                    <w:right w:val="single" w:color="auto" w:sz="4" w:space="0"/>
                  </w:tcBorders>
                  <w:vAlign w:val="center"/>
                </w:tcPr>
                <w:p>
                  <w:pPr>
                    <w:jc w:val="center"/>
                    <w:rPr>
                      <w:rFonts w:hint="eastAsia" w:eastAsia="宋体"/>
                      <w:b/>
                      <w:sz w:val="21"/>
                      <w:szCs w:val="21"/>
                      <w:lang w:val="en-US" w:eastAsia="zh-CN" w:bidi="ar"/>
                    </w:rPr>
                  </w:pPr>
                  <w:r>
                    <w:rPr>
                      <w:rFonts w:hint="eastAsia"/>
                      <w:b/>
                      <w:sz w:val="21"/>
                      <w:szCs w:val="21"/>
                      <w:lang w:val="en-US" w:eastAsia="zh-CN" w:bidi="ar"/>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dxa"/>
                  <w:vMerge w:val="restart"/>
                  <w:tcBorders>
                    <w:top w:val="single" w:color="auto" w:sz="4" w:space="0"/>
                    <w:left w:val="single" w:color="auto" w:sz="4" w:space="0"/>
                    <w:right w:val="single" w:color="auto" w:sz="4" w:space="0"/>
                  </w:tcBorders>
                  <w:vAlign w:val="center"/>
                </w:tcPr>
                <w:p>
                  <w:pPr>
                    <w:adjustRightInd w:val="0"/>
                    <w:snapToGrid w:val="0"/>
                    <w:jc w:val="center"/>
                    <w:rPr>
                      <w:bCs/>
                      <w:color w:val="auto"/>
                      <w:kern w:val="0"/>
                      <w:sz w:val="21"/>
                      <w:szCs w:val="21"/>
                    </w:rPr>
                  </w:pPr>
                  <w:r>
                    <w:rPr>
                      <w:color w:val="auto"/>
                      <w:sz w:val="21"/>
                      <w:szCs w:val="21"/>
                    </w:rPr>
                    <w:t>原辅料</w:t>
                  </w:r>
                </w:p>
              </w:tc>
              <w:tc>
                <w:tcPr>
                  <w:tcW w:w="1086"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水泥</w:t>
                  </w:r>
                </w:p>
              </w:tc>
              <w:tc>
                <w:tcPr>
                  <w:tcW w:w="1329"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Fonts w:hint="default" w:eastAsia="宋体"/>
                      <w:color w:val="auto"/>
                      <w:sz w:val="21"/>
                      <w:szCs w:val="21"/>
                      <w:lang w:val="en-US" w:eastAsia="zh-CN"/>
                    </w:rPr>
                  </w:pPr>
                  <w:r>
                    <w:rPr>
                      <w:rFonts w:hint="eastAsia"/>
                      <w:color w:val="auto"/>
                      <w:sz w:val="21"/>
                      <w:szCs w:val="21"/>
                      <w:lang w:val="en-US" w:eastAsia="zh-CN"/>
                    </w:rPr>
                    <w:t>17.5万</w:t>
                  </w:r>
                </w:p>
              </w:tc>
              <w:tc>
                <w:tcPr>
                  <w:tcW w:w="1483"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eastAsia="宋体"/>
                      <w:color w:val="auto"/>
                      <w:kern w:val="0"/>
                      <w:sz w:val="21"/>
                      <w:szCs w:val="21"/>
                      <w:lang w:val="en-US" w:eastAsia="zh-CN"/>
                    </w:rPr>
                  </w:pPr>
                  <w:r>
                    <w:rPr>
                      <w:rFonts w:hint="eastAsia"/>
                      <w:color w:val="auto"/>
                      <w:kern w:val="0"/>
                      <w:sz w:val="21"/>
                      <w:szCs w:val="21"/>
                      <w:lang w:val="en-US" w:eastAsia="zh-CN"/>
                    </w:rPr>
                    <w:t>1000</w:t>
                  </w:r>
                </w:p>
              </w:tc>
              <w:tc>
                <w:tcPr>
                  <w:tcW w:w="931"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eastAsia="宋体"/>
                      <w:color w:val="auto"/>
                      <w:kern w:val="0"/>
                      <w:sz w:val="21"/>
                      <w:szCs w:val="21"/>
                      <w:lang w:val="en-US" w:eastAsia="zh-CN"/>
                    </w:rPr>
                  </w:pPr>
                  <w:r>
                    <w:rPr>
                      <w:rFonts w:hint="eastAsia"/>
                      <w:color w:val="auto"/>
                      <w:kern w:val="0"/>
                      <w:sz w:val="21"/>
                      <w:szCs w:val="21"/>
                      <w:lang w:val="en-US" w:eastAsia="zh-CN"/>
                    </w:rPr>
                    <w:t>30天</w:t>
                  </w:r>
                </w:p>
              </w:tc>
              <w:tc>
                <w:tcPr>
                  <w:tcW w:w="1095"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color w:val="auto"/>
                      <w:kern w:val="0"/>
                      <w:sz w:val="21"/>
                      <w:szCs w:val="21"/>
                      <w:lang w:val="en-US" w:eastAsia="zh-CN"/>
                    </w:rPr>
                  </w:pPr>
                  <w:r>
                    <w:rPr>
                      <w:rFonts w:hint="eastAsia"/>
                      <w:color w:val="auto"/>
                      <w:kern w:val="0"/>
                      <w:sz w:val="21"/>
                      <w:szCs w:val="21"/>
                      <w:lang w:val="en-US" w:eastAsia="zh-CN"/>
                    </w:rPr>
                    <w:t>粉料罐</w:t>
                  </w:r>
                </w:p>
              </w:tc>
              <w:tc>
                <w:tcPr>
                  <w:tcW w:w="1126"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eastAsia="宋体"/>
                      <w:color w:val="auto"/>
                      <w:kern w:val="0"/>
                      <w:sz w:val="21"/>
                      <w:szCs w:val="21"/>
                      <w:lang w:val="en-US" w:eastAsia="zh-CN"/>
                    </w:rPr>
                  </w:pPr>
                  <w:r>
                    <w:rPr>
                      <w:rFonts w:hint="eastAsia"/>
                      <w:color w:val="auto"/>
                      <w:kern w:val="0"/>
                      <w:sz w:val="21"/>
                      <w:szCs w:val="21"/>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dxa"/>
                  <w:vMerge w:val="continue"/>
                  <w:tcBorders>
                    <w:left w:val="single" w:color="auto" w:sz="4" w:space="0"/>
                    <w:right w:val="single" w:color="auto" w:sz="4" w:space="0"/>
                  </w:tcBorders>
                  <w:vAlign w:val="bottom"/>
                </w:tcPr>
                <w:p>
                  <w:pPr>
                    <w:jc w:val="center"/>
                    <w:rPr>
                      <w:bCs/>
                      <w:color w:val="auto"/>
                      <w:kern w:val="0"/>
                      <w:sz w:val="21"/>
                      <w:szCs w:val="21"/>
                    </w:rPr>
                  </w:pPr>
                </w:p>
              </w:tc>
              <w:tc>
                <w:tcPr>
                  <w:tcW w:w="1086"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eastAsia="宋体"/>
                      <w:bCs/>
                      <w:color w:val="auto"/>
                      <w:kern w:val="0"/>
                      <w:sz w:val="21"/>
                      <w:szCs w:val="21"/>
                      <w:lang w:val="en-US" w:eastAsia="zh-CN"/>
                    </w:rPr>
                  </w:pPr>
                  <w:r>
                    <w:rPr>
                      <w:rFonts w:hint="eastAsia"/>
                      <w:bCs/>
                      <w:color w:val="auto"/>
                      <w:kern w:val="0"/>
                      <w:sz w:val="21"/>
                      <w:szCs w:val="21"/>
                      <w:lang w:val="en-US" w:eastAsia="zh-CN"/>
                    </w:rPr>
                    <w:t>粉煤灰</w:t>
                  </w:r>
                </w:p>
              </w:tc>
              <w:tc>
                <w:tcPr>
                  <w:tcW w:w="1329"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Fonts w:hint="default" w:eastAsia="宋体"/>
                      <w:color w:val="auto"/>
                      <w:sz w:val="21"/>
                      <w:szCs w:val="21"/>
                      <w:lang w:val="en-US" w:eastAsia="zh-CN"/>
                    </w:rPr>
                  </w:pPr>
                  <w:r>
                    <w:rPr>
                      <w:rFonts w:hint="eastAsia"/>
                      <w:color w:val="auto"/>
                      <w:sz w:val="21"/>
                      <w:szCs w:val="21"/>
                      <w:lang w:val="en-US" w:eastAsia="zh-CN"/>
                    </w:rPr>
                    <w:t>4万</w:t>
                  </w:r>
                </w:p>
              </w:tc>
              <w:tc>
                <w:tcPr>
                  <w:tcW w:w="1483"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eastAsia="宋体"/>
                      <w:color w:val="auto"/>
                      <w:kern w:val="0"/>
                      <w:sz w:val="21"/>
                      <w:szCs w:val="21"/>
                      <w:lang w:val="en-US" w:eastAsia="zh-CN"/>
                    </w:rPr>
                  </w:pPr>
                  <w:r>
                    <w:rPr>
                      <w:rFonts w:hint="eastAsia"/>
                      <w:color w:val="auto"/>
                      <w:kern w:val="0"/>
                      <w:sz w:val="21"/>
                      <w:szCs w:val="21"/>
                      <w:lang w:val="en-US" w:eastAsia="zh-CN"/>
                    </w:rPr>
                    <w:t>500</w:t>
                  </w:r>
                </w:p>
              </w:tc>
              <w:tc>
                <w:tcPr>
                  <w:tcW w:w="931"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eastAsia="宋体"/>
                      <w:color w:val="auto"/>
                      <w:kern w:val="0"/>
                      <w:sz w:val="21"/>
                      <w:szCs w:val="21"/>
                      <w:lang w:val="en-US" w:eastAsia="zh-CN"/>
                    </w:rPr>
                  </w:pPr>
                  <w:r>
                    <w:rPr>
                      <w:rFonts w:hint="eastAsia"/>
                      <w:color w:val="auto"/>
                      <w:kern w:val="0"/>
                      <w:sz w:val="21"/>
                      <w:szCs w:val="21"/>
                      <w:lang w:val="en-US" w:eastAsia="zh-CN"/>
                    </w:rPr>
                    <w:t>30天</w:t>
                  </w:r>
                </w:p>
              </w:tc>
              <w:tc>
                <w:tcPr>
                  <w:tcW w:w="1095"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olor w:val="auto"/>
                      <w:kern w:val="0"/>
                      <w:sz w:val="21"/>
                      <w:szCs w:val="21"/>
                      <w:lang w:val="en-US" w:eastAsia="zh-CN"/>
                    </w:rPr>
                  </w:pPr>
                  <w:r>
                    <w:rPr>
                      <w:rFonts w:hint="eastAsia"/>
                      <w:color w:val="auto"/>
                      <w:kern w:val="0"/>
                      <w:sz w:val="21"/>
                      <w:szCs w:val="21"/>
                      <w:lang w:val="en-US" w:eastAsia="zh-CN"/>
                    </w:rPr>
                    <w:t>粉料罐</w:t>
                  </w:r>
                </w:p>
              </w:tc>
              <w:tc>
                <w:tcPr>
                  <w:tcW w:w="1126"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eastAsia="宋体"/>
                      <w:color w:val="auto"/>
                      <w:kern w:val="0"/>
                      <w:sz w:val="21"/>
                      <w:szCs w:val="21"/>
                      <w:lang w:val="en-US" w:eastAsia="zh-CN"/>
                    </w:rPr>
                  </w:pPr>
                  <w:r>
                    <w:rPr>
                      <w:rFonts w:hint="eastAsia"/>
                      <w:color w:val="auto"/>
                      <w:kern w:val="0"/>
                      <w:sz w:val="21"/>
                      <w:szCs w:val="21"/>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dxa"/>
                  <w:vMerge w:val="continue"/>
                  <w:tcBorders>
                    <w:left w:val="single" w:color="auto" w:sz="4" w:space="0"/>
                    <w:right w:val="single" w:color="auto" w:sz="4" w:space="0"/>
                  </w:tcBorders>
                  <w:vAlign w:val="bottom"/>
                </w:tcPr>
                <w:p>
                  <w:pPr>
                    <w:jc w:val="center"/>
                    <w:rPr>
                      <w:bCs/>
                      <w:color w:val="auto"/>
                      <w:kern w:val="0"/>
                      <w:sz w:val="21"/>
                      <w:szCs w:val="21"/>
                    </w:rPr>
                  </w:pPr>
                </w:p>
              </w:tc>
              <w:tc>
                <w:tcPr>
                  <w:tcW w:w="1086"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bCs/>
                      <w:color w:val="auto"/>
                      <w:kern w:val="0"/>
                      <w:sz w:val="21"/>
                      <w:szCs w:val="21"/>
                      <w:lang w:val="en-US" w:eastAsia="zh-CN"/>
                    </w:rPr>
                  </w:pPr>
                  <w:r>
                    <w:rPr>
                      <w:rFonts w:hint="eastAsia"/>
                      <w:bCs/>
                      <w:color w:val="auto"/>
                      <w:kern w:val="0"/>
                      <w:sz w:val="21"/>
                      <w:szCs w:val="21"/>
                      <w:lang w:val="en-US" w:eastAsia="zh-CN"/>
                    </w:rPr>
                    <w:t>矿粉</w:t>
                  </w:r>
                </w:p>
              </w:tc>
              <w:tc>
                <w:tcPr>
                  <w:tcW w:w="1329"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Fonts w:hint="default" w:cs="Times New Roman"/>
                      <w:b w:val="0"/>
                      <w:i w:val="0"/>
                      <w:caps w:val="0"/>
                      <w:color w:val="auto"/>
                      <w:spacing w:val="0"/>
                      <w:w w:val="100"/>
                      <w:sz w:val="21"/>
                      <w:szCs w:val="21"/>
                      <w:lang w:val="en-US" w:eastAsia="zh-CN"/>
                    </w:rPr>
                  </w:pPr>
                  <w:r>
                    <w:rPr>
                      <w:rFonts w:hint="eastAsia" w:cs="Times New Roman"/>
                      <w:b w:val="0"/>
                      <w:i w:val="0"/>
                      <w:caps w:val="0"/>
                      <w:color w:val="auto"/>
                      <w:spacing w:val="0"/>
                      <w:w w:val="100"/>
                      <w:sz w:val="21"/>
                      <w:szCs w:val="21"/>
                      <w:lang w:val="en-US" w:eastAsia="zh-CN"/>
                    </w:rPr>
                    <w:t>4万</w:t>
                  </w:r>
                </w:p>
              </w:tc>
              <w:tc>
                <w:tcPr>
                  <w:tcW w:w="1483"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color w:val="auto"/>
                      <w:kern w:val="0"/>
                      <w:sz w:val="21"/>
                      <w:szCs w:val="21"/>
                      <w:lang w:val="en-US" w:eastAsia="zh-CN"/>
                    </w:rPr>
                  </w:pPr>
                  <w:r>
                    <w:rPr>
                      <w:rFonts w:hint="eastAsia"/>
                      <w:color w:val="auto"/>
                      <w:kern w:val="0"/>
                      <w:sz w:val="21"/>
                      <w:szCs w:val="21"/>
                      <w:lang w:val="en-US" w:eastAsia="zh-CN"/>
                    </w:rPr>
                    <w:t>500</w:t>
                  </w:r>
                </w:p>
              </w:tc>
              <w:tc>
                <w:tcPr>
                  <w:tcW w:w="93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olor w:val="auto"/>
                      <w:kern w:val="0"/>
                      <w:sz w:val="21"/>
                      <w:szCs w:val="21"/>
                      <w:lang w:val="en-US" w:eastAsia="zh-CN"/>
                    </w:rPr>
                  </w:pPr>
                  <w:r>
                    <w:rPr>
                      <w:rFonts w:hint="eastAsia"/>
                      <w:color w:val="auto"/>
                      <w:kern w:val="0"/>
                      <w:sz w:val="21"/>
                      <w:szCs w:val="21"/>
                      <w:lang w:val="en-US" w:eastAsia="zh-CN"/>
                    </w:rPr>
                    <w:t>30天</w:t>
                  </w:r>
                </w:p>
              </w:tc>
              <w:tc>
                <w:tcPr>
                  <w:tcW w:w="1095"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olor w:val="auto"/>
                      <w:kern w:val="0"/>
                      <w:sz w:val="21"/>
                      <w:szCs w:val="21"/>
                      <w:lang w:val="en-US" w:eastAsia="zh-CN"/>
                    </w:rPr>
                  </w:pPr>
                  <w:r>
                    <w:rPr>
                      <w:rFonts w:hint="eastAsia"/>
                      <w:color w:val="auto"/>
                      <w:kern w:val="0"/>
                      <w:sz w:val="21"/>
                      <w:szCs w:val="21"/>
                      <w:lang w:val="en-US" w:eastAsia="zh-CN"/>
                    </w:rPr>
                    <w:t>粉料罐</w:t>
                  </w:r>
                </w:p>
              </w:tc>
              <w:tc>
                <w:tcPr>
                  <w:tcW w:w="1126"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olor w:val="auto"/>
                      <w:kern w:val="0"/>
                      <w:sz w:val="21"/>
                      <w:szCs w:val="21"/>
                      <w:lang w:val="en-US" w:eastAsia="zh-CN"/>
                    </w:rPr>
                  </w:pPr>
                  <w:r>
                    <w:rPr>
                      <w:rFonts w:hint="eastAsia"/>
                      <w:color w:val="auto"/>
                      <w:kern w:val="0"/>
                      <w:sz w:val="21"/>
                      <w:szCs w:val="21"/>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dxa"/>
                  <w:vMerge w:val="continue"/>
                  <w:tcBorders>
                    <w:left w:val="single" w:color="auto" w:sz="4" w:space="0"/>
                    <w:right w:val="single" w:color="auto" w:sz="4" w:space="0"/>
                  </w:tcBorders>
                  <w:vAlign w:val="bottom"/>
                </w:tcPr>
                <w:p>
                  <w:pPr>
                    <w:jc w:val="center"/>
                    <w:rPr>
                      <w:bCs/>
                      <w:color w:val="auto"/>
                      <w:kern w:val="0"/>
                      <w:sz w:val="21"/>
                      <w:szCs w:val="21"/>
                    </w:rPr>
                  </w:pPr>
                </w:p>
              </w:tc>
              <w:tc>
                <w:tcPr>
                  <w:tcW w:w="1086"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bCs/>
                      <w:color w:val="auto"/>
                      <w:kern w:val="0"/>
                      <w:sz w:val="21"/>
                      <w:szCs w:val="21"/>
                      <w:lang w:val="en-US" w:eastAsia="zh-CN"/>
                    </w:rPr>
                  </w:pPr>
                  <w:r>
                    <w:rPr>
                      <w:rFonts w:hint="eastAsia"/>
                      <w:bCs/>
                      <w:color w:val="auto"/>
                      <w:kern w:val="0"/>
                      <w:sz w:val="21"/>
                      <w:szCs w:val="21"/>
                      <w:lang w:val="en-US" w:eastAsia="zh-CN"/>
                    </w:rPr>
                    <w:t>机制砂</w:t>
                  </w:r>
                </w:p>
              </w:tc>
              <w:tc>
                <w:tcPr>
                  <w:tcW w:w="1329"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Fonts w:hint="default" w:cs="Times New Roman"/>
                      <w:b w:val="0"/>
                      <w:i w:val="0"/>
                      <w:caps w:val="0"/>
                      <w:color w:val="auto"/>
                      <w:spacing w:val="0"/>
                      <w:w w:val="100"/>
                      <w:sz w:val="21"/>
                      <w:szCs w:val="21"/>
                      <w:lang w:val="en-US" w:eastAsia="zh-CN"/>
                    </w:rPr>
                  </w:pPr>
                  <w:r>
                    <w:rPr>
                      <w:rFonts w:hint="eastAsia" w:cs="Times New Roman"/>
                      <w:b w:val="0"/>
                      <w:i w:val="0"/>
                      <w:caps w:val="0"/>
                      <w:color w:val="auto"/>
                      <w:spacing w:val="0"/>
                      <w:w w:val="100"/>
                      <w:sz w:val="21"/>
                      <w:szCs w:val="21"/>
                      <w:lang w:val="en-US" w:eastAsia="zh-CN"/>
                    </w:rPr>
                    <w:t>45.5万</w:t>
                  </w:r>
                </w:p>
              </w:tc>
              <w:tc>
                <w:tcPr>
                  <w:tcW w:w="1483"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color w:val="auto"/>
                      <w:kern w:val="0"/>
                      <w:sz w:val="21"/>
                      <w:szCs w:val="21"/>
                      <w:lang w:val="en-US" w:eastAsia="zh-CN"/>
                    </w:rPr>
                  </w:pPr>
                  <w:r>
                    <w:rPr>
                      <w:rFonts w:hint="eastAsia"/>
                      <w:color w:val="auto"/>
                      <w:kern w:val="0"/>
                      <w:sz w:val="21"/>
                      <w:szCs w:val="21"/>
                      <w:lang w:val="en-US" w:eastAsia="zh-CN"/>
                    </w:rPr>
                    <w:t>6000</w:t>
                  </w:r>
                </w:p>
              </w:tc>
              <w:tc>
                <w:tcPr>
                  <w:tcW w:w="93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olor w:val="auto"/>
                      <w:kern w:val="0"/>
                      <w:sz w:val="21"/>
                      <w:szCs w:val="21"/>
                      <w:lang w:val="en-US" w:eastAsia="zh-CN"/>
                    </w:rPr>
                  </w:pPr>
                  <w:r>
                    <w:rPr>
                      <w:rFonts w:hint="eastAsia"/>
                      <w:color w:val="auto"/>
                      <w:kern w:val="0"/>
                      <w:sz w:val="21"/>
                      <w:szCs w:val="21"/>
                      <w:lang w:val="en-US" w:eastAsia="zh-CN"/>
                    </w:rPr>
                    <w:t>30天</w:t>
                  </w:r>
                </w:p>
              </w:tc>
              <w:tc>
                <w:tcPr>
                  <w:tcW w:w="1095"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color w:val="auto"/>
                      <w:kern w:val="0"/>
                      <w:sz w:val="21"/>
                      <w:szCs w:val="21"/>
                      <w:lang w:val="en-US" w:eastAsia="zh-CN"/>
                    </w:rPr>
                  </w:pPr>
                  <w:r>
                    <w:rPr>
                      <w:rFonts w:hint="eastAsia"/>
                      <w:color w:val="auto"/>
                      <w:kern w:val="0"/>
                      <w:sz w:val="21"/>
                      <w:szCs w:val="21"/>
                      <w:lang w:val="en-US" w:eastAsia="zh-CN"/>
                    </w:rPr>
                    <w:t>储料仓</w:t>
                  </w:r>
                </w:p>
              </w:tc>
              <w:tc>
                <w:tcPr>
                  <w:tcW w:w="1126"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olor w:val="auto"/>
                      <w:kern w:val="0"/>
                      <w:sz w:val="21"/>
                      <w:szCs w:val="21"/>
                      <w:lang w:val="en-US" w:eastAsia="zh-CN"/>
                    </w:rPr>
                  </w:pPr>
                  <w:r>
                    <w:rPr>
                      <w:rFonts w:hint="eastAsia"/>
                      <w:color w:val="auto"/>
                      <w:kern w:val="0"/>
                      <w:sz w:val="21"/>
                      <w:szCs w:val="21"/>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dxa"/>
                  <w:vMerge w:val="continue"/>
                  <w:tcBorders>
                    <w:left w:val="single" w:color="auto" w:sz="4" w:space="0"/>
                    <w:right w:val="single" w:color="auto" w:sz="4" w:space="0"/>
                  </w:tcBorders>
                  <w:vAlign w:val="bottom"/>
                </w:tcPr>
                <w:p>
                  <w:pPr>
                    <w:jc w:val="center"/>
                    <w:rPr>
                      <w:bCs/>
                      <w:color w:val="auto"/>
                      <w:kern w:val="0"/>
                      <w:sz w:val="21"/>
                      <w:szCs w:val="21"/>
                    </w:rPr>
                  </w:pPr>
                </w:p>
              </w:tc>
              <w:tc>
                <w:tcPr>
                  <w:tcW w:w="1086"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bCs/>
                      <w:color w:val="auto"/>
                      <w:kern w:val="0"/>
                      <w:sz w:val="21"/>
                      <w:szCs w:val="21"/>
                      <w:lang w:val="en-US" w:eastAsia="zh-CN"/>
                    </w:rPr>
                  </w:pPr>
                  <w:r>
                    <w:rPr>
                      <w:rFonts w:hint="eastAsia"/>
                      <w:bCs/>
                      <w:color w:val="auto"/>
                      <w:kern w:val="0"/>
                      <w:sz w:val="21"/>
                      <w:szCs w:val="21"/>
                      <w:lang w:val="en-US" w:eastAsia="zh-CN"/>
                    </w:rPr>
                    <w:t>细砂</w:t>
                  </w:r>
                </w:p>
              </w:tc>
              <w:tc>
                <w:tcPr>
                  <w:tcW w:w="1329"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Fonts w:hint="default" w:cs="Times New Roman"/>
                      <w:b w:val="0"/>
                      <w:i w:val="0"/>
                      <w:caps w:val="0"/>
                      <w:color w:val="auto"/>
                      <w:spacing w:val="0"/>
                      <w:w w:val="100"/>
                      <w:sz w:val="21"/>
                      <w:szCs w:val="21"/>
                      <w:lang w:val="en-US" w:eastAsia="zh-CN"/>
                    </w:rPr>
                  </w:pPr>
                  <w:r>
                    <w:rPr>
                      <w:rFonts w:hint="eastAsia" w:cs="Times New Roman"/>
                      <w:b w:val="0"/>
                      <w:i w:val="0"/>
                      <w:caps w:val="0"/>
                      <w:color w:val="auto"/>
                      <w:spacing w:val="0"/>
                      <w:w w:val="100"/>
                      <w:sz w:val="21"/>
                      <w:szCs w:val="21"/>
                      <w:lang w:val="en-US" w:eastAsia="zh-CN"/>
                    </w:rPr>
                    <w:t>14万</w:t>
                  </w:r>
                </w:p>
              </w:tc>
              <w:tc>
                <w:tcPr>
                  <w:tcW w:w="1483"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color w:val="auto"/>
                      <w:kern w:val="0"/>
                      <w:sz w:val="21"/>
                      <w:szCs w:val="21"/>
                      <w:lang w:val="en-US" w:eastAsia="zh-CN"/>
                    </w:rPr>
                  </w:pPr>
                  <w:r>
                    <w:rPr>
                      <w:rFonts w:hint="eastAsia"/>
                      <w:color w:val="auto"/>
                      <w:kern w:val="0"/>
                      <w:sz w:val="21"/>
                      <w:szCs w:val="21"/>
                      <w:lang w:val="en-US" w:eastAsia="zh-CN"/>
                    </w:rPr>
                    <w:t>6000</w:t>
                  </w:r>
                </w:p>
              </w:tc>
              <w:tc>
                <w:tcPr>
                  <w:tcW w:w="93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olor w:val="auto"/>
                      <w:kern w:val="0"/>
                      <w:sz w:val="21"/>
                      <w:szCs w:val="21"/>
                      <w:lang w:val="en-US" w:eastAsia="zh-CN"/>
                    </w:rPr>
                  </w:pPr>
                  <w:r>
                    <w:rPr>
                      <w:rFonts w:hint="eastAsia"/>
                      <w:color w:val="auto"/>
                      <w:kern w:val="0"/>
                      <w:sz w:val="21"/>
                      <w:szCs w:val="21"/>
                      <w:lang w:val="en-US" w:eastAsia="zh-CN"/>
                    </w:rPr>
                    <w:t>30天</w:t>
                  </w:r>
                </w:p>
              </w:tc>
              <w:tc>
                <w:tcPr>
                  <w:tcW w:w="1095"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olor w:val="auto"/>
                      <w:kern w:val="0"/>
                      <w:sz w:val="21"/>
                      <w:szCs w:val="21"/>
                      <w:lang w:val="en-US" w:eastAsia="zh-CN"/>
                    </w:rPr>
                  </w:pPr>
                  <w:r>
                    <w:rPr>
                      <w:rFonts w:hint="eastAsia"/>
                      <w:color w:val="auto"/>
                      <w:kern w:val="0"/>
                      <w:sz w:val="21"/>
                      <w:szCs w:val="21"/>
                      <w:lang w:val="en-US" w:eastAsia="zh-CN"/>
                    </w:rPr>
                    <w:t>储料仓</w:t>
                  </w:r>
                </w:p>
              </w:tc>
              <w:tc>
                <w:tcPr>
                  <w:tcW w:w="1126"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olor w:val="auto"/>
                      <w:kern w:val="0"/>
                      <w:sz w:val="21"/>
                      <w:szCs w:val="21"/>
                      <w:lang w:val="en-US" w:eastAsia="zh-CN"/>
                    </w:rPr>
                  </w:pPr>
                  <w:r>
                    <w:rPr>
                      <w:rFonts w:hint="eastAsia"/>
                      <w:color w:val="auto"/>
                      <w:kern w:val="0"/>
                      <w:sz w:val="21"/>
                      <w:szCs w:val="21"/>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dxa"/>
                  <w:vMerge w:val="continue"/>
                  <w:tcBorders>
                    <w:left w:val="single" w:color="auto" w:sz="4" w:space="0"/>
                    <w:right w:val="single" w:color="auto" w:sz="4" w:space="0"/>
                  </w:tcBorders>
                  <w:vAlign w:val="bottom"/>
                </w:tcPr>
                <w:p>
                  <w:pPr>
                    <w:jc w:val="center"/>
                    <w:rPr>
                      <w:bCs/>
                      <w:color w:val="auto"/>
                      <w:kern w:val="0"/>
                      <w:sz w:val="21"/>
                      <w:szCs w:val="21"/>
                    </w:rPr>
                  </w:pPr>
                </w:p>
              </w:tc>
              <w:tc>
                <w:tcPr>
                  <w:tcW w:w="1086"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bCs/>
                      <w:color w:val="auto"/>
                      <w:kern w:val="0"/>
                      <w:sz w:val="21"/>
                      <w:szCs w:val="21"/>
                      <w:lang w:val="en-US" w:eastAsia="zh-CN"/>
                    </w:rPr>
                  </w:pPr>
                  <w:r>
                    <w:rPr>
                      <w:rFonts w:hint="eastAsia"/>
                      <w:bCs/>
                      <w:color w:val="auto"/>
                      <w:kern w:val="0"/>
                      <w:sz w:val="21"/>
                      <w:szCs w:val="21"/>
                      <w:lang w:val="en-US" w:eastAsia="zh-CN"/>
                    </w:rPr>
                    <w:t>石子</w:t>
                  </w:r>
                </w:p>
              </w:tc>
              <w:tc>
                <w:tcPr>
                  <w:tcW w:w="1329"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Fonts w:hint="default" w:cs="Times New Roman"/>
                      <w:b w:val="0"/>
                      <w:i w:val="0"/>
                      <w:caps w:val="0"/>
                      <w:color w:val="auto"/>
                      <w:spacing w:val="0"/>
                      <w:w w:val="100"/>
                      <w:sz w:val="21"/>
                      <w:szCs w:val="21"/>
                      <w:lang w:val="en-US" w:eastAsia="zh-CN"/>
                    </w:rPr>
                  </w:pPr>
                  <w:r>
                    <w:rPr>
                      <w:rFonts w:hint="eastAsia" w:cs="Times New Roman"/>
                      <w:b w:val="0"/>
                      <w:i w:val="0"/>
                      <w:caps w:val="0"/>
                      <w:color w:val="auto"/>
                      <w:spacing w:val="0"/>
                      <w:w w:val="100"/>
                      <w:sz w:val="21"/>
                      <w:szCs w:val="21"/>
                      <w:lang w:val="en-US" w:eastAsia="zh-CN"/>
                    </w:rPr>
                    <w:t>77万</w:t>
                  </w:r>
                </w:p>
              </w:tc>
              <w:tc>
                <w:tcPr>
                  <w:tcW w:w="1483"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color w:val="auto"/>
                      <w:kern w:val="0"/>
                      <w:sz w:val="21"/>
                      <w:szCs w:val="21"/>
                      <w:lang w:val="en-US" w:eastAsia="zh-CN"/>
                    </w:rPr>
                  </w:pPr>
                  <w:r>
                    <w:rPr>
                      <w:rFonts w:hint="eastAsia"/>
                      <w:color w:val="auto"/>
                      <w:kern w:val="0"/>
                      <w:sz w:val="21"/>
                      <w:szCs w:val="21"/>
                      <w:lang w:val="en-US" w:eastAsia="zh-CN"/>
                    </w:rPr>
                    <w:t>15000</w:t>
                  </w:r>
                </w:p>
              </w:tc>
              <w:tc>
                <w:tcPr>
                  <w:tcW w:w="93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olor w:val="auto"/>
                      <w:kern w:val="0"/>
                      <w:sz w:val="21"/>
                      <w:szCs w:val="21"/>
                      <w:lang w:val="en-US" w:eastAsia="zh-CN"/>
                    </w:rPr>
                  </w:pPr>
                  <w:r>
                    <w:rPr>
                      <w:rFonts w:hint="eastAsia"/>
                      <w:color w:val="auto"/>
                      <w:kern w:val="0"/>
                      <w:sz w:val="21"/>
                      <w:szCs w:val="21"/>
                      <w:lang w:val="en-US" w:eastAsia="zh-CN"/>
                    </w:rPr>
                    <w:t>30天</w:t>
                  </w:r>
                </w:p>
              </w:tc>
              <w:tc>
                <w:tcPr>
                  <w:tcW w:w="1095"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olor w:val="auto"/>
                      <w:kern w:val="0"/>
                      <w:sz w:val="21"/>
                      <w:szCs w:val="21"/>
                      <w:lang w:val="en-US" w:eastAsia="zh-CN"/>
                    </w:rPr>
                  </w:pPr>
                  <w:r>
                    <w:rPr>
                      <w:rFonts w:hint="eastAsia"/>
                      <w:color w:val="auto"/>
                      <w:kern w:val="0"/>
                      <w:sz w:val="21"/>
                      <w:szCs w:val="21"/>
                      <w:lang w:val="en-US" w:eastAsia="zh-CN"/>
                    </w:rPr>
                    <w:t>储料仓</w:t>
                  </w:r>
                </w:p>
              </w:tc>
              <w:tc>
                <w:tcPr>
                  <w:tcW w:w="1126"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olor w:val="auto"/>
                      <w:kern w:val="0"/>
                      <w:sz w:val="21"/>
                      <w:szCs w:val="21"/>
                      <w:lang w:val="en-US" w:eastAsia="zh-CN"/>
                    </w:rPr>
                  </w:pPr>
                  <w:r>
                    <w:rPr>
                      <w:rFonts w:hint="eastAsia"/>
                      <w:color w:val="auto"/>
                      <w:kern w:val="0"/>
                      <w:sz w:val="21"/>
                      <w:szCs w:val="21"/>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dxa"/>
                  <w:vMerge w:val="continue"/>
                  <w:tcBorders>
                    <w:left w:val="single" w:color="auto" w:sz="4" w:space="0"/>
                    <w:right w:val="single" w:color="auto" w:sz="4" w:space="0"/>
                  </w:tcBorders>
                  <w:vAlign w:val="bottom"/>
                </w:tcPr>
                <w:p>
                  <w:pPr>
                    <w:jc w:val="center"/>
                    <w:rPr>
                      <w:bCs/>
                      <w:color w:val="auto"/>
                      <w:kern w:val="0"/>
                      <w:sz w:val="21"/>
                      <w:szCs w:val="21"/>
                    </w:rPr>
                  </w:pPr>
                </w:p>
              </w:tc>
              <w:tc>
                <w:tcPr>
                  <w:tcW w:w="1086"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bCs/>
                      <w:color w:val="auto"/>
                      <w:kern w:val="0"/>
                      <w:sz w:val="21"/>
                      <w:szCs w:val="21"/>
                      <w:lang w:val="en-US" w:eastAsia="zh-CN"/>
                    </w:rPr>
                  </w:pPr>
                  <w:r>
                    <w:rPr>
                      <w:rFonts w:hint="eastAsia"/>
                      <w:bCs/>
                      <w:color w:val="auto"/>
                      <w:kern w:val="0"/>
                      <w:sz w:val="21"/>
                      <w:szCs w:val="21"/>
                      <w:lang w:val="en-US" w:eastAsia="zh-CN"/>
                    </w:rPr>
                    <w:t>外加剂</w:t>
                  </w:r>
                </w:p>
              </w:tc>
              <w:tc>
                <w:tcPr>
                  <w:tcW w:w="1329"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Fonts w:hint="default" w:cs="Times New Roman"/>
                      <w:b w:val="0"/>
                      <w:i w:val="0"/>
                      <w:caps w:val="0"/>
                      <w:color w:val="auto"/>
                      <w:spacing w:val="0"/>
                      <w:w w:val="100"/>
                      <w:sz w:val="21"/>
                      <w:szCs w:val="21"/>
                      <w:lang w:val="en-US" w:eastAsia="zh-CN"/>
                    </w:rPr>
                  </w:pPr>
                  <w:r>
                    <w:rPr>
                      <w:rFonts w:hint="eastAsia" w:cs="Times New Roman"/>
                      <w:b w:val="0"/>
                      <w:i w:val="0"/>
                      <w:caps w:val="0"/>
                      <w:color w:val="auto"/>
                      <w:spacing w:val="0"/>
                      <w:w w:val="100"/>
                      <w:sz w:val="21"/>
                      <w:szCs w:val="21"/>
                      <w:lang w:val="en-US" w:eastAsia="zh-CN"/>
                    </w:rPr>
                    <w:t>5600</w:t>
                  </w:r>
                </w:p>
              </w:tc>
              <w:tc>
                <w:tcPr>
                  <w:tcW w:w="1483"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color w:val="auto"/>
                      <w:kern w:val="0"/>
                      <w:sz w:val="21"/>
                      <w:szCs w:val="21"/>
                      <w:lang w:val="en-US" w:eastAsia="zh-CN"/>
                    </w:rPr>
                  </w:pPr>
                  <w:r>
                    <w:rPr>
                      <w:rFonts w:hint="eastAsia"/>
                      <w:color w:val="auto"/>
                      <w:kern w:val="0"/>
                      <w:sz w:val="21"/>
                      <w:szCs w:val="21"/>
                      <w:lang w:val="en-US" w:eastAsia="zh-CN"/>
                    </w:rPr>
                    <w:t>50</w:t>
                  </w:r>
                </w:p>
              </w:tc>
              <w:tc>
                <w:tcPr>
                  <w:tcW w:w="93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olor w:val="auto"/>
                      <w:kern w:val="0"/>
                      <w:sz w:val="21"/>
                      <w:szCs w:val="21"/>
                      <w:lang w:val="en-US" w:eastAsia="zh-CN"/>
                    </w:rPr>
                  </w:pPr>
                  <w:r>
                    <w:rPr>
                      <w:rFonts w:hint="eastAsia"/>
                      <w:color w:val="auto"/>
                      <w:kern w:val="0"/>
                      <w:sz w:val="21"/>
                      <w:szCs w:val="21"/>
                      <w:lang w:val="en-US" w:eastAsia="zh-CN"/>
                    </w:rPr>
                    <w:t>30天</w:t>
                  </w:r>
                </w:p>
              </w:tc>
              <w:tc>
                <w:tcPr>
                  <w:tcW w:w="1095"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color w:val="auto"/>
                      <w:kern w:val="0"/>
                      <w:sz w:val="21"/>
                      <w:szCs w:val="21"/>
                      <w:lang w:val="en-US" w:eastAsia="zh-CN"/>
                    </w:rPr>
                  </w:pPr>
                  <w:r>
                    <w:rPr>
                      <w:rFonts w:hint="eastAsia"/>
                      <w:color w:val="auto"/>
                      <w:kern w:val="0"/>
                      <w:sz w:val="21"/>
                      <w:szCs w:val="21"/>
                      <w:lang w:val="en-US" w:eastAsia="zh-CN"/>
                    </w:rPr>
                    <w:t>封闭塑料罐</w:t>
                  </w:r>
                </w:p>
              </w:tc>
              <w:tc>
                <w:tcPr>
                  <w:tcW w:w="1126"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olor w:val="auto"/>
                      <w:kern w:val="0"/>
                      <w:sz w:val="21"/>
                      <w:szCs w:val="21"/>
                      <w:lang w:val="en-US" w:eastAsia="zh-CN"/>
                    </w:rPr>
                  </w:pPr>
                  <w:r>
                    <w:rPr>
                      <w:rFonts w:hint="eastAsia"/>
                      <w:color w:val="auto"/>
                      <w:kern w:val="0"/>
                      <w:sz w:val="21"/>
                      <w:szCs w:val="21"/>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dxa"/>
                  <w:vMerge w:val="continue"/>
                  <w:tcBorders>
                    <w:left w:val="single" w:color="auto" w:sz="4" w:space="0"/>
                    <w:right w:val="single" w:color="auto" w:sz="4" w:space="0"/>
                  </w:tcBorders>
                  <w:vAlign w:val="bottom"/>
                </w:tcPr>
                <w:p>
                  <w:pPr>
                    <w:jc w:val="center"/>
                    <w:rPr>
                      <w:bCs/>
                      <w:color w:val="auto"/>
                      <w:kern w:val="0"/>
                      <w:sz w:val="21"/>
                      <w:szCs w:val="21"/>
                    </w:rPr>
                  </w:pPr>
                </w:p>
              </w:tc>
              <w:tc>
                <w:tcPr>
                  <w:tcW w:w="1086"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bCs/>
                      <w:color w:val="auto"/>
                      <w:kern w:val="0"/>
                      <w:sz w:val="21"/>
                      <w:szCs w:val="21"/>
                      <w:lang w:val="en-US" w:eastAsia="zh-CN"/>
                    </w:rPr>
                  </w:pPr>
                  <w:r>
                    <w:rPr>
                      <w:rFonts w:hint="eastAsia"/>
                      <w:bCs/>
                      <w:color w:val="auto"/>
                      <w:kern w:val="0"/>
                      <w:sz w:val="21"/>
                      <w:szCs w:val="21"/>
                      <w:lang w:val="en-US" w:eastAsia="zh-CN"/>
                    </w:rPr>
                    <w:t>机油</w:t>
                  </w:r>
                </w:p>
              </w:tc>
              <w:tc>
                <w:tcPr>
                  <w:tcW w:w="1329"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Fonts w:hint="default" w:cs="Times New Roman"/>
                      <w:b w:val="0"/>
                      <w:i w:val="0"/>
                      <w:caps w:val="0"/>
                      <w:color w:val="auto"/>
                      <w:spacing w:val="0"/>
                      <w:w w:val="100"/>
                      <w:sz w:val="21"/>
                      <w:szCs w:val="21"/>
                      <w:lang w:val="en-US" w:eastAsia="zh-CN"/>
                    </w:rPr>
                  </w:pPr>
                  <w:r>
                    <w:rPr>
                      <w:rFonts w:hint="eastAsia" w:cs="Times New Roman"/>
                      <w:b w:val="0"/>
                      <w:i w:val="0"/>
                      <w:caps w:val="0"/>
                      <w:color w:val="auto"/>
                      <w:spacing w:val="0"/>
                      <w:w w:val="100"/>
                      <w:sz w:val="21"/>
                      <w:szCs w:val="21"/>
                      <w:lang w:val="en-US" w:eastAsia="zh-CN"/>
                    </w:rPr>
                    <w:t>0.1</w:t>
                  </w:r>
                </w:p>
              </w:tc>
              <w:tc>
                <w:tcPr>
                  <w:tcW w:w="1483"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color w:val="auto"/>
                      <w:kern w:val="0"/>
                      <w:sz w:val="21"/>
                      <w:szCs w:val="21"/>
                      <w:lang w:val="en-US" w:eastAsia="zh-CN"/>
                    </w:rPr>
                  </w:pPr>
                  <w:r>
                    <w:rPr>
                      <w:rFonts w:hint="eastAsia"/>
                      <w:color w:val="auto"/>
                      <w:kern w:val="0"/>
                      <w:sz w:val="21"/>
                      <w:szCs w:val="21"/>
                      <w:lang w:val="en-US" w:eastAsia="zh-CN"/>
                    </w:rPr>
                    <w:t>0.02，20kg/桶</w:t>
                  </w:r>
                </w:p>
              </w:tc>
              <w:tc>
                <w:tcPr>
                  <w:tcW w:w="93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olor w:val="auto"/>
                      <w:kern w:val="0"/>
                      <w:sz w:val="21"/>
                      <w:szCs w:val="21"/>
                      <w:lang w:val="en-US" w:eastAsia="zh-CN"/>
                    </w:rPr>
                  </w:pPr>
                  <w:r>
                    <w:rPr>
                      <w:rFonts w:hint="eastAsia"/>
                      <w:color w:val="auto"/>
                      <w:kern w:val="0"/>
                      <w:sz w:val="21"/>
                      <w:szCs w:val="21"/>
                      <w:lang w:val="en-US" w:eastAsia="zh-CN"/>
                    </w:rPr>
                    <w:t>30天</w:t>
                  </w:r>
                </w:p>
              </w:tc>
              <w:tc>
                <w:tcPr>
                  <w:tcW w:w="1095"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color w:val="auto"/>
                      <w:kern w:val="0"/>
                      <w:sz w:val="21"/>
                      <w:szCs w:val="21"/>
                      <w:lang w:val="en-US" w:eastAsia="zh-CN"/>
                    </w:rPr>
                  </w:pPr>
                  <w:r>
                    <w:rPr>
                      <w:rFonts w:hint="eastAsia"/>
                      <w:color w:val="auto"/>
                      <w:kern w:val="0"/>
                      <w:sz w:val="21"/>
                      <w:szCs w:val="21"/>
                      <w:lang w:val="en-US" w:eastAsia="zh-CN"/>
                    </w:rPr>
                    <w:t>仓库</w:t>
                  </w:r>
                </w:p>
              </w:tc>
              <w:tc>
                <w:tcPr>
                  <w:tcW w:w="1126"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olor w:val="auto"/>
                      <w:kern w:val="0"/>
                      <w:sz w:val="21"/>
                      <w:szCs w:val="21"/>
                      <w:lang w:val="en-US" w:eastAsia="zh-CN"/>
                    </w:rPr>
                  </w:pPr>
                  <w:r>
                    <w:rPr>
                      <w:rFonts w:hint="eastAsia"/>
                      <w:color w:val="auto"/>
                      <w:kern w:val="0"/>
                      <w:sz w:val="21"/>
                      <w:szCs w:val="21"/>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dxa"/>
                  <w:vMerge w:val="restart"/>
                  <w:tcBorders>
                    <w:left w:val="single" w:color="auto" w:sz="4" w:space="0"/>
                    <w:right w:val="single" w:color="auto" w:sz="4" w:space="0"/>
                  </w:tcBorders>
                  <w:vAlign w:val="center"/>
                </w:tcPr>
                <w:p>
                  <w:pPr>
                    <w:adjustRightInd w:val="0"/>
                    <w:snapToGrid w:val="0"/>
                    <w:jc w:val="center"/>
                    <w:rPr>
                      <w:bCs/>
                      <w:color w:val="auto"/>
                      <w:kern w:val="0"/>
                      <w:sz w:val="21"/>
                      <w:szCs w:val="21"/>
                    </w:rPr>
                  </w:pPr>
                  <w:r>
                    <w:rPr>
                      <w:color w:val="auto"/>
                      <w:sz w:val="21"/>
                      <w:szCs w:val="21"/>
                    </w:rPr>
                    <w:t>能源</w:t>
                  </w:r>
                </w:p>
              </w:tc>
              <w:tc>
                <w:tcPr>
                  <w:tcW w:w="1086" w:type="dxa"/>
                  <w:tcBorders>
                    <w:top w:val="single" w:color="auto" w:sz="4" w:space="0"/>
                    <w:left w:val="nil"/>
                    <w:right w:val="single" w:color="auto" w:sz="4" w:space="0"/>
                  </w:tcBorders>
                  <w:vAlign w:val="center"/>
                </w:tcPr>
                <w:p>
                  <w:pPr>
                    <w:adjustRightInd w:val="0"/>
                    <w:snapToGrid w:val="0"/>
                    <w:jc w:val="center"/>
                    <w:rPr>
                      <w:rFonts w:hint="default" w:eastAsia="宋体"/>
                      <w:bCs/>
                      <w:color w:val="auto"/>
                      <w:kern w:val="0"/>
                      <w:sz w:val="21"/>
                      <w:szCs w:val="21"/>
                      <w:lang w:val="en-US" w:eastAsia="zh-CN"/>
                    </w:rPr>
                  </w:pPr>
                  <w:r>
                    <w:rPr>
                      <w:rFonts w:hint="eastAsia"/>
                      <w:bCs/>
                      <w:color w:val="auto"/>
                      <w:kern w:val="0"/>
                      <w:sz w:val="21"/>
                      <w:szCs w:val="21"/>
                      <w:lang w:val="en-US" w:eastAsia="zh-CN"/>
                    </w:rPr>
                    <w:t>电</w:t>
                  </w:r>
                </w:p>
              </w:tc>
              <w:tc>
                <w:tcPr>
                  <w:tcW w:w="1329"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eastAsia="宋体"/>
                      <w:color w:val="auto"/>
                      <w:kern w:val="0"/>
                      <w:sz w:val="21"/>
                      <w:szCs w:val="21"/>
                      <w:lang w:val="en-US" w:eastAsia="zh-CN"/>
                    </w:rPr>
                  </w:pPr>
                  <w:r>
                    <w:rPr>
                      <w:rFonts w:hint="eastAsia"/>
                      <w:color w:val="auto"/>
                      <w:kern w:val="0"/>
                      <w:sz w:val="21"/>
                      <w:szCs w:val="21"/>
                      <w:lang w:val="en-US" w:eastAsia="zh-CN"/>
                    </w:rPr>
                    <w:t>210万</w:t>
                  </w:r>
                  <w:r>
                    <w:rPr>
                      <w:rFonts w:hint="default" w:ascii="Times New Roman" w:hAnsi="Times New Roman" w:cs="Times New Roman"/>
                      <w:color w:val="auto"/>
                      <w:sz w:val="21"/>
                      <w:szCs w:val="21"/>
                      <w:highlight w:val="none"/>
                    </w:rPr>
                    <w:t>k</w:t>
                  </w:r>
                  <w:r>
                    <w:rPr>
                      <w:rFonts w:hint="default" w:ascii="Times New Roman" w:hAnsi="Times New Roman" w:cs="Times New Roman"/>
                      <w:color w:val="auto"/>
                      <w:sz w:val="21"/>
                      <w:szCs w:val="21"/>
                      <w:highlight w:val="none"/>
                      <w:lang w:val="en-US" w:eastAsia="zh-CN"/>
                    </w:rPr>
                    <w:t>W</w:t>
                  </w:r>
                  <w:r>
                    <w:rPr>
                      <w:rFonts w:ascii="Arial" w:hAnsi="Arial" w:eastAsia="宋体" w:cs="Arial"/>
                      <w:i w:val="0"/>
                      <w:iCs w:val="0"/>
                      <w:caps w:val="0"/>
                      <w:color w:val="333333"/>
                      <w:spacing w:val="0"/>
                      <w:sz w:val="19"/>
                      <w:szCs w:val="19"/>
                      <w:shd w:val="clear" w:fill="FFFFFF"/>
                    </w:rPr>
                    <w:t>·</w:t>
                  </w:r>
                  <w:r>
                    <w:rPr>
                      <w:rFonts w:hint="default" w:ascii="Times New Roman" w:hAnsi="Times New Roman" w:cs="Times New Roman"/>
                      <w:color w:val="auto"/>
                      <w:sz w:val="21"/>
                      <w:szCs w:val="21"/>
                      <w:highlight w:val="none"/>
                    </w:rPr>
                    <w:t>h</w:t>
                  </w:r>
                  <w:r>
                    <w:rPr>
                      <w:rFonts w:hint="default" w:ascii="Times New Roman" w:hAnsi="Times New Roman" w:cs="Times New Roman"/>
                      <w:color w:val="auto"/>
                      <w:sz w:val="21"/>
                      <w:szCs w:val="21"/>
                      <w:highlight w:val="none"/>
                      <w:lang w:val="en-US" w:eastAsia="zh-CN"/>
                    </w:rPr>
                    <w:t>/a</w:t>
                  </w:r>
                </w:p>
              </w:tc>
              <w:tc>
                <w:tcPr>
                  <w:tcW w:w="1483"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eastAsia="宋体"/>
                      <w:color w:val="auto"/>
                      <w:kern w:val="0"/>
                      <w:sz w:val="21"/>
                      <w:szCs w:val="21"/>
                      <w:lang w:val="en-US" w:eastAsia="zh-CN"/>
                    </w:rPr>
                  </w:pPr>
                  <w:r>
                    <w:rPr>
                      <w:rFonts w:hint="eastAsia"/>
                      <w:color w:val="auto"/>
                      <w:kern w:val="0"/>
                      <w:sz w:val="21"/>
                      <w:szCs w:val="21"/>
                      <w:lang w:val="en-US" w:eastAsia="zh-CN"/>
                    </w:rPr>
                    <w:t>/</w:t>
                  </w:r>
                </w:p>
              </w:tc>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olor w:val="auto"/>
                      <w:kern w:val="0"/>
                      <w:sz w:val="21"/>
                      <w:szCs w:val="21"/>
                      <w:lang w:val="en-US" w:eastAsia="zh-CN"/>
                    </w:rPr>
                  </w:pPr>
                  <w:r>
                    <w:rPr>
                      <w:rFonts w:hint="eastAsia"/>
                      <w:color w:val="auto"/>
                      <w:kern w:val="0"/>
                      <w:sz w:val="21"/>
                      <w:szCs w:val="21"/>
                      <w:lang w:val="en-US" w:eastAsia="zh-CN"/>
                    </w:rPr>
                    <w:t>/</w:t>
                  </w:r>
                </w:p>
              </w:tc>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olor w:val="auto"/>
                      <w:kern w:val="0"/>
                      <w:sz w:val="21"/>
                      <w:szCs w:val="21"/>
                      <w:lang w:val="en-US" w:eastAsia="zh-CN"/>
                    </w:rPr>
                  </w:pPr>
                  <w:r>
                    <w:rPr>
                      <w:rFonts w:hint="eastAsia"/>
                      <w:color w:val="auto"/>
                      <w:kern w:val="0"/>
                      <w:sz w:val="21"/>
                      <w:szCs w:val="21"/>
                      <w:lang w:val="en-US" w:eastAsia="zh-CN"/>
                    </w:rPr>
                    <w:t>/</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kern w:val="0"/>
                      <w:sz w:val="21"/>
                      <w:szCs w:val="21"/>
                      <w:lang w:val="en-US" w:eastAsia="zh-CN"/>
                    </w:rPr>
                  </w:pPr>
                  <w:r>
                    <w:rPr>
                      <w:rFonts w:ascii="Times New Roman" w:hAnsi="Times New Roman"/>
                      <w:sz w:val="21"/>
                      <w:szCs w:val="21"/>
                      <w:lang w:bidi="ar"/>
                    </w:rPr>
                    <w:t>供</w:t>
                  </w:r>
                  <w:r>
                    <w:rPr>
                      <w:rFonts w:hint="eastAsia" w:ascii="Times New Roman" w:hAnsi="Times New Roman"/>
                      <w:sz w:val="21"/>
                      <w:szCs w:val="21"/>
                      <w:lang w:val="en-US" w:eastAsia="zh-CN" w:bidi="ar"/>
                    </w:rPr>
                    <w:t>电</w:t>
                  </w:r>
                  <w:r>
                    <w:rPr>
                      <w:rFonts w:ascii="Times New Roman" w:hAnsi="Times New Roman"/>
                      <w:sz w:val="21"/>
                      <w:szCs w:val="21"/>
                      <w:lang w:bidi="ar"/>
                    </w:rPr>
                    <w:t>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 w:type="dxa"/>
                  <w:vMerge w:val="continue"/>
                  <w:tcBorders>
                    <w:left w:val="single" w:color="auto" w:sz="4" w:space="0"/>
                    <w:right w:val="single" w:color="auto" w:sz="4" w:space="0"/>
                  </w:tcBorders>
                  <w:vAlign w:val="center"/>
                </w:tcPr>
                <w:p>
                  <w:pPr>
                    <w:jc w:val="center"/>
                    <w:rPr>
                      <w:bCs/>
                      <w:color w:val="auto"/>
                      <w:kern w:val="0"/>
                      <w:sz w:val="21"/>
                      <w:szCs w:val="21"/>
                    </w:rPr>
                  </w:pPr>
                </w:p>
              </w:tc>
              <w:tc>
                <w:tcPr>
                  <w:tcW w:w="1086" w:type="dxa"/>
                  <w:tcBorders>
                    <w:top w:val="single" w:color="auto" w:sz="4" w:space="0"/>
                    <w:left w:val="nil"/>
                    <w:right w:val="single" w:color="auto" w:sz="4" w:space="0"/>
                  </w:tcBorders>
                  <w:vAlign w:val="center"/>
                </w:tcPr>
                <w:p>
                  <w:pPr>
                    <w:adjustRightInd w:val="0"/>
                    <w:snapToGrid w:val="0"/>
                    <w:jc w:val="center"/>
                    <w:rPr>
                      <w:rFonts w:hint="eastAsia" w:eastAsia="宋体"/>
                      <w:bCs/>
                      <w:color w:val="auto"/>
                      <w:kern w:val="0"/>
                      <w:sz w:val="21"/>
                      <w:szCs w:val="21"/>
                      <w:lang w:val="en-US" w:eastAsia="zh-CN"/>
                    </w:rPr>
                  </w:pPr>
                  <w:r>
                    <w:rPr>
                      <w:rFonts w:hint="eastAsia"/>
                      <w:bCs/>
                      <w:color w:val="auto"/>
                      <w:kern w:val="0"/>
                      <w:sz w:val="21"/>
                      <w:szCs w:val="21"/>
                      <w:lang w:val="en-US" w:eastAsia="zh-CN"/>
                    </w:rPr>
                    <w:t>水</w:t>
                  </w:r>
                </w:p>
              </w:tc>
              <w:tc>
                <w:tcPr>
                  <w:tcW w:w="1329"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eastAsia="宋体"/>
                      <w:color w:val="auto"/>
                      <w:kern w:val="0"/>
                      <w:sz w:val="21"/>
                      <w:szCs w:val="21"/>
                      <w:lang w:val="en-US" w:eastAsia="zh-CN"/>
                    </w:rPr>
                  </w:pPr>
                  <w:r>
                    <w:rPr>
                      <w:rFonts w:hint="eastAsia"/>
                      <w:b w:val="0"/>
                      <w:bCs/>
                      <w:sz w:val="21"/>
                      <w:szCs w:val="21"/>
                      <w:lang w:val="en-US" w:eastAsia="zh-CN" w:bidi="ar"/>
                    </w:rPr>
                    <w:t>83690.5t/a</w:t>
                  </w:r>
                </w:p>
              </w:tc>
              <w:tc>
                <w:tcPr>
                  <w:tcW w:w="1483"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eastAsia="宋体"/>
                      <w:color w:val="auto"/>
                      <w:kern w:val="0"/>
                      <w:sz w:val="21"/>
                      <w:szCs w:val="21"/>
                      <w:lang w:val="en-US" w:eastAsia="zh-CN"/>
                    </w:rPr>
                  </w:pPr>
                  <w:r>
                    <w:rPr>
                      <w:rFonts w:hint="eastAsia"/>
                      <w:color w:val="auto"/>
                      <w:kern w:val="0"/>
                      <w:sz w:val="21"/>
                      <w:szCs w:val="21"/>
                      <w:lang w:val="en-US" w:eastAsia="zh-CN"/>
                    </w:rPr>
                    <w:t>/</w:t>
                  </w:r>
                </w:p>
              </w:tc>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olor w:val="auto"/>
                      <w:kern w:val="0"/>
                      <w:sz w:val="21"/>
                      <w:szCs w:val="21"/>
                      <w:lang w:val="en-US" w:eastAsia="zh-CN"/>
                    </w:rPr>
                  </w:pPr>
                  <w:r>
                    <w:rPr>
                      <w:rFonts w:hint="eastAsia"/>
                      <w:color w:val="auto"/>
                      <w:kern w:val="0"/>
                      <w:sz w:val="21"/>
                      <w:szCs w:val="21"/>
                      <w:lang w:val="en-US" w:eastAsia="zh-CN"/>
                    </w:rPr>
                    <w:t>/</w:t>
                  </w:r>
                </w:p>
              </w:tc>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olor w:val="auto"/>
                      <w:kern w:val="0"/>
                      <w:sz w:val="21"/>
                      <w:szCs w:val="21"/>
                      <w:lang w:val="en-US" w:eastAsia="zh-CN"/>
                    </w:rPr>
                  </w:pPr>
                  <w:r>
                    <w:rPr>
                      <w:rFonts w:hint="eastAsia"/>
                      <w:color w:val="auto"/>
                      <w:kern w:val="0"/>
                      <w:sz w:val="21"/>
                      <w:szCs w:val="21"/>
                      <w:lang w:val="en-US" w:eastAsia="zh-CN"/>
                    </w:rPr>
                    <w:t>/</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kern w:val="0"/>
                      <w:sz w:val="21"/>
                      <w:szCs w:val="21"/>
                      <w:lang w:val="en-US" w:eastAsia="zh-CN"/>
                    </w:rPr>
                  </w:pPr>
                  <w:r>
                    <w:rPr>
                      <w:rFonts w:ascii="Times New Roman" w:hAnsi="Times New Roman"/>
                      <w:sz w:val="21"/>
                      <w:szCs w:val="21"/>
                      <w:lang w:bidi="ar"/>
                    </w:rPr>
                    <w:t>供</w:t>
                  </w:r>
                  <w:r>
                    <w:rPr>
                      <w:rFonts w:hint="eastAsia" w:ascii="Times New Roman" w:hAnsi="Times New Roman"/>
                      <w:sz w:val="21"/>
                      <w:szCs w:val="21"/>
                      <w:lang w:val="en-US" w:eastAsia="zh-CN" w:bidi="ar"/>
                    </w:rPr>
                    <w:t>水</w:t>
                  </w:r>
                  <w:r>
                    <w:rPr>
                      <w:rFonts w:ascii="Times New Roman" w:hAnsi="Times New Roman"/>
                      <w:sz w:val="21"/>
                      <w:szCs w:val="21"/>
                      <w:lang w:bidi="ar"/>
                    </w:rPr>
                    <w:t>管网</w:t>
                  </w:r>
                </w:p>
              </w:tc>
            </w:tr>
          </w:tbl>
          <w:p>
            <w:pPr>
              <w:keepNext w:val="0"/>
              <w:keepLines w:val="0"/>
              <w:pageBreakBefore w:val="0"/>
              <w:widowControl w:val="0"/>
              <w:kinsoku/>
              <w:wordWrap/>
              <w:overflowPunct/>
              <w:topLinePunct w:val="0"/>
              <w:autoSpaceDE/>
              <w:autoSpaceDN/>
              <w:bidi w:val="0"/>
              <w:adjustRightInd w:val="0"/>
              <w:snapToGrid w:val="0"/>
              <w:spacing w:before="157" w:beforeLines="50"/>
              <w:ind w:firstLine="482" w:firstLineChars="200"/>
              <w:jc w:val="center"/>
              <w:textAlignment w:val="auto"/>
              <w:rPr>
                <w:b/>
                <w:kern w:val="0"/>
              </w:rPr>
            </w:pPr>
            <w:r>
              <w:rPr>
                <w:rFonts w:hint="eastAsia"/>
                <w:b/>
                <w:bCs/>
              </w:rPr>
              <w:t xml:space="preserve">表2.5 </w:t>
            </w:r>
            <w:r>
              <w:rPr>
                <w:rFonts w:hint="eastAsia"/>
                <w:b/>
                <w:bCs/>
                <w:lang w:val="en-US" w:eastAsia="zh-CN"/>
              </w:rPr>
              <w:t xml:space="preserve"> </w:t>
            </w:r>
            <w:r>
              <w:rPr>
                <w:rFonts w:hint="eastAsia"/>
                <w:b/>
                <w:bCs/>
              </w:rPr>
              <w:t>涉及物质主要理化性质及成分</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5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3" w:type="dxa"/>
                  <w:vAlign w:val="center"/>
                </w:tcPr>
                <w:p>
                  <w:pPr>
                    <w:jc w:val="center"/>
                    <w:rPr>
                      <w:b/>
                      <w:bCs/>
                      <w:sz w:val="21"/>
                      <w:szCs w:val="21"/>
                    </w:rPr>
                  </w:pPr>
                  <w:r>
                    <w:rPr>
                      <w:rFonts w:hint="eastAsia"/>
                      <w:b/>
                      <w:bCs/>
                      <w:sz w:val="21"/>
                      <w:szCs w:val="21"/>
                    </w:rPr>
                    <w:t>物质名称</w:t>
                  </w:r>
                </w:p>
              </w:tc>
              <w:tc>
                <w:tcPr>
                  <w:tcW w:w="5722" w:type="dxa"/>
                  <w:vAlign w:val="center"/>
                </w:tcPr>
                <w:p>
                  <w:pPr>
                    <w:jc w:val="center"/>
                    <w:rPr>
                      <w:b/>
                      <w:bCs/>
                      <w:sz w:val="21"/>
                      <w:szCs w:val="21"/>
                    </w:rPr>
                  </w:pPr>
                  <w:r>
                    <w:rPr>
                      <w:rFonts w:hint="eastAsia"/>
                      <w:b/>
                      <w:bCs/>
                      <w:sz w:val="21"/>
                      <w:szCs w:val="21"/>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3" w:type="dxa"/>
                  <w:vAlign w:val="center"/>
                </w:tcPr>
                <w:p>
                  <w:pPr>
                    <w:jc w:val="center"/>
                    <w:rPr>
                      <w:rFonts w:hint="eastAsia" w:eastAsia="宋体"/>
                      <w:sz w:val="21"/>
                      <w:szCs w:val="21"/>
                      <w:lang w:val="en-US" w:eastAsia="zh-CN"/>
                    </w:rPr>
                  </w:pPr>
                  <w:r>
                    <w:rPr>
                      <w:rFonts w:hint="eastAsia"/>
                      <w:sz w:val="21"/>
                      <w:szCs w:val="21"/>
                      <w:lang w:val="en-US" w:eastAsia="zh-CN"/>
                    </w:rPr>
                    <w:t>水泥</w:t>
                  </w:r>
                </w:p>
              </w:tc>
              <w:tc>
                <w:tcPr>
                  <w:tcW w:w="5722" w:type="dxa"/>
                  <w:vAlign w:val="center"/>
                </w:tcPr>
                <w:p>
                  <w:pPr>
                    <w:ind w:firstLine="420" w:firstLineChars="200"/>
                    <w:jc w:val="left"/>
                    <w:rPr>
                      <w:sz w:val="21"/>
                      <w:szCs w:val="21"/>
                    </w:rPr>
                  </w:pPr>
                  <w:r>
                    <w:rPr>
                      <w:sz w:val="21"/>
                      <w:szCs w:val="21"/>
                    </w:rPr>
                    <w:t>粉状水硬性</w:t>
                  </w:r>
                  <w:r>
                    <w:rPr>
                      <w:rFonts w:hint="default"/>
                      <w:sz w:val="21"/>
                      <w:szCs w:val="21"/>
                    </w:rPr>
                    <w:fldChar w:fldCharType="begin"/>
                  </w:r>
                  <w:r>
                    <w:rPr>
                      <w:rFonts w:hint="default"/>
                      <w:sz w:val="21"/>
                      <w:szCs w:val="21"/>
                    </w:rPr>
                    <w:instrText xml:space="preserve"> HYPERLINK "https://baike.baidu.com/item/%E6%97%A0%E6%9C%BA%E8%83%B6%E5%87%9D%E6%9D%90%E6%96%99/7802050" \t "https://baike.baidu.com/item/%E6%B0%B4%E6%B3%A5/_blank" </w:instrText>
                  </w:r>
                  <w:r>
                    <w:rPr>
                      <w:rFonts w:hint="default"/>
                      <w:sz w:val="21"/>
                      <w:szCs w:val="21"/>
                    </w:rPr>
                    <w:fldChar w:fldCharType="separate"/>
                  </w:r>
                  <w:r>
                    <w:rPr>
                      <w:rFonts w:hint="default"/>
                      <w:sz w:val="21"/>
                      <w:szCs w:val="21"/>
                    </w:rPr>
                    <w:t>无机胶凝材料</w:t>
                  </w:r>
                  <w:r>
                    <w:rPr>
                      <w:rFonts w:hint="default"/>
                      <w:sz w:val="21"/>
                      <w:szCs w:val="21"/>
                    </w:rPr>
                    <w:fldChar w:fldCharType="end"/>
                  </w:r>
                  <w:r>
                    <w:rPr>
                      <w:rFonts w:hint="default"/>
                      <w:sz w:val="21"/>
                      <w:szCs w:val="21"/>
                    </w:rPr>
                    <w:t>。加水搅拌后成</w:t>
                  </w:r>
                  <w:r>
                    <w:rPr>
                      <w:rFonts w:hint="default"/>
                      <w:sz w:val="21"/>
                      <w:szCs w:val="21"/>
                    </w:rPr>
                    <w:fldChar w:fldCharType="begin"/>
                  </w:r>
                  <w:r>
                    <w:rPr>
                      <w:rFonts w:hint="default"/>
                      <w:sz w:val="21"/>
                      <w:szCs w:val="21"/>
                    </w:rPr>
                    <w:instrText xml:space="preserve"> HYPERLINK "https://baike.baidu.com/item/%E6%B5%86%E4%BD%93/56169892" \t "https://baike.baidu.com/item/%E6%B0%B4%E6%B3%A5/_blank" </w:instrText>
                  </w:r>
                  <w:r>
                    <w:rPr>
                      <w:rFonts w:hint="default"/>
                      <w:sz w:val="21"/>
                      <w:szCs w:val="21"/>
                    </w:rPr>
                    <w:fldChar w:fldCharType="separate"/>
                  </w:r>
                  <w:r>
                    <w:rPr>
                      <w:rFonts w:hint="default"/>
                      <w:sz w:val="21"/>
                      <w:szCs w:val="21"/>
                    </w:rPr>
                    <w:t>浆体</w:t>
                  </w:r>
                  <w:r>
                    <w:rPr>
                      <w:rFonts w:hint="default"/>
                      <w:sz w:val="21"/>
                      <w:szCs w:val="21"/>
                    </w:rPr>
                    <w:fldChar w:fldCharType="end"/>
                  </w:r>
                  <w:r>
                    <w:rPr>
                      <w:rFonts w:hint="default"/>
                      <w:sz w:val="21"/>
                      <w:szCs w:val="21"/>
                    </w:rPr>
                    <w:t>，能在空气中</w:t>
                  </w:r>
                  <w:r>
                    <w:rPr>
                      <w:rFonts w:hint="default"/>
                      <w:sz w:val="21"/>
                      <w:szCs w:val="21"/>
                    </w:rPr>
                    <w:fldChar w:fldCharType="begin"/>
                  </w:r>
                  <w:r>
                    <w:rPr>
                      <w:rFonts w:hint="default"/>
                      <w:sz w:val="21"/>
                      <w:szCs w:val="21"/>
                    </w:rPr>
                    <w:instrText xml:space="preserve"> HYPERLINK "https://baike.baidu.com/item/%E7%A1%AC%E5%8C%96/1588938" \t "https://baike.baidu.com/item/%E6%B0%B4%E6%B3%A5/_blank" </w:instrText>
                  </w:r>
                  <w:r>
                    <w:rPr>
                      <w:rFonts w:hint="default"/>
                      <w:sz w:val="21"/>
                      <w:szCs w:val="21"/>
                    </w:rPr>
                    <w:fldChar w:fldCharType="separate"/>
                  </w:r>
                  <w:r>
                    <w:rPr>
                      <w:rFonts w:hint="default"/>
                      <w:sz w:val="21"/>
                      <w:szCs w:val="21"/>
                    </w:rPr>
                    <w:t>硬化</w:t>
                  </w:r>
                  <w:r>
                    <w:rPr>
                      <w:rFonts w:hint="default"/>
                      <w:sz w:val="21"/>
                      <w:szCs w:val="21"/>
                    </w:rPr>
                    <w:fldChar w:fldCharType="end"/>
                  </w:r>
                  <w:r>
                    <w:rPr>
                      <w:rFonts w:hint="default"/>
                      <w:sz w:val="21"/>
                      <w:szCs w:val="21"/>
                    </w:rPr>
                    <w:t>或者在水中硬化，并能把砂、石等材料牢固地</w:t>
                  </w:r>
                  <w:r>
                    <w:rPr>
                      <w:rFonts w:hint="default"/>
                      <w:sz w:val="21"/>
                      <w:szCs w:val="21"/>
                    </w:rPr>
                    <w:fldChar w:fldCharType="begin"/>
                  </w:r>
                  <w:r>
                    <w:rPr>
                      <w:rFonts w:hint="default"/>
                      <w:sz w:val="21"/>
                      <w:szCs w:val="21"/>
                    </w:rPr>
                    <w:instrText xml:space="preserve"> HYPERLINK "https://baike.baidu.com/item/%E8%83%B6%E7%BB%93/6481488" \t "https://baike.baidu.com/item/%E6%B0%B4%E6%B3%A5/_blank" </w:instrText>
                  </w:r>
                  <w:r>
                    <w:rPr>
                      <w:rFonts w:hint="default"/>
                      <w:sz w:val="21"/>
                      <w:szCs w:val="21"/>
                    </w:rPr>
                    <w:fldChar w:fldCharType="separate"/>
                  </w:r>
                  <w:r>
                    <w:rPr>
                      <w:rFonts w:hint="default"/>
                      <w:sz w:val="21"/>
                      <w:szCs w:val="21"/>
                    </w:rPr>
                    <w:t>胶结</w:t>
                  </w:r>
                  <w:r>
                    <w:rPr>
                      <w:rFonts w:hint="default"/>
                      <w:sz w:val="21"/>
                      <w:szCs w:val="21"/>
                    </w:rPr>
                    <w:fldChar w:fldCharType="end"/>
                  </w:r>
                  <w:r>
                    <w:rPr>
                      <w:rFonts w:hint="default"/>
                      <w:sz w:val="21"/>
                      <w:szCs w:val="21"/>
                    </w:rPr>
                    <w:t>在一起。</w:t>
                  </w:r>
                  <w:r>
                    <w:rPr>
                      <w:rFonts w:hint="eastAsia"/>
                      <w:sz w:val="21"/>
                      <w:szCs w:val="21"/>
                      <w:lang w:val="en-US" w:eastAsia="zh-CN"/>
                    </w:rPr>
                    <w:t>水泥</w:t>
                  </w:r>
                  <w:r>
                    <w:rPr>
                      <w:rFonts w:hint="default"/>
                      <w:sz w:val="21"/>
                      <w:szCs w:val="21"/>
                    </w:rPr>
                    <w:t>作为一种重要的</w:t>
                  </w:r>
                  <w:r>
                    <w:rPr>
                      <w:rFonts w:hint="default"/>
                      <w:sz w:val="21"/>
                      <w:szCs w:val="21"/>
                    </w:rPr>
                    <w:fldChar w:fldCharType="begin"/>
                  </w:r>
                  <w:r>
                    <w:rPr>
                      <w:rFonts w:hint="default"/>
                      <w:sz w:val="21"/>
                      <w:szCs w:val="21"/>
                    </w:rPr>
                    <w:instrText xml:space="preserve"> HYPERLINK "https://baike.baidu.com/item/%E8%83%B6%E5%87%9D%E6%9D%90%E6%96%99/8872636" \t "https://baike.baidu.com/item/%E6%B0%B4%E6%B3%A5/_blank" </w:instrText>
                  </w:r>
                  <w:r>
                    <w:rPr>
                      <w:rFonts w:hint="default"/>
                      <w:sz w:val="21"/>
                      <w:szCs w:val="21"/>
                    </w:rPr>
                    <w:fldChar w:fldCharType="separate"/>
                  </w:r>
                  <w:r>
                    <w:rPr>
                      <w:rFonts w:hint="default"/>
                      <w:sz w:val="21"/>
                      <w:szCs w:val="21"/>
                    </w:rPr>
                    <w:t>胶凝材料</w:t>
                  </w:r>
                  <w:r>
                    <w:rPr>
                      <w:rFonts w:hint="default"/>
                      <w:sz w:val="21"/>
                      <w:szCs w:val="21"/>
                    </w:rPr>
                    <w:fldChar w:fldCharType="end"/>
                  </w:r>
                  <w:r>
                    <w:rPr>
                      <w:rFonts w:hint="default"/>
                      <w:sz w:val="21"/>
                      <w:szCs w:val="21"/>
                    </w:rPr>
                    <w:t>，广泛应用于</w:t>
                  </w:r>
                  <w:r>
                    <w:rPr>
                      <w:rFonts w:hint="default"/>
                      <w:sz w:val="21"/>
                      <w:szCs w:val="21"/>
                    </w:rPr>
                    <w:fldChar w:fldCharType="begin"/>
                  </w:r>
                  <w:r>
                    <w:rPr>
                      <w:rFonts w:hint="default"/>
                      <w:sz w:val="21"/>
                      <w:szCs w:val="21"/>
                    </w:rPr>
                    <w:instrText xml:space="preserve"> HYPERLINK "https://baike.baidu.com/item/%E5%9C%9F%E6%9C%A8%E5%BB%BA%E7%AD%91/10230241" \t "https://baike.baidu.com/item/%E6%B0%B4%E6%B3%A5/_blank" </w:instrText>
                  </w:r>
                  <w:r>
                    <w:rPr>
                      <w:rFonts w:hint="default"/>
                      <w:sz w:val="21"/>
                      <w:szCs w:val="21"/>
                    </w:rPr>
                    <w:fldChar w:fldCharType="separate"/>
                  </w:r>
                  <w:r>
                    <w:rPr>
                      <w:rFonts w:hint="default"/>
                      <w:sz w:val="21"/>
                      <w:szCs w:val="21"/>
                    </w:rPr>
                    <w:t>土木建筑</w:t>
                  </w:r>
                  <w:r>
                    <w:rPr>
                      <w:rFonts w:hint="default"/>
                      <w:sz w:val="21"/>
                      <w:szCs w:val="21"/>
                    </w:rPr>
                    <w:fldChar w:fldCharType="end"/>
                  </w:r>
                  <w:r>
                    <w:rPr>
                      <w:rFonts w:hint="default"/>
                      <w:sz w:val="21"/>
                      <w:szCs w:val="21"/>
                    </w:rPr>
                    <w:t>、</w:t>
                  </w:r>
                  <w:r>
                    <w:rPr>
                      <w:rFonts w:hint="default"/>
                      <w:sz w:val="21"/>
                      <w:szCs w:val="21"/>
                    </w:rPr>
                    <w:fldChar w:fldCharType="begin"/>
                  </w:r>
                  <w:r>
                    <w:rPr>
                      <w:rFonts w:hint="default"/>
                      <w:sz w:val="21"/>
                      <w:szCs w:val="21"/>
                    </w:rPr>
                    <w:instrText xml:space="preserve"> HYPERLINK "https://baike.baidu.com/item/%E6%B0%B4%E5%88%A9/13872652" \t "https://baike.baidu.com/item/%E6%B0%B4%E6%B3%A5/_blank" </w:instrText>
                  </w:r>
                  <w:r>
                    <w:rPr>
                      <w:rFonts w:hint="default"/>
                      <w:sz w:val="21"/>
                      <w:szCs w:val="21"/>
                    </w:rPr>
                    <w:fldChar w:fldCharType="separate"/>
                  </w:r>
                  <w:r>
                    <w:rPr>
                      <w:rFonts w:hint="default"/>
                      <w:sz w:val="21"/>
                      <w:szCs w:val="21"/>
                    </w:rPr>
                    <w:t>水利</w:t>
                  </w:r>
                  <w:r>
                    <w:rPr>
                      <w:rFonts w:hint="default"/>
                      <w:sz w:val="21"/>
                      <w:szCs w:val="21"/>
                    </w:rPr>
                    <w:fldChar w:fldCharType="end"/>
                  </w:r>
                  <w:r>
                    <w:rPr>
                      <w:rFonts w:hint="default"/>
                      <w:sz w:val="21"/>
                      <w:szCs w:val="21"/>
                    </w:rPr>
                    <w:t>、国防等工程。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3" w:type="dxa"/>
                  <w:vAlign w:val="center"/>
                </w:tcPr>
                <w:p>
                  <w:pPr>
                    <w:jc w:val="center"/>
                    <w:rPr>
                      <w:rFonts w:hint="default"/>
                      <w:sz w:val="21"/>
                      <w:szCs w:val="21"/>
                      <w:lang w:val="en-US" w:eastAsia="zh-CN"/>
                    </w:rPr>
                  </w:pPr>
                  <w:r>
                    <w:rPr>
                      <w:rFonts w:hint="eastAsia"/>
                      <w:sz w:val="21"/>
                      <w:szCs w:val="21"/>
                      <w:lang w:val="en-US" w:eastAsia="zh-CN"/>
                    </w:rPr>
                    <w:t>粉煤灰</w:t>
                  </w:r>
                </w:p>
              </w:tc>
              <w:tc>
                <w:tcPr>
                  <w:tcW w:w="5722" w:type="dxa"/>
                  <w:vAlign w:val="center"/>
                </w:tcPr>
                <w:p>
                  <w:pPr>
                    <w:ind w:firstLine="420" w:firstLineChars="200"/>
                    <w:jc w:val="left"/>
                    <w:rPr>
                      <w:rFonts w:hint="eastAsia" w:eastAsia="宋体"/>
                      <w:sz w:val="21"/>
                      <w:szCs w:val="21"/>
                      <w:lang w:eastAsia="zh-CN"/>
                    </w:rPr>
                  </w:pPr>
                  <w:r>
                    <w:rPr>
                      <w:sz w:val="21"/>
                      <w:szCs w:val="21"/>
                    </w:rPr>
                    <w:t>粉煤灰是燃煤火电厂燃煤后的颗粒物，最后形成的粉煤灰（其中80%~90%为飞灰，10%~20%为炉底灰）是颗粒较细而不均匀的复杂多变的多相物质。粉煤灰的活性主要来自活性SiO</w:t>
                  </w:r>
                  <w:r>
                    <w:rPr>
                      <w:sz w:val="21"/>
                      <w:szCs w:val="21"/>
                      <w:vertAlign w:val="subscript"/>
                    </w:rPr>
                    <w:t>2</w:t>
                  </w:r>
                  <w:r>
                    <w:rPr>
                      <w:sz w:val="21"/>
                      <w:szCs w:val="21"/>
                    </w:rPr>
                    <w:t>（玻璃体SiO</w:t>
                  </w:r>
                  <w:r>
                    <w:rPr>
                      <w:sz w:val="21"/>
                      <w:szCs w:val="21"/>
                      <w:vertAlign w:val="subscript"/>
                    </w:rPr>
                    <w:t>2</w:t>
                  </w:r>
                  <w:r>
                    <w:rPr>
                      <w:sz w:val="21"/>
                      <w:szCs w:val="21"/>
                    </w:rPr>
                    <w:t>）和活性Al</w:t>
                  </w:r>
                  <w:r>
                    <w:rPr>
                      <w:sz w:val="21"/>
                      <w:szCs w:val="21"/>
                      <w:vertAlign w:val="subscript"/>
                    </w:rPr>
                    <w:t>2</w:t>
                  </w:r>
                  <w:r>
                    <w:rPr>
                      <w:sz w:val="21"/>
                      <w:szCs w:val="21"/>
                    </w:rPr>
                    <w:t>O</w:t>
                  </w:r>
                  <w:r>
                    <w:rPr>
                      <w:sz w:val="21"/>
                      <w:szCs w:val="21"/>
                      <w:vertAlign w:val="subscript"/>
                    </w:rPr>
                    <w:t>3</w:t>
                  </w:r>
                  <w:r>
                    <w:rPr>
                      <w:sz w:val="21"/>
                      <w:szCs w:val="21"/>
                    </w:rPr>
                    <w:t>（玻璃体Al</w:t>
                  </w:r>
                  <w:r>
                    <w:rPr>
                      <w:sz w:val="21"/>
                      <w:szCs w:val="21"/>
                      <w:vertAlign w:val="subscript"/>
                    </w:rPr>
                    <w:t>2</w:t>
                  </w:r>
                  <w:r>
                    <w:rPr>
                      <w:sz w:val="21"/>
                      <w:szCs w:val="21"/>
                    </w:rPr>
                    <w:t>O</w:t>
                  </w:r>
                  <w:r>
                    <w:rPr>
                      <w:sz w:val="21"/>
                      <w:szCs w:val="21"/>
                      <w:vertAlign w:val="subscript"/>
                    </w:rPr>
                    <w:t>3</w:t>
                  </w:r>
                  <w:r>
                    <w:rPr>
                      <w:sz w:val="21"/>
                      <w:szCs w:val="21"/>
                    </w:rPr>
                    <w:t>）在一定碱性条件下的水化作用。当其以粉状及水存在时，能在常温，特别是在水热处理（蒸汽养护）条件下，与氢氧化钙或其他碱土金属氢氧化物发生化学反应，生成具有水硬胶凝性能的化合物，成为一种增加强度和耐久性的材料，故广泛应用于水泥、混凝土、轻质墙体建材的生产中</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3" w:type="dxa"/>
                  <w:vAlign w:val="center"/>
                </w:tcPr>
                <w:p>
                  <w:pPr>
                    <w:jc w:val="center"/>
                    <w:rPr>
                      <w:rFonts w:hint="default"/>
                      <w:sz w:val="21"/>
                      <w:szCs w:val="21"/>
                      <w:lang w:val="en-US" w:eastAsia="zh-CN"/>
                    </w:rPr>
                  </w:pPr>
                  <w:r>
                    <w:rPr>
                      <w:rFonts w:hint="eastAsia"/>
                      <w:sz w:val="21"/>
                      <w:szCs w:val="21"/>
                      <w:lang w:val="en-US" w:eastAsia="zh-CN"/>
                    </w:rPr>
                    <w:t>外加剂（减水剂）</w:t>
                  </w:r>
                </w:p>
              </w:tc>
              <w:tc>
                <w:tcPr>
                  <w:tcW w:w="5722" w:type="dxa"/>
                  <w:vAlign w:val="center"/>
                </w:tcPr>
                <w:p>
                  <w:pPr>
                    <w:ind w:firstLine="420" w:firstLineChars="200"/>
                    <w:jc w:val="left"/>
                    <w:rPr>
                      <w:rFonts w:hint="eastAsia" w:eastAsia="宋体"/>
                      <w:sz w:val="21"/>
                      <w:szCs w:val="21"/>
                      <w:lang w:eastAsia="zh-CN"/>
                    </w:rPr>
                  </w:pPr>
                  <w:r>
                    <w:rPr>
                      <w:rFonts w:hint="eastAsia"/>
                      <w:sz w:val="21"/>
                      <w:szCs w:val="21"/>
                    </w:rPr>
                    <w:t>萘系高效减水剂，液体，化学名称萘磺酸盐甲醛缩合物，可全面提高和改善砼的各种性能。无毒，不含重金属，不属于危险化学品。掺量低、减水率高，减水率可高达45%，坍落度经时损失小，预拌混凝土坍落度损失率1h小于5%，2h小于10%，增强效果显著，砼3d抗压强度提高50~110%，28d抗压强度提高40~80%，90d抗压强度提高30~60%</w:t>
                  </w:r>
                  <w:r>
                    <w:rPr>
                      <w:rFonts w:hint="eastAsia"/>
                      <w:sz w:val="21"/>
                      <w:szCs w:val="21"/>
                      <w:lang w:eastAsia="zh-CN"/>
                    </w:rPr>
                    <w:t>。</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b/>
                <w:bCs/>
              </w:rPr>
            </w:pPr>
            <w:r>
              <w:rPr>
                <w:rFonts w:hint="eastAsia"/>
                <w:b/>
                <w:bCs/>
              </w:rPr>
              <w:t>5、水量平衡</w:t>
            </w:r>
          </w:p>
          <w:p>
            <w:pPr>
              <w:spacing w:line="360" w:lineRule="auto"/>
              <w:ind w:firstLine="480" w:firstLineChars="200"/>
              <w:jc w:val="left"/>
              <w:rPr>
                <w:rFonts w:hint="default" w:ascii="Times New Roman" w:hAnsi="Times New Roman" w:eastAsia="宋体" w:cs="Times New Roman"/>
                <w:sz w:val="24"/>
                <w:lang w:val="en-US" w:eastAsia="zh-CN"/>
              </w:rPr>
            </w:pPr>
            <w:r>
              <w:rPr>
                <w:rFonts w:hint="eastAsia" w:ascii="Times New Roman" w:hAnsi="Times New Roman" w:cs="Times New Roman"/>
                <w:sz w:val="24"/>
              </w:rPr>
              <w:t>项目用水主要包含生产用水和生活用水，其中生产用水包括工艺用水，搅拌机清洗用水、车辆清洗用水、作业区清洗用水、厂区喷淋降尘用水等。生活污水经隔油池、化粪池处理后定期清掏不外排；生产废水经厂区沉淀池沉淀处理后循环利用不外排。</w:t>
            </w:r>
            <w:r>
              <w:rPr>
                <w:rFonts w:hint="eastAsia" w:cs="Times New Roman"/>
                <w:sz w:val="24"/>
                <w:lang w:val="en-US" w:eastAsia="zh-CN"/>
              </w:rPr>
              <w:t>项目初期雨水经收集后汇入沉淀池用于车辆冲洗等。</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（1）项目用水及废水产生情况</w:t>
            </w:r>
          </w:p>
          <w:p>
            <w:pPr>
              <w:spacing w:line="360" w:lineRule="auto"/>
              <w:ind w:firstLine="480" w:firstLineChars="200"/>
              <w:rPr>
                <w:rFonts w:ascii="Times New Roman" w:hAnsi="Times New Roman" w:cs="Times New Roman"/>
                <w:bCs/>
                <w:sz w:val="24"/>
              </w:rPr>
            </w:pPr>
            <w:r>
              <w:rPr>
                <w:rFonts w:ascii="Times New Roman" w:hAnsi="Times New Roman" w:cs="Times New Roman"/>
                <w:sz w:val="24"/>
              </w:rPr>
              <w:t>①员工生活用水及生活污水：项目计划劳动人员</w:t>
            </w:r>
            <w:r>
              <w:rPr>
                <w:rFonts w:hint="eastAsia" w:ascii="Times New Roman" w:hAnsi="Times New Roman" w:cs="Times New Roman"/>
                <w:sz w:val="24"/>
                <w:lang w:val="en-US" w:eastAsia="zh-CN"/>
              </w:rPr>
              <w:t>8</w:t>
            </w:r>
            <w:r>
              <w:rPr>
                <w:rFonts w:ascii="Times New Roman" w:hAnsi="Times New Roman" w:cs="Times New Roman"/>
                <w:sz w:val="24"/>
              </w:rPr>
              <w:t>0人，年工作3</w:t>
            </w:r>
            <w:r>
              <w:rPr>
                <w:rFonts w:hint="eastAsia" w:cs="Times New Roman"/>
                <w:sz w:val="24"/>
                <w:lang w:val="en-US" w:eastAsia="zh-CN"/>
              </w:rPr>
              <w:t>1</w:t>
            </w:r>
            <w:r>
              <w:rPr>
                <w:rFonts w:ascii="Times New Roman" w:hAnsi="Times New Roman" w:cs="Times New Roman"/>
                <w:sz w:val="24"/>
              </w:rPr>
              <w:t>0天，厂区提供食宿，根据《安徽行业用水定额》（DB34/T 679-2019），员工用水定额按</w:t>
            </w:r>
            <w:r>
              <w:rPr>
                <w:rFonts w:hint="eastAsia" w:ascii="Times New Roman" w:hAnsi="Times New Roman" w:cs="Times New Roman"/>
                <w:sz w:val="24"/>
                <w:lang w:val="en-US" w:eastAsia="zh-CN"/>
              </w:rPr>
              <w:t>110</w:t>
            </w:r>
            <w:r>
              <w:rPr>
                <w:rFonts w:ascii="Times New Roman" w:hAnsi="Times New Roman" w:cs="Times New Roman"/>
                <w:sz w:val="24"/>
              </w:rPr>
              <w:t>L/人·d计，生活用水量为</w:t>
            </w:r>
            <w:r>
              <w:rPr>
                <w:rFonts w:hint="eastAsia" w:ascii="Times New Roman" w:hAnsi="Times New Roman" w:cs="Times New Roman"/>
                <w:sz w:val="24"/>
                <w:lang w:val="en-US" w:eastAsia="zh-CN"/>
              </w:rPr>
              <w:t>8.8</w:t>
            </w:r>
            <w:r>
              <w:rPr>
                <w:rFonts w:ascii="Times New Roman" w:hAnsi="Times New Roman" w:cs="Times New Roman"/>
                <w:sz w:val="24"/>
              </w:rPr>
              <w:t>t/d（</w:t>
            </w:r>
            <w:r>
              <w:rPr>
                <w:rFonts w:hint="eastAsia" w:ascii="Times New Roman" w:hAnsi="Times New Roman" w:cs="Times New Roman"/>
                <w:sz w:val="24"/>
                <w:lang w:val="en-US" w:eastAsia="zh-CN"/>
              </w:rPr>
              <w:t>2</w:t>
            </w:r>
            <w:r>
              <w:rPr>
                <w:rFonts w:hint="eastAsia" w:cs="Times New Roman"/>
                <w:sz w:val="24"/>
                <w:lang w:val="en-US" w:eastAsia="zh-CN"/>
              </w:rPr>
              <w:t>728</w:t>
            </w:r>
            <w:r>
              <w:rPr>
                <w:rFonts w:ascii="Times New Roman" w:hAnsi="Times New Roman" w:cs="Times New Roman"/>
                <w:sz w:val="24"/>
              </w:rPr>
              <w:t>t/a）</w:t>
            </w:r>
            <w:r>
              <w:rPr>
                <w:rFonts w:ascii="Times New Roman" w:hAnsi="Times New Roman" w:cs="Times New Roman"/>
                <w:bCs/>
                <w:sz w:val="24"/>
              </w:rPr>
              <w:t>，废水产生系数取80%，则生活污水产生量为</w:t>
            </w:r>
            <w:r>
              <w:rPr>
                <w:rFonts w:hint="eastAsia" w:ascii="Times New Roman" w:hAnsi="Times New Roman" w:cs="Times New Roman"/>
                <w:bCs/>
                <w:sz w:val="24"/>
                <w:lang w:val="en-US" w:eastAsia="zh-CN"/>
              </w:rPr>
              <w:t>7.0</w:t>
            </w:r>
            <w:r>
              <w:rPr>
                <w:rFonts w:ascii="Times New Roman" w:hAnsi="Times New Roman" w:cs="Times New Roman"/>
                <w:bCs/>
                <w:sz w:val="24"/>
              </w:rPr>
              <w:t>4t/d（</w:t>
            </w:r>
            <w:r>
              <w:rPr>
                <w:rFonts w:hint="eastAsia" w:ascii="Times New Roman" w:hAnsi="Times New Roman" w:cs="Times New Roman"/>
                <w:bCs/>
                <w:sz w:val="24"/>
                <w:lang w:val="en-US" w:eastAsia="zh-CN"/>
              </w:rPr>
              <w:t>2</w:t>
            </w:r>
            <w:r>
              <w:rPr>
                <w:rFonts w:hint="eastAsia" w:cs="Times New Roman"/>
                <w:bCs/>
                <w:sz w:val="24"/>
                <w:lang w:val="en-US" w:eastAsia="zh-CN"/>
              </w:rPr>
              <w:t>182.4</w:t>
            </w:r>
            <w:r>
              <w:rPr>
                <w:rFonts w:ascii="Times New Roman" w:hAnsi="Times New Roman" w:cs="Times New Roman"/>
                <w:bCs/>
                <w:sz w:val="24"/>
              </w:rPr>
              <w:t>t/a）。</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生活污水经</w:t>
            </w:r>
            <w:r>
              <w:rPr>
                <w:rFonts w:hint="eastAsia" w:ascii="Times New Roman" w:hAnsi="Times New Roman" w:cs="Times New Roman"/>
                <w:sz w:val="24"/>
                <w:lang w:val="en-US" w:eastAsia="zh-CN"/>
              </w:rPr>
              <w:t>隔油池、</w:t>
            </w:r>
            <w:r>
              <w:rPr>
                <w:rFonts w:ascii="Times New Roman" w:hAnsi="Times New Roman" w:cs="Times New Roman"/>
                <w:sz w:val="24"/>
              </w:rPr>
              <w:t>化粪池处理后定期清掏</w:t>
            </w:r>
            <w:r>
              <w:rPr>
                <w:rFonts w:hint="eastAsia" w:ascii="Times New Roman" w:hAnsi="Times New Roman" w:cs="Times New Roman"/>
                <w:sz w:val="24"/>
                <w:lang w:val="en-US" w:eastAsia="zh-CN"/>
              </w:rPr>
              <w:t>外运</w:t>
            </w:r>
            <w:r>
              <w:rPr>
                <w:rFonts w:ascii="Times New Roman" w:hAnsi="Times New Roman" w:cs="Times New Roman"/>
                <w:sz w:val="24"/>
              </w:rPr>
              <w:t>，不外排。</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②生产用水：本项目生产用水为生产</w:t>
            </w:r>
            <w:r>
              <w:rPr>
                <w:rFonts w:hint="eastAsia" w:ascii="Times New Roman" w:hAnsi="Times New Roman" w:cs="Times New Roman"/>
                <w:sz w:val="24"/>
                <w:lang w:val="en-US" w:eastAsia="zh-CN"/>
              </w:rPr>
              <w:t>70</w:t>
            </w:r>
            <w:r>
              <w:rPr>
                <w:rFonts w:ascii="Times New Roman" w:hAnsi="Times New Roman" w:cs="Times New Roman"/>
                <w:sz w:val="24"/>
              </w:rPr>
              <w:t>万m</w:t>
            </w:r>
            <w:r>
              <w:rPr>
                <w:rFonts w:ascii="Times New Roman" w:hAnsi="Times New Roman" w:cs="Times New Roman"/>
                <w:sz w:val="24"/>
                <w:vertAlign w:val="superscript"/>
              </w:rPr>
              <w:t>3</w:t>
            </w:r>
            <w:r>
              <w:rPr>
                <w:rFonts w:ascii="Times New Roman" w:hAnsi="Times New Roman" w:cs="Times New Roman"/>
                <w:sz w:val="24"/>
              </w:rPr>
              <w:t>/a商品混凝土，生产过程工艺用水主要为配料用水，工艺用水消耗按照混凝土1</w:t>
            </w:r>
            <w:r>
              <w:rPr>
                <w:rFonts w:hint="eastAsia" w:ascii="Times New Roman" w:hAnsi="Times New Roman" w:cs="Times New Roman"/>
                <w:sz w:val="24"/>
                <w:lang w:val="en-US" w:eastAsia="zh-CN"/>
              </w:rPr>
              <w:t>1</w:t>
            </w:r>
            <w:r>
              <w:rPr>
                <w:rFonts w:ascii="Times New Roman" w:hAnsi="Times New Roman" w:cs="Times New Roman"/>
                <w:sz w:val="24"/>
              </w:rPr>
              <w:t>0kg/m</w:t>
            </w:r>
            <w:r>
              <w:rPr>
                <w:rFonts w:ascii="Times New Roman" w:hAnsi="Times New Roman" w:cs="Times New Roman"/>
                <w:sz w:val="24"/>
                <w:vertAlign w:val="superscript"/>
              </w:rPr>
              <w:t>3</w:t>
            </w:r>
            <w:r>
              <w:rPr>
                <w:rFonts w:ascii="Times New Roman" w:hAnsi="Times New Roman" w:cs="Times New Roman"/>
                <w:sz w:val="24"/>
              </w:rPr>
              <w:t>，年工艺用水</w:t>
            </w:r>
            <w:r>
              <w:rPr>
                <w:rFonts w:hint="eastAsia" w:ascii="Times New Roman" w:hAnsi="Times New Roman" w:cs="Times New Roman"/>
                <w:sz w:val="24"/>
                <w:lang w:val="en-US" w:eastAsia="zh-CN"/>
              </w:rPr>
              <w:t>7.7</w:t>
            </w:r>
            <w:r>
              <w:rPr>
                <w:rFonts w:ascii="Times New Roman" w:hAnsi="Times New Roman" w:cs="Times New Roman"/>
                <w:sz w:val="24"/>
              </w:rPr>
              <w:t>万m</w:t>
            </w:r>
            <w:r>
              <w:rPr>
                <w:rFonts w:ascii="Times New Roman" w:hAnsi="Times New Roman" w:cs="Times New Roman"/>
                <w:sz w:val="24"/>
                <w:vertAlign w:val="superscript"/>
              </w:rPr>
              <w:t>3</w:t>
            </w:r>
            <w:r>
              <w:rPr>
                <w:rFonts w:ascii="Times New Roman" w:hAnsi="Times New Roman" w:cs="Times New Roman"/>
                <w:sz w:val="24"/>
              </w:rPr>
              <w:t>。工艺用水为一次性用水。</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③搅拌机清洗用水：搅拌机在暂停停止生产时必须清洗干净，按照搅拌机每天清洗一次，清洗用水按1m</w:t>
            </w:r>
            <w:r>
              <w:rPr>
                <w:rFonts w:ascii="Times New Roman" w:hAnsi="Times New Roman" w:cs="Times New Roman"/>
                <w:bCs/>
                <w:sz w:val="24"/>
                <w:vertAlign w:val="superscript"/>
              </w:rPr>
              <w:t>3</w:t>
            </w:r>
            <w:r>
              <w:rPr>
                <w:rFonts w:ascii="Times New Roman" w:hAnsi="Times New Roman" w:cs="Times New Roman"/>
                <w:bCs/>
                <w:sz w:val="24"/>
              </w:rPr>
              <w:t>/d计，年工作3</w:t>
            </w:r>
            <w:r>
              <w:rPr>
                <w:rFonts w:hint="eastAsia" w:ascii="Times New Roman" w:hAnsi="Times New Roman" w:cs="Times New Roman"/>
                <w:bCs/>
                <w:sz w:val="24"/>
                <w:lang w:val="en-US" w:eastAsia="zh-CN"/>
              </w:rPr>
              <w:t>0</w:t>
            </w:r>
            <w:r>
              <w:rPr>
                <w:rFonts w:ascii="Times New Roman" w:hAnsi="Times New Roman" w:cs="Times New Roman"/>
                <w:bCs/>
                <w:sz w:val="24"/>
              </w:rPr>
              <w:t>0d，则搅拌主机清洗用水量为3</w:t>
            </w:r>
            <w:r>
              <w:rPr>
                <w:rFonts w:hint="eastAsia" w:ascii="Times New Roman" w:hAnsi="Times New Roman" w:cs="Times New Roman"/>
                <w:bCs/>
                <w:sz w:val="24"/>
                <w:lang w:val="en-US" w:eastAsia="zh-CN"/>
              </w:rPr>
              <w:t>00</w:t>
            </w:r>
            <w:r>
              <w:rPr>
                <w:rFonts w:ascii="Times New Roman" w:hAnsi="Times New Roman" w:cs="Times New Roman"/>
                <w:bCs/>
                <w:sz w:val="24"/>
              </w:rPr>
              <w:t>m</w:t>
            </w:r>
            <w:r>
              <w:rPr>
                <w:rFonts w:ascii="Times New Roman" w:hAnsi="Times New Roman" w:cs="Times New Roman"/>
                <w:bCs/>
                <w:sz w:val="24"/>
                <w:vertAlign w:val="superscript"/>
              </w:rPr>
              <w:t>3</w:t>
            </w:r>
            <w:r>
              <w:rPr>
                <w:rFonts w:ascii="Times New Roman" w:hAnsi="Times New Roman" w:cs="Times New Roman"/>
                <w:bCs/>
                <w:sz w:val="24"/>
              </w:rPr>
              <w:t>/a。搅拌机清洗废水按照0.8计，则清洗废水产生量为2</w:t>
            </w:r>
            <w:r>
              <w:rPr>
                <w:rFonts w:hint="eastAsia" w:ascii="Times New Roman" w:hAnsi="Times New Roman" w:cs="Times New Roman"/>
                <w:bCs/>
                <w:sz w:val="24"/>
                <w:lang w:val="en-US" w:eastAsia="zh-CN"/>
              </w:rPr>
              <w:t>40</w:t>
            </w:r>
            <w:r>
              <w:rPr>
                <w:rFonts w:ascii="Times New Roman" w:hAnsi="Times New Roman" w:cs="Times New Roman"/>
                <w:bCs/>
                <w:sz w:val="24"/>
              </w:rPr>
              <w:t>m</w:t>
            </w:r>
            <w:r>
              <w:rPr>
                <w:rFonts w:ascii="Times New Roman" w:hAnsi="Times New Roman" w:cs="Times New Roman"/>
                <w:bCs/>
                <w:sz w:val="24"/>
                <w:vertAlign w:val="superscript"/>
              </w:rPr>
              <w:t>3</w:t>
            </w:r>
            <w:r>
              <w:rPr>
                <w:rFonts w:ascii="Times New Roman" w:hAnsi="Times New Roman" w:cs="Times New Roman"/>
                <w:bCs/>
                <w:sz w:val="24"/>
              </w:rPr>
              <w:t>/a。搅拌机清洗废水经厂区沉淀池沉淀后回用，不外排。则需定期补充新鲜水量为</w:t>
            </w:r>
            <w:r>
              <w:rPr>
                <w:rFonts w:hint="eastAsia" w:ascii="Times New Roman" w:hAnsi="Times New Roman" w:cs="Times New Roman"/>
                <w:bCs/>
                <w:sz w:val="24"/>
                <w:lang w:val="en-US" w:eastAsia="zh-CN"/>
              </w:rPr>
              <w:t>60</w:t>
            </w:r>
            <w:r>
              <w:rPr>
                <w:rFonts w:ascii="Times New Roman" w:hAnsi="Times New Roman" w:cs="Times New Roman"/>
                <w:bCs/>
                <w:sz w:val="24"/>
              </w:rPr>
              <w:t>t/a。</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④作业区地面冲洗用水：本项目生产车间面积为2</w:t>
            </w:r>
            <w:r>
              <w:rPr>
                <w:rFonts w:hint="eastAsia" w:ascii="Times New Roman" w:hAnsi="Times New Roman" w:cs="Times New Roman"/>
                <w:bCs/>
                <w:sz w:val="24"/>
                <w:lang w:val="en-US" w:eastAsia="zh-CN"/>
              </w:rPr>
              <w:t>0</w:t>
            </w:r>
            <w:r>
              <w:rPr>
                <w:rFonts w:ascii="Times New Roman" w:hAnsi="Times New Roman" w:cs="Times New Roman"/>
                <w:bCs/>
                <w:sz w:val="24"/>
              </w:rPr>
              <w:t>00m</w:t>
            </w:r>
            <w:r>
              <w:rPr>
                <w:rFonts w:ascii="Times New Roman" w:hAnsi="Times New Roman" w:cs="Times New Roman"/>
                <w:bCs/>
                <w:sz w:val="24"/>
                <w:vertAlign w:val="superscript"/>
              </w:rPr>
              <w:t>2</w:t>
            </w:r>
            <w:r>
              <w:rPr>
                <w:rFonts w:ascii="Times New Roman" w:hAnsi="Times New Roman" w:cs="Times New Roman"/>
                <w:bCs/>
                <w:sz w:val="24"/>
              </w:rPr>
              <w:t>，冲洗用水量按1.0m</w:t>
            </w:r>
            <w:r>
              <w:rPr>
                <w:rFonts w:ascii="Times New Roman" w:hAnsi="Times New Roman" w:cs="Times New Roman"/>
                <w:bCs/>
                <w:sz w:val="24"/>
                <w:vertAlign w:val="superscript"/>
              </w:rPr>
              <w:t>3</w:t>
            </w:r>
            <w:r>
              <w:rPr>
                <w:rFonts w:ascii="Times New Roman" w:hAnsi="Times New Roman" w:cs="Times New Roman"/>
                <w:bCs/>
                <w:sz w:val="24"/>
              </w:rPr>
              <w:t>/100m</w:t>
            </w:r>
            <w:r>
              <w:rPr>
                <w:rFonts w:ascii="Times New Roman" w:hAnsi="Times New Roman" w:cs="Times New Roman"/>
                <w:bCs/>
                <w:sz w:val="24"/>
                <w:vertAlign w:val="superscript"/>
              </w:rPr>
              <w:t>2</w:t>
            </w:r>
            <w:r>
              <w:rPr>
                <w:rFonts w:ascii="Times New Roman" w:hAnsi="Times New Roman" w:cs="Times New Roman"/>
                <w:bCs/>
                <w:sz w:val="24"/>
              </w:rPr>
              <w:t>·d计，则冲洗用水量为2</w:t>
            </w:r>
            <w:r>
              <w:rPr>
                <w:rFonts w:hint="eastAsia" w:ascii="Times New Roman" w:hAnsi="Times New Roman" w:cs="Times New Roman"/>
                <w:bCs/>
                <w:sz w:val="24"/>
                <w:lang w:val="en-US" w:eastAsia="zh-CN"/>
              </w:rPr>
              <w:t>0</w:t>
            </w:r>
            <w:r>
              <w:rPr>
                <w:rFonts w:ascii="Times New Roman" w:hAnsi="Times New Roman" w:cs="Times New Roman"/>
                <w:bCs/>
                <w:sz w:val="24"/>
              </w:rPr>
              <w:t>t/d（</w:t>
            </w:r>
            <w:r>
              <w:rPr>
                <w:rFonts w:hint="eastAsia" w:ascii="Times New Roman" w:hAnsi="Times New Roman" w:cs="Times New Roman"/>
                <w:bCs/>
                <w:sz w:val="24"/>
                <w:lang w:val="en-US" w:eastAsia="zh-CN"/>
              </w:rPr>
              <w:t>6000</w:t>
            </w:r>
            <w:r>
              <w:rPr>
                <w:rFonts w:ascii="Times New Roman" w:hAnsi="Times New Roman" w:cs="Times New Roman"/>
                <w:bCs/>
                <w:sz w:val="24"/>
              </w:rPr>
              <w:t>t/a），厂区设置沉淀池，冲洗用水经沉淀池沉淀后循环利用，不外排。损耗系数按20%计，则需定期补充新鲜水量为4t/d（</w:t>
            </w:r>
            <w:r>
              <w:rPr>
                <w:rFonts w:hint="eastAsia" w:ascii="Times New Roman" w:hAnsi="Times New Roman" w:cs="Times New Roman"/>
                <w:bCs/>
                <w:sz w:val="24"/>
                <w:lang w:val="en-US" w:eastAsia="zh-CN"/>
              </w:rPr>
              <w:t>1200</w:t>
            </w:r>
            <w:r>
              <w:rPr>
                <w:rFonts w:ascii="Times New Roman" w:hAnsi="Times New Roman" w:cs="Times New Roman"/>
                <w:bCs/>
                <w:sz w:val="24"/>
              </w:rPr>
              <w:t>t/a）。</w:t>
            </w:r>
          </w:p>
          <w:p>
            <w:pPr>
              <w:spacing w:line="360" w:lineRule="auto"/>
              <w:ind w:firstLine="480" w:firstLineChars="200"/>
              <w:rPr>
                <w:rFonts w:ascii="Times New Roman" w:hAnsi="Times New Roman" w:cs="Times New Roman"/>
                <w:bCs/>
                <w:color w:val="000000"/>
                <w:sz w:val="24"/>
              </w:rPr>
            </w:pPr>
            <w:r>
              <w:rPr>
                <w:rFonts w:ascii="Times New Roman" w:hAnsi="Times New Roman" w:cs="Times New Roman"/>
                <w:bCs/>
                <w:color w:val="000000"/>
                <w:sz w:val="24"/>
              </w:rPr>
              <w:t>⑤场区内喷淋除尘用水：建设单位在料仓、厂区内安装喷淋洒水降尘设备，降低厂区粉尘的排放量，用水量按5t/d计，则项目洒水降尘用水量为1</w:t>
            </w:r>
            <w:r>
              <w:rPr>
                <w:rFonts w:hint="eastAsia" w:ascii="Times New Roman" w:hAnsi="Times New Roman" w:cs="Times New Roman"/>
                <w:bCs/>
                <w:color w:val="000000"/>
                <w:sz w:val="24"/>
                <w:lang w:val="en-US" w:eastAsia="zh-CN"/>
              </w:rPr>
              <w:t>500</w:t>
            </w:r>
            <w:r>
              <w:rPr>
                <w:rFonts w:ascii="Times New Roman" w:hAnsi="Times New Roman" w:cs="Times New Roman"/>
                <w:bCs/>
                <w:color w:val="000000"/>
                <w:sz w:val="24"/>
              </w:rPr>
              <w:t>t/a。</w:t>
            </w:r>
            <w:r>
              <w:rPr>
                <w:rFonts w:ascii="Times New Roman" w:hAnsi="Times New Roman" w:cs="Times New Roman"/>
                <w:bCs/>
                <w:sz w:val="24"/>
              </w:rPr>
              <w:t>损耗系数按20%计，则需定期补充新鲜水量为1t/d（3</w:t>
            </w:r>
            <w:r>
              <w:rPr>
                <w:rFonts w:hint="eastAsia" w:ascii="Times New Roman" w:hAnsi="Times New Roman" w:cs="Times New Roman"/>
                <w:bCs/>
                <w:sz w:val="24"/>
                <w:lang w:val="en-US" w:eastAsia="zh-CN"/>
              </w:rPr>
              <w:t>0</w:t>
            </w:r>
            <w:r>
              <w:rPr>
                <w:rFonts w:ascii="Times New Roman" w:hAnsi="Times New Roman" w:cs="Times New Roman"/>
                <w:bCs/>
                <w:sz w:val="24"/>
              </w:rPr>
              <w:t>0t/a）。</w:t>
            </w:r>
          </w:p>
          <w:p>
            <w:pPr>
              <w:spacing w:line="360" w:lineRule="auto"/>
              <w:ind w:firstLine="480" w:firstLineChars="200"/>
              <w:rPr>
                <w:rFonts w:ascii="Times New Roman" w:hAnsi="Times New Roman" w:cs="Times New Roman"/>
                <w:sz w:val="24"/>
              </w:rPr>
            </w:pPr>
            <w:r>
              <w:rPr>
                <w:rFonts w:ascii="Times New Roman" w:hAnsi="Times New Roman" w:cs="Times New Roman"/>
                <w:bCs/>
                <w:sz w:val="24"/>
              </w:rPr>
              <w:t>⑥运输车辆清洗用水：项目每天约洗车15</w:t>
            </w:r>
            <w:r>
              <w:rPr>
                <w:rFonts w:hint="eastAsia" w:cs="Times New Roman"/>
                <w:bCs/>
                <w:sz w:val="24"/>
                <w:lang w:val="en-US" w:eastAsia="zh-CN"/>
              </w:rPr>
              <w:t>5</w:t>
            </w:r>
            <w:r>
              <w:rPr>
                <w:rFonts w:ascii="Times New Roman" w:hAnsi="Times New Roman" w:cs="Times New Roman"/>
                <w:bCs/>
                <w:sz w:val="24"/>
              </w:rPr>
              <w:t>车次，在厂区设置洗车台，每辆车运输完一次均需进行冲洗，运输车辆冲洗水量按0.5m</w:t>
            </w:r>
            <w:r>
              <w:rPr>
                <w:rFonts w:ascii="Times New Roman" w:hAnsi="Times New Roman" w:cs="Times New Roman"/>
                <w:bCs/>
                <w:sz w:val="24"/>
                <w:vertAlign w:val="superscript"/>
              </w:rPr>
              <w:t>3</w:t>
            </w:r>
            <w:r>
              <w:rPr>
                <w:rFonts w:ascii="Times New Roman" w:hAnsi="Times New Roman" w:cs="Times New Roman"/>
                <w:bCs/>
                <w:sz w:val="24"/>
              </w:rPr>
              <w:t>/辆·次，则运输车辆冲洗用水量为</w:t>
            </w:r>
            <w:r>
              <w:rPr>
                <w:rFonts w:hint="eastAsia" w:cs="Times New Roman"/>
                <w:bCs/>
                <w:sz w:val="24"/>
                <w:lang w:val="en-US" w:eastAsia="zh-CN"/>
              </w:rPr>
              <w:t>77.5</w:t>
            </w:r>
            <w:r>
              <w:rPr>
                <w:rFonts w:ascii="Times New Roman" w:hAnsi="Times New Roman" w:cs="Times New Roman"/>
                <w:bCs/>
                <w:sz w:val="24"/>
              </w:rPr>
              <w:t>t/d（2</w:t>
            </w:r>
            <w:r>
              <w:rPr>
                <w:rFonts w:hint="eastAsia" w:cs="Times New Roman"/>
                <w:bCs/>
                <w:sz w:val="24"/>
                <w:lang w:val="en-US" w:eastAsia="zh-CN"/>
              </w:rPr>
              <w:t>4025</w:t>
            </w:r>
            <w:r>
              <w:rPr>
                <w:rFonts w:ascii="Times New Roman" w:hAnsi="Times New Roman" w:cs="Times New Roman"/>
                <w:bCs/>
                <w:sz w:val="24"/>
              </w:rPr>
              <w:t>t/a），清洗用水经沉淀池沉淀后循环利用，不外排。损耗系数按10%计，则需定期补充新鲜水量为7.</w:t>
            </w:r>
            <w:r>
              <w:rPr>
                <w:rFonts w:hint="eastAsia" w:cs="Times New Roman"/>
                <w:bCs/>
                <w:sz w:val="24"/>
                <w:lang w:val="en-US" w:eastAsia="zh-CN"/>
              </w:rPr>
              <w:t>7</w:t>
            </w:r>
            <w:r>
              <w:rPr>
                <w:rFonts w:ascii="Times New Roman" w:hAnsi="Times New Roman" w:cs="Times New Roman"/>
                <w:bCs/>
                <w:sz w:val="24"/>
              </w:rPr>
              <w:t>5t/d（</w:t>
            </w:r>
            <w:r>
              <w:rPr>
                <w:rFonts w:hint="eastAsia" w:cs="Times New Roman"/>
                <w:bCs/>
                <w:sz w:val="24"/>
                <w:lang w:val="en-US" w:eastAsia="zh-CN"/>
              </w:rPr>
              <w:t>2402.5</w:t>
            </w:r>
            <w:r>
              <w:rPr>
                <w:rFonts w:ascii="Times New Roman" w:hAnsi="Times New Roman" w:cs="Times New Roman"/>
                <w:bCs/>
                <w:sz w:val="24"/>
              </w:rPr>
              <w:t>t/a）。</w:t>
            </w:r>
          </w:p>
          <w:p>
            <w:pPr>
              <w:spacing w:line="360" w:lineRule="auto"/>
              <w:jc w:val="center"/>
              <w:rPr>
                <w:rFonts w:hint="eastAsia"/>
                <w:b/>
                <w:bCs/>
              </w:rPr>
            </w:pPr>
            <w:r>
              <w:rPr>
                <w:rFonts w:hint="eastAsia"/>
                <w:b/>
                <w:bCs/>
              </w:rPr>
              <w:drawing>
                <wp:inline distT="0" distB="0" distL="114300" distR="114300">
                  <wp:extent cx="5235575" cy="3930015"/>
                  <wp:effectExtent l="0" t="0" r="0" b="0"/>
                  <wp:docPr id="1" name="ECB019B1-382A-4266-B25C-5B523AA43C14-1" descr="C:/Users/Chris/AppData/Local/Temp/wps.NQmFue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Chris/AppData/Local/Temp/wps.NQmFuewps"/>
                          <pic:cNvPicPr>
                            <a:picLocks noChangeAspect="1"/>
                          </pic:cNvPicPr>
                        </pic:nvPicPr>
                        <pic:blipFill>
                          <a:blip r:embed="rId11"/>
                          <a:stretch>
                            <a:fillRect/>
                          </a:stretch>
                        </pic:blipFill>
                        <pic:spPr>
                          <a:xfrm>
                            <a:off x="0" y="0"/>
                            <a:ext cx="5235575" cy="3930015"/>
                          </a:xfrm>
                          <a:prstGeom prst="rect">
                            <a:avLst/>
                          </a:prstGeom>
                        </pic:spPr>
                      </pic:pic>
                    </a:graphicData>
                  </a:graphic>
                </wp:inline>
              </w:drawing>
            </w:r>
          </w:p>
          <w:p>
            <w:pPr>
              <w:spacing w:line="360" w:lineRule="auto"/>
              <w:jc w:val="center"/>
              <w:rPr>
                <w:rFonts w:hint="eastAsia"/>
                <w:b/>
                <w:bCs/>
                <w:color w:val="FF0000"/>
              </w:rPr>
            </w:pPr>
            <w:r>
              <w:rPr>
                <w:rFonts w:hint="eastAsia"/>
                <w:b/>
                <w:bCs/>
              </w:rPr>
              <w:t>图2.1 项目水平衡图  t/a</w:t>
            </w:r>
          </w:p>
          <w:p>
            <w:pPr>
              <w:adjustRightInd w:val="0"/>
              <w:snapToGrid w:val="0"/>
              <w:spacing w:before="120" w:beforeLines="50" w:line="360" w:lineRule="auto"/>
              <w:rPr>
                <w:b/>
                <w:kern w:val="0"/>
              </w:rPr>
            </w:pPr>
            <w:r>
              <w:rPr>
                <w:rFonts w:hint="eastAsia"/>
                <w:b/>
                <w:kern w:val="0"/>
              </w:rPr>
              <w:t>6、</w:t>
            </w:r>
            <w:r>
              <w:rPr>
                <w:b/>
                <w:kern w:val="0"/>
              </w:rPr>
              <w:t>职工人数及工作制度</w:t>
            </w:r>
          </w:p>
          <w:p>
            <w:pPr>
              <w:spacing w:line="360" w:lineRule="auto"/>
              <w:ind w:firstLine="480" w:firstLineChars="200"/>
              <w:rPr>
                <w:b/>
                <w:bCs/>
                <w:color w:val="auto"/>
              </w:rPr>
            </w:pPr>
            <w:r>
              <w:rPr>
                <w:color w:val="auto"/>
              </w:rPr>
              <w:t>项目劳动定员</w:t>
            </w:r>
            <w:r>
              <w:rPr>
                <w:rFonts w:hint="eastAsia"/>
                <w:color w:val="auto"/>
                <w:lang w:val="en-US" w:eastAsia="zh-CN"/>
              </w:rPr>
              <w:t>80</w:t>
            </w:r>
            <w:r>
              <w:rPr>
                <w:color w:val="auto"/>
              </w:rPr>
              <w:t>人</w:t>
            </w:r>
            <w:r>
              <w:rPr>
                <w:rFonts w:hint="eastAsia"/>
                <w:color w:val="auto"/>
              </w:rPr>
              <w:t>，</w:t>
            </w:r>
            <w:r>
              <w:rPr>
                <w:bCs/>
                <w:color w:val="auto"/>
                <w:kern w:val="0"/>
              </w:rPr>
              <w:t>年工作日</w:t>
            </w:r>
            <w:r>
              <w:rPr>
                <w:rFonts w:hint="eastAsia"/>
                <w:bCs/>
                <w:color w:val="auto"/>
                <w:kern w:val="0"/>
                <w:lang w:val="en-US" w:eastAsia="zh-CN"/>
              </w:rPr>
              <w:t>310</w:t>
            </w:r>
            <w:r>
              <w:rPr>
                <w:bCs/>
                <w:color w:val="auto"/>
                <w:kern w:val="0"/>
              </w:rPr>
              <w:t>天，</w:t>
            </w:r>
            <w:r>
              <w:rPr>
                <w:rFonts w:hint="eastAsia"/>
                <w:bCs/>
                <w:color w:val="auto"/>
                <w:kern w:val="0"/>
                <w:lang w:val="en-US" w:eastAsia="zh-CN"/>
              </w:rPr>
              <w:t>3</w:t>
            </w:r>
            <w:r>
              <w:rPr>
                <w:bCs/>
                <w:color w:val="auto"/>
                <w:kern w:val="0"/>
              </w:rPr>
              <w:t>班制，每班</w:t>
            </w:r>
            <w:r>
              <w:rPr>
                <w:rFonts w:hint="eastAsia"/>
                <w:bCs/>
                <w:color w:val="auto"/>
                <w:kern w:val="0"/>
              </w:rPr>
              <w:t>8</w:t>
            </w:r>
            <w:r>
              <w:rPr>
                <w:bCs/>
                <w:color w:val="auto"/>
                <w:kern w:val="0"/>
              </w:rPr>
              <w:t>小时</w:t>
            </w:r>
            <w:r>
              <w:rPr>
                <w:rFonts w:hint="eastAsia"/>
                <w:bCs/>
                <w:color w:val="auto"/>
                <w:kern w:val="0"/>
              </w:rPr>
              <w:t>，</w:t>
            </w:r>
            <w:r>
              <w:rPr>
                <w:rFonts w:hint="eastAsia"/>
                <w:bCs/>
                <w:color w:val="auto"/>
                <w:kern w:val="0"/>
                <w:lang w:val="en-US" w:eastAsia="zh-CN"/>
              </w:rPr>
              <w:t>提供食堂和住宿，住宿40人</w:t>
            </w:r>
            <w:r>
              <w:rPr>
                <w:bCs/>
                <w:color w:val="auto"/>
                <w:kern w:val="0"/>
              </w:rPr>
              <w:t>。</w:t>
            </w:r>
          </w:p>
          <w:p>
            <w:pPr>
              <w:spacing w:line="360" w:lineRule="auto"/>
              <w:rPr>
                <w:b/>
                <w:bCs/>
              </w:rPr>
            </w:pPr>
            <w:r>
              <w:rPr>
                <w:rFonts w:hint="eastAsia"/>
                <w:b/>
                <w:bCs/>
              </w:rPr>
              <w:t>7、</w:t>
            </w:r>
            <w:r>
              <w:rPr>
                <w:b/>
                <w:bCs/>
              </w:rPr>
              <w:t>平面布局</w:t>
            </w:r>
          </w:p>
          <w:p>
            <w:pPr>
              <w:pStyle w:val="64"/>
              <w:spacing w:before="0" w:beforeAutospacing="0" w:after="0" w:afterAutospacing="0" w:line="360" w:lineRule="auto"/>
              <w:ind w:firstLine="480" w:firstLineChars="200"/>
              <w:rPr>
                <w:rFonts w:ascii="Times New Roman" w:hAnsi="Times New Roman" w:cs="Times New Roman"/>
                <w:b/>
              </w:rPr>
            </w:pPr>
            <w:r>
              <w:rPr>
                <w:rFonts w:hint="eastAsia" w:ascii="Times New Roman" w:hAnsi="Times New Roman" w:eastAsia="宋体" w:cs="Times New Roman"/>
                <w:bCs/>
                <w:sz w:val="24"/>
                <w:lang w:val="en-US" w:eastAsia="zh-CN"/>
              </w:rPr>
              <w:t>萧县鑫部建材有限公司</w:t>
            </w:r>
            <w:r>
              <w:rPr>
                <w:rFonts w:hint="eastAsia"/>
                <w:color w:val="auto"/>
                <w:szCs w:val="24"/>
                <w:lang w:val="en-US" w:eastAsia="zh-CN"/>
              </w:rPr>
              <w:t>位于</w:t>
            </w:r>
            <w:r>
              <w:rPr>
                <w:rFonts w:hint="eastAsia" w:ascii="Times New Roman" w:hAnsi="Times New Roman" w:cs="Times New Roman"/>
                <w:color w:val="auto"/>
                <w:lang w:val="en-US" w:eastAsia="zh-CN"/>
              </w:rPr>
              <w:t>安徽省宿州市萧县杨楼镇陇海铁路南侧100号</w:t>
            </w:r>
            <w:r>
              <w:rPr>
                <w:rFonts w:hint="eastAsia"/>
                <w:color w:val="auto"/>
              </w:rPr>
              <w:t>，</w:t>
            </w:r>
            <w:r>
              <w:rPr>
                <w:rFonts w:ascii="Times New Roman" w:hAnsi="Times New Roman" w:cs="Times New Roman"/>
              </w:rPr>
              <w:t>根据项目功能要求和场地地形，</w:t>
            </w:r>
            <w:r>
              <w:rPr>
                <w:rFonts w:hint="eastAsia"/>
                <w:color w:val="000000" w:themeColor="text1"/>
                <w14:textFill>
                  <w14:solidFill>
                    <w14:schemeClr w14:val="tx1"/>
                  </w14:solidFill>
                </w14:textFill>
              </w:rPr>
              <w:t>在厂</w:t>
            </w:r>
            <w:r>
              <w:rPr>
                <w:rFonts w:hint="eastAsia"/>
                <w:color w:val="000000" w:themeColor="text1"/>
                <w:lang w:val="en-US" w:eastAsia="zh-CN"/>
                <w14:textFill>
                  <w14:solidFill>
                    <w14:schemeClr w14:val="tx1"/>
                  </w14:solidFill>
                </w14:textFill>
              </w:rPr>
              <w:t>房</w:t>
            </w:r>
            <w:r>
              <w:rPr>
                <w:rFonts w:hint="eastAsia"/>
                <w:color w:val="000000" w:themeColor="text1"/>
                <w14:textFill>
                  <w14:solidFill>
                    <w14:schemeClr w14:val="tx1"/>
                  </w14:solidFill>
                </w14:textFill>
              </w:rPr>
              <w:t>内划</w:t>
            </w:r>
            <w:r>
              <w:rPr>
                <w:rFonts w:hint="eastAsia"/>
              </w:rPr>
              <w:t>分</w:t>
            </w:r>
            <w:r>
              <w:rPr>
                <w:rFonts w:hint="eastAsia"/>
                <w:lang w:val="en-US" w:eastAsia="zh-CN"/>
              </w:rPr>
              <w:t>物料区、搅拌区、筒仓区、办公区、实验室</w:t>
            </w:r>
            <w:r>
              <w:rPr>
                <w:rFonts w:hint="eastAsia"/>
              </w:rPr>
              <w:t>等。</w:t>
            </w:r>
            <w:r>
              <w:rPr>
                <w:rFonts w:hint="eastAsia" w:ascii="Times New Roman" w:hAnsi="Times New Roman"/>
              </w:rPr>
              <w:t>项目布置总体来说，结构明朗，流程顺畅，布局紧凑，符合防火、安全卫生、环保、交通、运输、生产工艺流程等需求。总体上做到按功能分区，系统分明，布置整齐。</w:t>
            </w:r>
            <w:r>
              <w:rPr>
                <w:rFonts w:ascii="Times New Roman" w:hAnsi="Times New Roman" w:cs="Times New Roman"/>
              </w:rPr>
              <w:t>项目平面布置满足生产人流、物流分离、互不交叉干扰的原则（具体见附图）</w:t>
            </w:r>
          </w:p>
          <w:p>
            <w:pPr>
              <w:adjustRightInd w:val="0"/>
              <w:snapToGrid w:val="0"/>
              <w:ind w:firstLine="480" w:firstLineChars="200"/>
              <w:rPr>
                <w:rFonts w:hint="eastAsia"/>
                <w:lang w:val="en-US" w:eastAsia="zh-CN"/>
              </w:rPr>
            </w:pPr>
            <w:r>
              <w:t>综上所述，本项目厂区平面布局较合理</w:t>
            </w:r>
            <w:r>
              <w:rPr>
                <w:rFonts w:hint="eastAsia"/>
              </w:rPr>
              <w:t>。</w:t>
            </w:r>
          </w:p>
          <w:p>
            <w:pPr>
              <w:adjustRightInd w:val="0"/>
              <w:snapToGrid w:val="0"/>
              <w:ind w:firstLine="480" w:firstLineChars="200"/>
              <w:rPr>
                <w:rFonts w:hint="eastAsia"/>
                <w:lang w:val="en-US" w:eastAsia="zh-CN"/>
              </w:rPr>
            </w:pPr>
          </w:p>
          <w:p>
            <w:pPr>
              <w:adjustRightInd w:val="0"/>
              <w:snapToGrid w:val="0"/>
              <w:ind w:firstLine="480" w:firstLineChars="200"/>
              <w:rPr>
                <w:rFonts w:hint="eastAsia"/>
                <w:lang w:val="en-US" w:eastAsia="zh-CN"/>
              </w:rPr>
            </w:pPr>
          </w:p>
          <w:p>
            <w:pPr>
              <w:adjustRightInd w:val="0"/>
              <w:snapToGrid w:val="0"/>
              <w:ind w:firstLine="480" w:firstLineChars="200"/>
              <w:rPr>
                <w:rFonts w:hint="eastAsia"/>
                <w:lang w:val="en-US" w:eastAsia="zh-CN"/>
              </w:rPr>
            </w:pPr>
          </w:p>
          <w:p>
            <w:pPr>
              <w:adjustRightInd w:val="0"/>
              <w:snapToGrid w:val="0"/>
              <w:ind w:firstLine="480" w:firstLineChars="200"/>
              <w:rPr>
                <w:rFonts w:hint="eastAsia"/>
                <w:lang w:val="en-US" w:eastAsia="zh-CN"/>
              </w:rPr>
            </w:pPr>
          </w:p>
          <w:p>
            <w:pPr>
              <w:adjustRightInd w:val="0"/>
              <w:snapToGrid w:val="0"/>
              <w:rPr>
                <w:rFonts w:hint="default" w:ascii="宋体" w:hAnsi="宋体" w:eastAsia="宋体" w:cs="宋体"/>
                <w:bCs/>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2" w:hRule="atLeast"/>
          <w:jc w:val="center"/>
        </w:trPr>
        <w:tc>
          <w:tcPr>
            <w:tcW w:w="823" w:type="dxa"/>
            <w:vAlign w:val="center"/>
          </w:tcPr>
          <w:p>
            <w:pPr>
              <w:pStyle w:val="24"/>
              <w:adjustRightInd w:val="0"/>
              <w:snapToGrid w:val="0"/>
              <w:spacing w:before="0" w:beforeAutospacing="0" w:after="0" w:afterAutospacing="0"/>
              <w:jc w:val="center"/>
              <w:rPr>
                <w:rFonts w:ascii="Times New Roman" w:hAnsi="Times New Roman"/>
                <w:sz w:val="21"/>
                <w:szCs w:val="21"/>
              </w:rPr>
            </w:pPr>
            <w:r>
              <w:rPr>
                <w:rFonts w:ascii="Times New Roman" w:hAnsi="Times New Roman"/>
                <w:szCs w:val="24"/>
              </w:rPr>
              <w:t>工艺流程和产排污环节</w:t>
            </w:r>
          </w:p>
        </w:tc>
        <w:tc>
          <w:tcPr>
            <w:tcW w:w="8161" w:type="dxa"/>
          </w:tcPr>
          <w:p>
            <w:pPr>
              <w:pStyle w:val="9"/>
              <w:spacing w:line="360" w:lineRule="auto"/>
              <w:ind w:firstLine="480"/>
              <w:rPr>
                <w:sz w:val="24"/>
              </w:rPr>
            </w:pPr>
            <w:r>
              <w:rPr>
                <w:sz w:val="24"/>
              </w:rPr>
              <w:t>本项目主要</w:t>
            </w:r>
            <w:r>
              <w:rPr>
                <w:rFonts w:hint="eastAsia"/>
                <w:sz w:val="24"/>
                <w:lang w:val="en-US" w:eastAsia="zh-CN"/>
              </w:rPr>
              <w:t>产品为混凝土</w:t>
            </w:r>
            <w:r>
              <w:rPr>
                <w:rFonts w:hint="eastAsia"/>
                <w:sz w:val="24"/>
              </w:rPr>
              <w:t>，</w:t>
            </w:r>
            <w:r>
              <w:rPr>
                <w:sz w:val="24"/>
              </w:rPr>
              <w:t>工艺流程及产污节点图如下：</w:t>
            </w:r>
          </w:p>
          <w:p>
            <w:pPr>
              <w:pStyle w:val="9"/>
              <w:spacing w:line="360" w:lineRule="auto"/>
              <w:ind w:firstLine="0" w:firstLineChars="0"/>
              <w:jc w:val="center"/>
              <w:rPr>
                <w:rFonts w:hint="eastAsia" w:eastAsia="宋体"/>
                <w:lang w:eastAsia="zh-CN"/>
              </w:rPr>
            </w:pPr>
            <w:r>
              <w:rPr>
                <w:rFonts w:hint="eastAsia" w:eastAsia="宋体"/>
                <w:lang w:eastAsia="zh-CN"/>
              </w:rPr>
              <w:drawing>
                <wp:inline distT="0" distB="0" distL="114300" distR="114300">
                  <wp:extent cx="5300345" cy="3466465"/>
                  <wp:effectExtent l="0" t="0" r="0" b="0"/>
                  <wp:docPr id="3" name="ECB019B1-382A-4266-B25C-5B523AA43C14-2" descr="C:/Users/Chris/AppData/Local/Temp/wps.sxibIY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2" descr="C:/Users/Chris/AppData/Local/Temp/wps.sxibIYwps"/>
                          <pic:cNvPicPr>
                            <a:picLocks noChangeAspect="1"/>
                          </pic:cNvPicPr>
                        </pic:nvPicPr>
                        <pic:blipFill>
                          <a:blip r:embed="rId12"/>
                          <a:stretch>
                            <a:fillRect/>
                          </a:stretch>
                        </pic:blipFill>
                        <pic:spPr>
                          <a:xfrm>
                            <a:off x="0" y="0"/>
                            <a:ext cx="5300345" cy="3466465"/>
                          </a:xfrm>
                          <a:prstGeom prst="rect">
                            <a:avLst/>
                          </a:prstGeom>
                        </pic:spPr>
                      </pic:pic>
                    </a:graphicData>
                  </a:graphic>
                </wp:inline>
              </w:drawing>
            </w:r>
          </w:p>
          <w:p>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eastAsia="宋体"/>
                <w:b/>
                <w:bCs/>
                <w:sz w:val="24"/>
                <w:lang w:val="en-US" w:eastAsia="zh-CN"/>
              </w:rPr>
            </w:pPr>
            <w:r>
              <w:rPr>
                <w:b/>
                <w:bCs/>
                <w:sz w:val="24"/>
              </w:rPr>
              <w:t>图</w:t>
            </w:r>
            <w:r>
              <w:rPr>
                <w:rFonts w:hint="eastAsia"/>
                <w:b/>
                <w:bCs/>
                <w:sz w:val="24"/>
              </w:rPr>
              <w:t>2.</w:t>
            </w:r>
            <w:r>
              <w:rPr>
                <w:rFonts w:hint="eastAsia"/>
                <w:b/>
                <w:bCs/>
                <w:sz w:val="24"/>
                <w:lang w:val="en-US" w:eastAsia="zh-CN"/>
              </w:rPr>
              <w:t>2</w:t>
            </w:r>
            <w:r>
              <w:rPr>
                <w:b/>
                <w:bCs/>
                <w:sz w:val="24"/>
              </w:rPr>
              <w:t xml:space="preserve"> </w:t>
            </w:r>
            <w:r>
              <w:rPr>
                <w:rFonts w:hint="eastAsia"/>
                <w:b/>
                <w:bCs/>
                <w:sz w:val="24"/>
                <w:lang w:val="en-US" w:eastAsia="zh-CN"/>
              </w:rPr>
              <w:t>混凝土</w:t>
            </w:r>
            <w:r>
              <w:rPr>
                <w:b/>
                <w:bCs/>
                <w:sz w:val="24"/>
              </w:rPr>
              <w:t>生产工艺流程及产污节点图</w:t>
            </w:r>
          </w:p>
          <w:p>
            <w:pPr>
              <w:spacing w:line="360" w:lineRule="auto"/>
              <w:rPr>
                <w:rFonts w:ascii="Times New Roman" w:hAnsi="Times New Roman" w:cs="Times New Roman"/>
                <w:b/>
                <w:bCs/>
                <w:sz w:val="24"/>
              </w:rPr>
            </w:pPr>
            <w:r>
              <w:rPr>
                <w:rFonts w:ascii="Times New Roman" w:hAnsi="Times New Roman" w:cs="Times New Roman"/>
                <w:b/>
                <w:bCs/>
                <w:sz w:val="24"/>
              </w:rPr>
              <w:t>工艺流程简介：</w:t>
            </w:r>
          </w:p>
          <w:p>
            <w:pPr>
              <w:spacing w:line="360" w:lineRule="auto"/>
              <w:ind w:firstLine="480" w:firstLineChars="200"/>
              <w:jc w:val="left"/>
              <w:rPr>
                <w:rFonts w:ascii="Times New Roman" w:hAnsi="Times New Roman" w:cs="Times New Roman"/>
                <w:bCs/>
                <w:sz w:val="24"/>
              </w:rPr>
            </w:pPr>
            <w:r>
              <w:rPr>
                <w:rFonts w:ascii="Times New Roman" w:hAnsi="Times New Roman" w:cs="Times New Roman"/>
                <w:bCs/>
                <w:sz w:val="24"/>
              </w:rPr>
              <w:t>混凝土搅拌站四个系统的组成：砂石系统：包括石仓、配料机、给料砂石斗（用于砂石的计量给料）等。</w:t>
            </w:r>
          </w:p>
          <w:p>
            <w:pPr>
              <w:spacing w:line="360" w:lineRule="auto"/>
              <w:ind w:firstLine="480" w:firstLineChars="200"/>
              <w:jc w:val="left"/>
              <w:rPr>
                <w:rFonts w:ascii="Times New Roman" w:hAnsi="Times New Roman" w:cs="Times New Roman"/>
                <w:bCs/>
                <w:sz w:val="24"/>
              </w:rPr>
            </w:pPr>
            <w:r>
              <w:rPr>
                <w:rFonts w:ascii="Times New Roman" w:hAnsi="Times New Roman" w:cs="Times New Roman"/>
                <w:bCs/>
                <w:sz w:val="24"/>
              </w:rPr>
              <w:t>粉料系统：由储料仓、计量仓、输送机等部分构成。粉料储仓带有除尘系统。</w:t>
            </w:r>
          </w:p>
          <w:p>
            <w:pPr>
              <w:spacing w:line="360" w:lineRule="auto"/>
              <w:ind w:firstLine="480" w:firstLineChars="200"/>
              <w:jc w:val="left"/>
              <w:rPr>
                <w:rFonts w:ascii="Times New Roman" w:hAnsi="Times New Roman" w:cs="Times New Roman"/>
                <w:bCs/>
                <w:sz w:val="24"/>
              </w:rPr>
            </w:pPr>
            <w:r>
              <w:rPr>
                <w:rFonts w:ascii="Times New Roman" w:hAnsi="Times New Roman" w:cs="Times New Roman"/>
                <w:bCs/>
                <w:sz w:val="24"/>
              </w:rPr>
              <w:t>水和外加剂系统：由外加剂槽、水槽、水泵、水和外加剂称量斗及管路组成。</w:t>
            </w:r>
          </w:p>
          <w:p>
            <w:pPr>
              <w:spacing w:line="360" w:lineRule="auto"/>
              <w:ind w:firstLine="480" w:firstLineChars="200"/>
              <w:jc w:val="left"/>
              <w:rPr>
                <w:rFonts w:ascii="Times New Roman" w:hAnsi="Times New Roman" w:cs="Times New Roman"/>
                <w:bCs/>
                <w:sz w:val="24"/>
              </w:rPr>
            </w:pPr>
            <w:r>
              <w:rPr>
                <w:rFonts w:ascii="Times New Roman" w:hAnsi="Times New Roman" w:cs="Times New Roman"/>
                <w:bCs/>
                <w:sz w:val="24"/>
              </w:rPr>
              <w:t>传输</w:t>
            </w:r>
            <w:r>
              <w:rPr>
                <w:rFonts w:hint="eastAsia" w:cs="Times New Roman"/>
                <w:bCs/>
                <w:sz w:val="24"/>
                <w:lang w:val="en-US" w:eastAsia="zh-CN"/>
              </w:rPr>
              <w:t>~</w:t>
            </w:r>
            <w:r>
              <w:rPr>
                <w:rFonts w:ascii="Times New Roman" w:hAnsi="Times New Roman" w:cs="Times New Roman"/>
                <w:bCs/>
                <w:sz w:val="24"/>
              </w:rPr>
              <w:t>搅拌</w:t>
            </w:r>
            <w:r>
              <w:rPr>
                <w:rFonts w:hint="eastAsia" w:cs="Times New Roman"/>
                <w:bCs/>
                <w:sz w:val="24"/>
                <w:lang w:val="en-US" w:eastAsia="zh-CN"/>
              </w:rPr>
              <w:t>~</w:t>
            </w:r>
            <w:r>
              <w:rPr>
                <w:rFonts w:ascii="Times New Roman" w:hAnsi="Times New Roman" w:cs="Times New Roman"/>
                <w:bCs/>
                <w:sz w:val="24"/>
              </w:rPr>
              <w:t>储存系统：由</w:t>
            </w:r>
            <w:r>
              <w:rPr>
                <w:rFonts w:hint="eastAsia" w:cs="Times New Roman"/>
                <w:bCs/>
                <w:sz w:val="24"/>
                <w:lang w:val="en-US" w:eastAsia="zh-CN"/>
              </w:rPr>
              <w:t>皮带</w:t>
            </w:r>
            <w:r>
              <w:rPr>
                <w:rFonts w:ascii="Times New Roman" w:hAnsi="Times New Roman" w:cs="Times New Roman"/>
                <w:bCs/>
                <w:sz w:val="24"/>
              </w:rPr>
              <w:t>输送机、搅拌机和搅拌机架组成。砂石由配料机加载到皮带上进入搅拌机。粉料、水泥通过计量仓上的</w:t>
            </w:r>
            <w:r>
              <w:rPr>
                <w:rFonts w:hint="eastAsia" w:cs="Times New Roman"/>
                <w:bCs/>
                <w:sz w:val="24"/>
                <w:lang w:val="en-US" w:eastAsia="zh-CN"/>
              </w:rPr>
              <w:t>给料机</w:t>
            </w:r>
            <w:r>
              <w:rPr>
                <w:rFonts w:ascii="Times New Roman" w:hAnsi="Times New Roman" w:cs="Times New Roman"/>
                <w:bCs/>
                <w:sz w:val="24"/>
              </w:rPr>
              <w:t>和集料螺旋直接送入搅拌机。</w:t>
            </w:r>
          </w:p>
          <w:p>
            <w:pPr>
              <w:spacing w:line="360" w:lineRule="auto"/>
              <w:ind w:firstLine="480" w:firstLineChars="200"/>
              <w:jc w:val="left"/>
              <w:rPr>
                <w:rFonts w:ascii="Times New Roman" w:hAnsi="Times New Roman" w:cs="Times New Roman"/>
              </w:rPr>
            </w:pPr>
            <w:r>
              <w:rPr>
                <w:rFonts w:ascii="Times New Roman" w:hAnsi="Times New Roman" w:cs="Times New Roman"/>
                <w:bCs/>
                <w:sz w:val="24"/>
              </w:rPr>
              <w:t>本项目所有工序均为物理过程。整个工艺为封闭式作业，原料由汽车运入厂区，贮存于石料仓、筒仓贮存备用。物料输送由三个部分组成：原料</w:t>
            </w:r>
            <w:r>
              <w:rPr>
                <w:rFonts w:hint="eastAsia" w:cs="Times New Roman"/>
                <w:bCs/>
                <w:sz w:val="24"/>
                <w:lang w:val="en-US" w:eastAsia="zh-CN"/>
              </w:rPr>
              <w:t>机制</w:t>
            </w:r>
            <w:r>
              <w:rPr>
                <w:rFonts w:hint="eastAsia" w:ascii="Times New Roman" w:hAnsi="Times New Roman" w:cs="Times New Roman"/>
                <w:bCs/>
                <w:sz w:val="24"/>
              </w:rPr>
              <w:t>砂</w:t>
            </w:r>
            <w:r>
              <w:rPr>
                <w:rFonts w:ascii="Times New Roman" w:hAnsi="Times New Roman" w:cs="Times New Roman"/>
                <w:bCs/>
                <w:sz w:val="24"/>
              </w:rPr>
              <w:t>、</w:t>
            </w:r>
            <w:r>
              <w:rPr>
                <w:rFonts w:hint="eastAsia" w:cs="Times New Roman"/>
                <w:bCs/>
                <w:sz w:val="24"/>
                <w:lang w:val="en-US" w:eastAsia="zh-CN"/>
              </w:rPr>
              <w:t>细砂、</w:t>
            </w:r>
            <w:r>
              <w:rPr>
                <w:rFonts w:ascii="Times New Roman" w:hAnsi="Times New Roman" w:cs="Times New Roman"/>
                <w:bCs/>
                <w:sz w:val="24"/>
              </w:rPr>
              <w:t>石子经配料站由皮带机输送至搅拌机；粉</w:t>
            </w:r>
            <w:r>
              <w:rPr>
                <w:rFonts w:hint="eastAsia" w:cs="Times New Roman"/>
                <w:bCs/>
                <w:sz w:val="24"/>
                <w:lang w:val="en-US" w:eastAsia="zh-CN"/>
              </w:rPr>
              <w:t>煤灰</w:t>
            </w:r>
            <w:r>
              <w:rPr>
                <w:rFonts w:ascii="Times New Roman" w:hAnsi="Times New Roman" w:cs="Times New Roman"/>
                <w:bCs/>
                <w:sz w:val="24"/>
              </w:rPr>
              <w:t>、</w:t>
            </w:r>
            <w:r>
              <w:rPr>
                <w:rFonts w:hint="eastAsia" w:cs="Times New Roman"/>
                <w:bCs/>
                <w:sz w:val="24"/>
                <w:lang w:val="en-US" w:eastAsia="zh-CN"/>
              </w:rPr>
              <w:t>矿粉、</w:t>
            </w:r>
            <w:r>
              <w:rPr>
                <w:rFonts w:ascii="Times New Roman" w:hAnsi="Times New Roman" w:cs="Times New Roman"/>
                <w:bCs/>
                <w:sz w:val="24"/>
              </w:rPr>
              <w:t>水泥等由螺旋输送机输送；液体输送主要指水和外加剂，它们是分别由水泵输送的。分别经计算系统打入搅拌机，加水之后进行强制配料，强制配料采用电脑控制系统根据选定的配方进行计量控制各工序动作，从而保证混凝土的品质，之后进行计量泵送入混凝土车，最后送建筑工地。整个过程都在封闭状态下进行，合格的混凝土由搅拌车运送到施工现场，泵车将混凝土送到工程的具体部位。</w:t>
            </w:r>
          </w:p>
          <w:p>
            <w:pPr>
              <w:autoSpaceDE w:val="0"/>
              <w:spacing w:line="360" w:lineRule="auto"/>
              <w:ind w:firstLine="480" w:firstLineChars="200"/>
              <w:rPr>
                <w:rFonts w:ascii="Times New Roman" w:hAnsi="Times New Roman" w:cs="Times New Roman"/>
                <w:sz w:val="24"/>
              </w:rPr>
            </w:pPr>
            <w:r>
              <w:rPr>
                <w:rFonts w:ascii="Times New Roman" w:hAnsi="Times New Roman" w:cs="Times New Roman"/>
                <w:sz w:val="24"/>
                <w:lang w:bidi="ar"/>
              </w:rPr>
              <w:t>产污环节简述：</w:t>
            </w:r>
          </w:p>
          <w:p>
            <w:pPr>
              <w:autoSpaceDE w:val="0"/>
              <w:spacing w:line="360" w:lineRule="auto"/>
              <w:ind w:firstLine="480" w:firstLineChars="200"/>
              <w:rPr>
                <w:rFonts w:ascii="Times New Roman" w:hAnsi="Times New Roman" w:cs="Times New Roman"/>
                <w:sz w:val="24"/>
              </w:rPr>
            </w:pPr>
            <w:r>
              <w:rPr>
                <w:rFonts w:ascii="Times New Roman" w:hAnsi="Times New Roman" w:cs="Times New Roman"/>
                <w:sz w:val="24"/>
                <w:lang w:bidi="ar"/>
              </w:rPr>
              <w:t>（1）废气：筒仓呼吸粉尘，搅拌粉尘、原料堆场粉尘、汽车起尘以及食堂油烟废气；</w:t>
            </w:r>
          </w:p>
          <w:p>
            <w:pPr>
              <w:autoSpaceDE w:val="0"/>
              <w:spacing w:line="360" w:lineRule="auto"/>
              <w:ind w:firstLine="480" w:firstLineChars="200"/>
              <w:rPr>
                <w:rFonts w:ascii="Times New Roman" w:hAnsi="Times New Roman" w:cs="Times New Roman"/>
                <w:sz w:val="24"/>
              </w:rPr>
            </w:pPr>
            <w:r>
              <w:rPr>
                <w:rFonts w:ascii="Times New Roman" w:hAnsi="Times New Roman" w:cs="Times New Roman"/>
                <w:sz w:val="24"/>
                <w:lang w:bidi="ar"/>
              </w:rPr>
              <w:t>（2）废水：生活污水、搅拌机清洗废水、车辆冲洗废水</w:t>
            </w:r>
            <w:r>
              <w:rPr>
                <w:rFonts w:hint="eastAsia" w:ascii="Times New Roman" w:hAnsi="Times New Roman" w:cs="Times New Roman"/>
                <w:sz w:val="24"/>
                <w:lang w:bidi="ar"/>
              </w:rPr>
              <w:t>、生产车间清洗废水、喷淋除尘废水等</w:t>
            </w:r>
            <w:r>
              <w:rPr>
                <w:rFonts w:ascii="Times New Roman" w:hAnsi="Times New Roman" w:cs="Times New Roman"/>
                <w:sz w:val="24"/>
                <w:lang w:bidi="ar"/>
              </w:rPr>
              <w:t>；</w:t>
            </w:r>
          </w:p>
          <w:p>
            <w:pPr>
              <w:spacing w:line="360" w:lineRule="auto"/>
              <w:ind w:left="480" w:leftChars="200" w:firstLine="0" w:firstLineChars="0"/>
              <w:jc w:val="left"/>
              <w:rPr>
                <w:b w:val="0"/>
                <w:bCs w:val="0"/>
              </w:rPr>
            </w:pPr>
            <w:r>
              <w:rPr>
                <w:rFonts w:ascii="Times New Roman" w:hAnsi="Times New Roman" w:cs="Times New Roman"/>
                <w:sz w:val="24"/>
                <w:lang w:bidi="ar"/>
              </w:rPr>
              <w:t>（3）固废：生活垃圾、除尘器收集粉尘</w:t>
            </w:r>
            <w:r>
              <w:rPr>
                <w:rFonts w:hint="eastAsia" w:ascii="Times New Roman" w:hAnsi="Times New Roman" w:cs="Times New Roman"/>
                <w:sz w:val="24"/>
                <w:lang w:bidi="ar"/>
              </w:rPr>
              <w:t>、</w:t>
            </w:r>
            <w:r>
              <w:rPr>
                <w:rFonts w:hint="eastAsia" w:ascii="Times New Roman" w:hAnsi="Times New Roman" w:cs="Times New Roman"/>
                <w:sz w:val="24"/>
                <w:lang w:val="en-US" w:eastAsia="zh-CN" w:bidi="ar"/>
              </w:rPr>
              <w:t>污泥</w:t>
            </w:r>
            <w:r>
              <w:rPr>
                <w:rFonts w:hint="eastAsia" w:cs="Times New Roman"/>
                <w:sz w:val="24"/>
                <w:lang w:val="en-US" w:eastAsia="zh-CN" w:bidi="ar"/>
              </w:rPr>
              <w:t>等</w:t>
            </w:r>
            <w:r>
              <w:rPr>
                <w:rFonts w:ascii="Times New Roman" w:hAnsi="Times New Roman" w:cs="Times New Roman"/>
                <w:sz w:val="24"/>
                <w:lang w:bidi="ar"/>
              </w:rPr>
              <w:t>。</w:t>
            </w:r>
          </w:p>
          <w:p>
            <w:pPr>
              <w:jc w:val="center"/>
              <w:rPr>
                <w:b/>
                <w:bCs/>
              </w:rPr>
            </w:pPr>
            <w:r>
              <w:rPr>
                <w:b/>
                <w:bCs/>
              </w:rPr>
              <w:t>表2</w:t>
            </w:r>
            <w:r>
              <w:rPr>
                <w:rFonts w:hint="eastAsia"/>
                <w:b/>
                <w:bCs/>
              </w:rPr>
              <w:t>.6</w:t>
            </w:r>
            <w:r>
              <w:rPr>
                <w:b/>
                <w:bCs/>
              </w:rPr>
              <w:t xml:space="preserve"> </w:t>
            </w:r>
            <w:r>
              <w:rPr>
                <w:rFonts w:hint="eastAsia"/>
                <w:b/>
                <w:bCs/>
                <w:lang w:val="en-US" w:eastAsia="zh-CN"/>
              </w:rPr>
              <w:t xml:space="preserve"> </w:t>
            </w:r>
            <w:r>
              <w:rPr>
                <w:b/>
                <w:bCs/>
              </w:rPr>
              <w:t>产污环节一览表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2643"/>
              <w:gridCol w:w="3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lang w:bidi="ar"/>
                    </w:rPr>
                    <w:t>类别</w:t>
                  </w:r>
                </w:p>
              </w:tc>
              <w:tc>
                <w:tcPr>
                  <w:tcW w:w="264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lang w:bidi="ar"/>
                    </w:rPr>
                    <w:t>产污环节</w:t>
                  </w:r>
                </w:p>
              </w:tc>
              <w:tc>
                <w:tcPr>
                  <w:tcW w:w="390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lang w:bidi="ar"/>
                    </w:rPr>
                    <w:t>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lang w:bidi="ar"/>
                    </w:rPr>
                    <w:t>废气</w:t>
                  </w:r>
                </w:p>
              </w:tc>
              <w:tc>
                <w:tcPr>
                  <w:tcW w:w="264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lang w:bidi="ar"/>
                    </w:rPr>
                    <w:t>筒仓呼吸、搅拌、原料堆场、汽车运</w:t>
                  </w:r>
                  <w:r>
                    <w:rPr>
                      <w:rFonts w:ascii="Times New Roman" w:hAnsi="Times New Roman" w:cs="Times New Roman"/>
                      <w:color w:val="000000"/>
                      <w:sz w:val="21"/>
                      <w:szCs w:val="21"/>
                      <w:lang w:bidi="ar"/>
                    </w:rPr>
                    <w:t>输、食堂</w:t>
                  </w:r>
                </w:p>
              </w:tc>
              <w:tc>
                <w:tcPr>
                  <w:tcW w:w="390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lang w:bidi="ar"/>
                    </w:rPr>
                    <w:t>粉尘、食堂油烟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lang w:bidi="ar"/>
                    </w:rPr>
                    <w:t>废水</w:t>
                  </w:r>
                </w:p>
              </w:tc>
              <w:tc>
                <w:tcPr>
                  <w:tcW w:w="264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lang w:bidi="ar"/>
                    </w:rPr>
                    <w:t>生活、生产</w:t>
                  </w:r>
                </w:p>
              </w:tc>
              <w:tc>
                <w:tcPr>
                  <w:tcW w:w="390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cs="Times New Roman"/>
                      <w:sz w:val="21"/>
                      <w:szCs w:val="21"/>
                    </w:rPr>
                  </w:pPr>
                  <w:r>
                    <w:rPr>
                      <w:rFonts w:hint="eastAsia" w:cs="Times New Roman"/>
                      <w:sz w:val="21"/>
                      <w:szCs w:val="21"/>
                      <w:lang w:val="en-US" w:eastAsia="zh-CN" w:bidi="ar"/>
                    </w:rPr>
                    <w:t>pH、</w:t>
                  </w:r>
                  <w:r>
                    <w:rPr>
                      <w:rFonts w:ascii="Times New Roman" w:hAnsi="Times New Roman" w:cs="Times New Roman"/>
                      <w:sz w:val="21"/>
                      <w:szCs w:val="21"/>
                      <w:lang w:bidi="ar"/>
                    </w:rPr>
                    <w:t>COD、BOD</w:t>
                  </w:r>
                  <w:r>
                    <w:rPr>
                      <w:rFonts w:ascii="Times New Roman" w:hAnsi="Times New Roman" w:cs="Times New Roman"/>
                      <w:sz w:val="21"/>
                      <w:szCs w:val="21"/>
                      <w:vertAlign w:val="subscript"/>
                      <w:lang w:bidi="ar"/>
                    </w:rPr>
                    <w:t>5</w:t>
                  </w:r>
                  <w:r>
                    <w:rPr>
                      <w:rFonts w:ascii="Times New Roman" w:hAnsi="Times New Roman" w:cs="Times New Roman"/>
                      <w:sz w:val="21"/>
                      <w:szCs w:val="21"/>
                      <w:lang w:bidi="ar"/>
                    </w:rPr>
                    <w:t>、SS、氨氮、动植物油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lang w:bidi="ar"/>
                    </w:rPr>
                    <w:t>固废</w:t>
                  </w:r>
                </w:p>
              </w:tc>
              <w:tc>
                <w:tcPr>
                  <w:tcW w:w="264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lang w:bidi="ar"/>
                    </w:rPr>
                    <w:t>生活、生产过程、废气处理</w:t>
                  </w:r>
                  <w:r>
                    <w:rPr>
                      <w:rFonts w:hint="eastAsia" w:ascii="Times New Roman" w:hAnsi="Times New Roman" w:cs="Times New Roman"/>
                      <w:sz w:val="21"/>
                      <w:szCs w:val="21"/>
                      <w:lang w:bidi="ar"/>
                    </w:rPr>
                    <w:t>、维修</w:t>
                  </w:r>
                </w:p>
              </w:tc>
              <w:tc>
                <w:tcPr>
                  <w:tcW w:w="390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lang w:bidi="ar"/>
                    </w:rPr>
                    <w:t>生活垃圾、除尘器收集粉尘、</w:t>
                  </w:r>
                  <w:r>
                    <w:rPr>
                      <w:rFonts w:hint="eastAsia" w:ascii="Times New Roman" w:hAnsi="Times New Roman" w:cs="Times New Roman"/>
                      <w:sz w:val="21"/>
                      <w:szCs w:val="21"/>
                      <w:lang w:val="en-US" w:eastAsia="zh-CN" w:bidi="ar"/>
                    </w:rPr>
                    <w:t>污泥、</w:t>
                  </w:r>
                  <w:r>
                    <w:rPr>
                      <w:rFonts w:ascii="Times New Roman" w:hAnsi="Times New Roman" w:cs="Times New Roman"/>
                      <w:sz w:val="21"/>
                      <w:szCs w:val="21"/>
                      <w:lang w:bidi="ar"/>
                    </w:rPr>
                    <w:t>废机油、废机油桶</w:t>
                  </w:r>
                </w:p>
              </w:tc>
            </w:tr>
          </w:tbl>
          <w:p>
            <w:pPr>
              <w:pStyle w:val="9"/>
              <w:spacing w:line="360" w:lineRule="auto"/>
              <w:ind w:firstLine="0" w:firstLineChars="0"/>
              <w:jc w:val="left"/>
              <w:rPr>
                <w:sz w:val="24"/>
              </w:rPr>
            </w:pPr>
          </w:p>
          <w:p>
            <w:pPr>
              <w:pStyle w:val="9"/>
              <w:spacing w:line="360" w:lineRule="auto"/>
              <w:ind w:firstLine="0" w:firstLineChars="0"/>
              <w:jc w:val="lef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823" w:type="dxa"/>
            <w:vAlign w:val="center"/>
          </w:tcPr>
          <w:p>
            <w:pPr>
              <w:pStyle w:val="24"/>
              <w:adjustRightInd w:val="0"/>
              <w:snapToGrid w:val="0"/>
              <w:spacing w:before="0" w:beforeAutospacing="0" w:after="0" w:afterAutospacing="0"/>
              <w:jc w:val="center"/>
              <w:rPr>
                <w:rFonts w:cs="宋体"/>
                <w:sz w:val="21"/>
                <w:szCs w:val="21"/>
              </w:rPr>
            </w:pPr>
            <w:r>
              <w:rPr>
                <w:rFonts w:hint="eastAsia" w:cs="宋体"/>
                <w:bCs/>
                <w:kern w:val="2"/>
                <w:szCs w:val="24"/>
              </w:rPr>
              <w:t>与项目有关的原有环境污染问题</w:t>
            </w:r>
          </w:p>
        </w:tc>
        <w:tc>
          <w:tcPr>
            <w:tcW w:w="8161" w:type="dxa"/>
          </w:tcPr>
          <w:p>
            <w:pPr>
              <w:adjustRightInd w:val="0"/>
              <w:snapToGrid w:val="0"/>
              <w:spacing w:line="360" w:lineRule="auto"/>
              <w:ind w:firstLine="480" w:firstLineChars="200"/>
              <w:rPr>
                <w:rFonts w:ascii="宋体"/>
                <w:color w:val="auto"/>
              </w:rPr>
            </w:pPr>
            <w:r>
              <w:rPr>
                <w:rFonts w:hint="eastAsia" w:ascii="宋体" w:hAnsi="宋体" w:cs="宋体"/>
                <w:color w:val="auto"/>
              </w:rPr>
              <w:t>本项目</w:t>
            </w:r>
            <w:r>
              <w:rPr>
                <w:rFonts w:hint="eastAsia" w:cs="宋体"/>
                <w:color w:val="auto"/>
              </w:rPr>
              <w:t>于</w:t>
            </w:r>
            <w:r>
              <w:rPr>
                <w:color w:val="auto"/>
              </w:rPr>
              <w:t>202</w:t>
            </w:r>
            <w:r>
              <w:rPr>
                <w:rFonts w:hint="eastAsia"/>
                <w:color w:val="auto"/>
                <w:lang w:val="en-US" w:eastAsia="zh-CN"/>
              </w:rPr>
              <w:t>2</w:t>
            </w:r>
            <w:r>
              <w:rPr>
                <w:rFonts w:hint="eastAsia" w:cs="宋体"/>
                <w:color w:val="auto"/>
              </w:rPr>
              <w:t>年</w:t>
            </w:r>
            <w:r>
              <w:rPr>
                <w:rFonts w:hint="eastAsia" w:cs="宋体"/>
                <w:color w:val="auto"/>
                <w:lang w:val="en-US" w:eastAsia="zh-CN"/>
              </w:rPr>
              <w:t>4</w:t>
            </w:r>
            <w:r>
              <w:rPr>
                <w:rFonts w:hint="eastAsia" w:cs="宋体"/>
                <w:color w:val="auto"/>
              </w:rPr>
              <w:t>月开</w:t>
            </w:r>
            <w:r>
              <w:rPr>
                <w:rFonts w:hint="eastAsia" w:ascii="宋体" w:hAnsi="宋体" w:cs="宋体"/>
                <w:color w:val="auto"/>
              </w:rPr>
              <w:t>始动工建设，建设</w:t>
            </w:r>
            <w:r>
              <w:rPr>
                <w:rFonts w:hint="eastAsia" w:ascii="宋体" w:hAnsi="宋体" w:cs="宋体"/>
                <w:color w:val="auto"/>
                <w:lang w:val="en-US" w:eastAsia="zh-CN"/>
              </w:rPr>
              <w:t>工程为</w:t>
            </w:r>
            <w:r>
              <w:rPr>
                <w:rFonts w:hint="eastAsia" w:ascii="宋体" w:cs="宋体"/>
                <w:color w:val="auto"/>
                <w:lang w:val="en-US" w:eastAsia="zh-CN"/>
              </w:rPr>
              <w:t>中间的</w:t>
            </w:r>
            <w:r>
              <w:rPr>
                <w:rFonts w:hint="eastAsia" w:ascii="宋体" w:cs="宋体"/>
                <w:color w:val="auto"/>
              </w:rPr>
              <w:t>搅拌楼和沉淀池、</w:t>
            </w:r>
            <w:r>
              <w:rPr>
                <w:rFonts w:hint="eastAsia" w:ascii="宋体" w:cs="宋体"/>
                <w:color w:val="auto"/>
                <w:lang w:val="en-US" w:eastAsia="zh-CN"/>
              </w:rPr>
              <w:t>西侧的</w:t>
            </w:r>
            <w:r>
              <w:rPr>
                <w:rFonts w:hint="eastAsia" w:ascii="宋体" w:cs="宋体"/>
                <w:color w:val="auto"/>
              </w:rPr>
              <w:t>办公楼。</w:t>
            </w:r>
          </w:p>
          <w:p>
            <w:pPr>
              <w:adjustRightInd w:val="0"/>
              <w:snapToGrid w:val="0"/>
              <w:spacing w:line="360" w:lineRule="auto"/>
              <w:ind w:firstLine="480" w:firstLineChars="200"/>
              <w:rPr>
                <w:color w:val="auto"/>
              </w:rPr>
            </w:pPr>
            <w:r>
              <w:rPr>
                <w:rFonts w:hint="eastAsia" w:ascii="宋体" w:hAnsi="宋体" w:cs="宋体"/>
                <w:color w:val="auto"/>
              </w:rPr>
              <w:t>项目属于未批先建，目前已由宿州市生态环境局</w:t>
            </w:r>
            <w:r>
              <w:rPr>
                <w:rFonts w:hint="eastAsia" w:ascii="宋体" w:hAnsi="宋体" w:cs="宋体"/>
                <w:color w:val="auto"/>
                <w:lang w:val="en-US" w:eastAsia="zh-CN"/>
              </w:rPr>
              <w:t>以宿环萧罚字【</w:t>
            </w:r>
            <w:r>
              <w:rPr>
                <w:rFonts w:hint="default" w:ascii="Times New Roman" w:hAnsi="Times New Roman" w:cs="Times New Roman"/>
                <w:color w:val="auto"/>
                <w:lang w:val="en-US" w:eastAsia="zh-CN"/>
              </w:rPr>
              <w:t>2022</w:t>
            </w:r>
            <w:r>
              <w:rPr>
                <w:rFonts w:hint="eastAsia" w:ascii="宋体" w:hAnsi="宋体" w:cs="宋体"/>
                <w:color w:val="auto"/>
                <w:lang w:val="en-US" w:eastAsia="zh-CN"/>
              </w:rPr>
              <w:t>】</w:t>
            </w:r>
            <w:r>
              <w:rPr>
                <w:rFonts w:hint="default" w:ascii="Times New Roman" w:hAnsi="Times New Roman" w:cs="Times New Roman"/>
                <w:color w:val="auto"/>
                <w:lang w:val="en-US" w:eastAsia="zh-CN"/>
              </w:rPr>
              <w:t>035</w:t>
            </w:r>
            <w:r>
              <w:rPr>
                <w:rFonts w:hint="eastAsia" w:ascii="宋体" w:hAnsi="宋体" w:cs="宋体"/>
                <w:color w:val="auto"/>
                <w:lang w:val="en-US" w:eastAsia="zh-CN"/>
              </w:rPr>
              <w:t>号</w:t>
            </w:r>
            <w:r>
              <w:rPr>
                <w:rFonts w:hint="eastAsia" w:cs="宋体"/>
                <w:color w:val="auto"/>
              </w:rPr>
              <w:t>文件予以处罚。建设单位已于</w:t>
            </w:r>
            <w:r>
              <w:rPr>
                <w:color w:val="auto"/>
              </w:rPr>
              <w:t>202</w:t>
            </w:r>
            <w:r>
              <w:rPr>
                <w:rFonts w:hint="eastAsia"/>
                <w:color w:val="auto"/>
                <w:lang w:val="en-US" w:eastAsia="zh-CN"/>
              </w:rPr>
              <w:t>2</w:t>
            </w:r>
            <w:r>
              <w:rPr>
                <w:rFonts w:hint="eastAsia" w:cs="宋体"/>
                <w:color w:val="auto"/>
              </w:rPr>
              <w:t>年</w:t>
            </w:r>
            <w:r>
              <w:rPr>
                <w:rFonts w:hint="eastAsia" w:cs="宋体"/>
                <w:color w:val="auto"/>
                <w:lang w:val="en-US" w:eastAsia="zh-CN"/>
              </w:rPr>
              <w:t>4</w:t>
            </w:r>
            <w:r>
              <w:rPr>
                <w:rFonts w:hint="eastAsia" w:cs="宋体"/>
                <w:color w:val="auto"/>
              </w:rPr>
              <w:t>月</w:t>
            </w:r>
            <w:r>
              <w:rPr>
                <w:rFonts w:hint="eastAsia" w:cs="宋体"/>
                <w:color w:val="auto"/>
                <w:lang w:val="en-US" w:eastAsia="zh-CN"/>
              </w:rPr>
              <w:t>21</w:t>
            </w:r>
            <w:r>
              <w:rPr>
                <w:rFonts w:hint="eastAsia" w:cs="宋体"/>
                <w:color w:val="auto"/>
              </w:rPr>
              <w:t>日履行了</w:t>
            </w:r>
            <w:r>
              <w:rPr>
                <w:rFonts w:hint="eastAsia" w:cs="宋体"/>
                <w:color w:val="auto"/>
                <w:lang w:val="en-US" w:eastAsia="zh-CN"/>
              </w:rPr>
              <w:t>49613</w:t>
            </w:r>
            <w:r>
              <w:rPr>
                <w:rFonts w:hint="eastAsia" w:cs="宋体"/>
                <w:color w:val="auto"/>
              </w:rPr>
              <w:t>元罚款处罚。</w:t>
            </w:r>
          </w:p>
          <w:p>
            <w:pPr>
              <w:adjustRightInd w:val="0"/>
              <w:snapToGrid w:val="0"/>
              <w:spacing w:line="360" w:lineRule="auto"/>
              <w:ind w:firstLine="480" w:firstLineChars="200"/>
              <w:rPr>
                <w:color w:val="auto"/>
              </w:rPr>
            </w:pPr>
            <w:r>
              <w:rPr>
                <w:rFonts w:hint="eastAsia" w:ascii="宋体" w:hAnsi="宋体" w:cs="宋体"/>
                <w:color w:val="auto"/>
              </w:rPr>
              <w:t>本项目厂区未进行建设前为空置土地，建设期产生的生活垃圾由施工队带走，因此厂区不存在</w:t>
            </w:r>
            <w:r>
              <w:rPr>
                <w:rFonts w:hint="eastAsia" w:cs="宋体"/>
                <w:color w:val="auto"/>
                <w:kern w:val="2"/>
              </w:rPr>
              <w:t>原有</w:t>
            </w:r>
            <w:r>
              <w:rPr>
                <w:rFonts w:hint="eastAsia" w:ascii="宋体" w:hAnsi="宋体" w:cs="宋体"/>
                <w:color w:val="auto"/>
              </w:rPr>
              <w:t>环境污染问题</w:t>
            </w:r>
            <w:r>
              <w:rPr>
                <w:rFonts w:hint="eastAsia" w:cs="宋体"/>
                <w:color w:val="auto"/>
              </w:rPr>
              <w:t>。</w:t>
            </w:r>
          </w:p>
          <w:p>
            <w:pPr>
              <w:adjustRightInd w:val="0"/>
              <w:snapToGrid w:val="0"/>
              <w:spacing w:line="360" w:lineRule="auto"/>
              <w:ind w:firstLine="480" w:firstLineChars="200"/>
              <w:rPr>
                <w:rFonts w:hint="eastAsia" w:ascii="宋体" w:eastAsia="宋体"/>
                <w:color w:val="auto"/>
                <w:lang w:eastAsia="zh-CN"/>
              </w:rPr>
            </w:pPr>
            <w:r>
              <w:rPr>
                <w:rFonts w:hint="eastAsia" w:ascii="宋体" w:hAnsi="宋体" w:cs="宋体"/>
                <w:color w:val="auto"/>
              </w:rPr>
              <w:t>项目</w:t>
            </w:r>
            <w:r>
              <w:rPr>
                <w:rFonts w:hint="eastAsia" w:cs="宋体"/>
                <w:color w:val="auto"/>
              </w:rPr>
              <w:t>目前场地已硬化</w:t>
            </w:r>
            <w:r>
              <w:rPr>
                <w:rFonts w:hint="eastAsia" w:cs="宋体"/>
                <w:color w:val="auto"/>
                <w:lang w:eastAsia="zh-CN"/>
              </w:rPr>
              <w:t>，</w:t>
            </w:r>
            <w:r>
              <w:rPr>
                <w:rFonts w:hint="eastAsia" w:cs="宋体"/>
                <w:color w:val="auto"/>
                <w:lang w:val="en-US" w:eastAsia="zh-CN"/>
              </w:rPr>
              <w:t>搅拌楼、沉淀池、办公楼均未建设完成，项目目前处于停工状态，</w:t>
            </w:r>
            <w:r>
              <w:rPr>
                <w:rFonts w:hint="eastAsia" w:ascii="宋体" w:hAnsi="宋体" w:cs="宋体"/>
                <w:color w:val="auto"/>
              </w:rPr>
              <w:t>项目目前未进行生产</w:t>
            </w:r>
            <w:r>
              <w:rPr>
                <w:rFonts w:hint="eastAsia" w:ascii="宋体" w:hAnsi="宋体" w:cs="宋体"/>
                <w:color w:val="auto"/>
                <w:lang w:eastAsia="zh-CN"/>
              </w:rPr>
              <w:t>，</w:t>
            </w:r>
            <w:r>
              <w:rPr>
                <w:rFonts w:ascii="宋体" w:hAnsi="宋体" w:eastAsia="宋体" w:cs="宋体"/>
                <w:color w:val="auto"/>
                <w:sz w:val="24"/>
                <w:szCs w:val="24"/>
              </w:rPr>
              <w:t>不产生废气，因此不存在</w:t>
            </w:r>
            <w:r>
              <w:rPr>
                <w:rFonts w:hint="eastAsia" w:ascii="宋体" w:hAnsi="宋体" w:cs="宋体"/>
                <w:color w:val="auto"/>
              </w:rPr>
              <w:t>环境污染问题</w:t>
            </w:r>
            <w:r>
              <w:rPr>
                <w:rFonts w:hint="eastAsia" w:cs="宋体"/>
                <w:color w:val="auto"/>
              </w:rPr>
              <w:t>。</w:t>
            </w:r>
          </w:p>
          <w:p>
            <w:pPr>
              <w:adjustRightInd w:val="0"/>
              <w:snapToGrid w:val="0"/>
              <w:rPr>
                <w:rFonts w:hint="default" w:ascii="宋体" w:hAnsi="宋体" w:eastAsia="宋体"/>
                <w:bCs/>
                <w:szCs w:val="21"/>
                <w:lang w:val="en-US" w:eastAsia="zh-CN"/>
              </w:rPr>
            </w:pPr>
          </w:p>
        </w:tc>
      </w:tr>
    </w:tbl>
    <w:p>
      <w:pPr>
        <w:pStyle w:val="24"/>
        <w:jc w:val="both"/>
        <w:rPr>
          <w:rFonts w:ascii="黑体" w:hAnsi="黑体" w:eastAsia="黑体"/>
          <w:snapToGrid w:val="0"/>
          <w:sz w:val="36"/>
          <w:szCs w:val="36"/>
        </w:rPr>
        <w:sectPr>
          <w:pgSz w:w="11906" w:h="16838"/>
          <w:pgMar w:top="1701" w:right="1531" w:bottom="1701" w:left="1531" w:header="851" w:footer="851" w:gutter="0"/>
          <w:cols w:space="720" w:num="1"/>
          <w:docGrid w:linePitch="312" w:charSpace="0"/>
        </w:sectPr>
      </w:pPr>
    </w:p>
    <w:p>
      <w:pPr>
        <w:pStyle w:val="24"/>
        <w:ind w:firstLine="1200" w:firstLineChars="400"/>
        <w:jc w:val="both"/>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00" w:type="dxa"/>
            <w:vAlign w:val="center"/>
          </w:tcPr>
          <w:p>
            <w:pPr>
              <w:adjustRightInd w:val="0"/>
              <w:snapToGrid w:val="0"/>
              <w:jc w:val="center"/>
              <w:rPr>
                <w:kern w:val="0"/>
              </w:rPr>
            </w:pPr>
            <w:r>
              <w:rPr>
                <w:kern w:val="0"/>
              </w:rPr>
              <w:t>区域</w:t>
            </w:r>
          </w:p>
          <w:p>
            <w:pPr>
              <w:adjustRightInd w:val="0"/>
              <w:snapToGrid w:val="0"/>
              <w:jc w:val="center"/>
              <w:rPr>
                <w:kern w:val="0"/>
              </w:rPr>
            </w:pPr>
            <w:r>
              <w:rPr>
                <w:kern w:val="0"/>
              </w:rPr>
              <w:t>环境</w:t>
            </w:r>
          </w:p>
          <w:p>
            <w:pPr>
              <w:adjustRightInd w:val="0"/>
              <w:snapToGrid w:val="0"/>
              <w:jc w:val="center"/>
              <w:rPr>
                <w:kern w:val="0"/>
              </w:rPr>
            </w:pPr>
            <w:r>
              <w:rPr>
                <w:kern w:val="0"/>
              </w:rPr>
              <w:t>质量</w:t>
            </w:r>
          </w:p>
          <w:p>
            <w:pPr>
              <w:adjustRightInd w:val="0"/>
              <w:snapToGrid w:val="0"/>
              <w:jc w:val="center"/>
              <w:rPr>
                <w:kern w:val="0"/>
              </w:rPr>
            </w:pPr>
            <w:r>
              <w:rPr>
                <w:kern w:val="0"/>
              </w:rPr>
              <w:t>现状</w:t>
            </w:r>
          </w:p>
        </w:tc>
        <w:tc>
          <w:tcPr>
            <w:tcW w:w="8190" w:type="dxa"/>
            <w:vAlign w:val="center"/>
          </w:tcPr>
          <w:p>
            <w:pPr>
              <w:adjustRightInd w:val="0"/>
              <w:snapToGrid w:val="0"/>
              <w:spacing w:before="120" w:beforeLines="50" w:line="360" w:lineRule="auto"/>
              <w:ind w:firstLine="480" w:firstLineChars="200"/>
              <w:rPr>
                <w:rFonts w:hint="eastAsia" w:eastAsia="宋体"/>
                <w:lang w:eastAsia="zh-CN"/>
              </w:rPr>
            </w:pPr>
            <w:r>
              <w:t>建设项目所在地区域环境质量现状及主要环境问题</w:t>
            </w:r>
            <w:r>
              <w:rPr>
                <w:rFonts w:hint="eastAsia"/>
                <w:lang w:eastAsia="zh-CN"/>
              </w:rPr>
              <w:t>（</w:t>
            </w:r>
            <w:r>
              <w:t>环境空气、地面水、地下水、声环境、生态环境等</w:t>
            </w:r>
            <w:r>
              <w:rPr>
                <w:rFonts w:hint="eastAsia"/>
                <w:lang w:eastAsia="zh-CN"/>
              </w:rPr>
              <w:t>）</w:t>
            </w:r>
          </w:p>
          <w:p>
            <w:pPr>
              <w:adjustRightInd w:val="0"/>
              <w:snapToGrid w:val="0"/>
              <w:spacing w:line="360" w:lineRule="auto"/>
              <w:jc w:val="left"/>
              <w:rPr>
                <w:b/>
                <w:bCs/>
                <w:color w:val="000000"/>
                <w:kern w:val="0"/>
              </w:rPr>
            </w:pPr>
            <w:r>
              <w:rPr>
                <w:b/>
                <w:bCs/>
                <w:color w:val="000000"/>
                <w:kern w:val="0"/>
              </w:rPr>
              <w:t>1、大气环境</w:t>
            </w:r>
          </w:p>
          <w:p>
            <w:pPr>
              <w:adjustRightInd w:val="0"/>
              <w:snapToGrid w:val="0"/>
              <w:spacing w:line="360" w:lineRule="auto"/>
              <w:ind w:firstLine="480" w:firstLineChars="200"/>
              <w:jc w:val="left"/>
            </w:pPr>
            <w:r>
              <w:rPr>
                <w:color w:val="auto"/>
                <w:kern w:val="0"/>
              </w:rPr>
              <w:t>项目位于</w:t>
            </w:r>
            <w:r>
              <w:rPr>
                <w:rFonts w:hint="eastAsia" w:cs="Times New Roman"/>
                <w:color w:val="auto"/>
                <w:lang w:val="en-US" w:eastAsia="zh-CN"/>
              </w:rPr>
              <w:t>安徽省宿州市萧县杨楼镇陇海铁路南侧100号</w:t>
            </w:r>
            <w:r>
              <w:rPr>
                <w:color w:val="auto"/>
                <w:kern w:val="0"/>
              </w:rPr>
              <w:t>，</w:t>
            </w:r>
            <w:r>
              <w:t>本次环评</w:t>
            </w:r>
            <w:r>
              <w:rPr>
                <w:rFonts w:hint="eastAsia"/>
              </w:rPr>
              <w:t>引用的数据为</w:t>
            </w:r>
            <w:r>
              <w:rPr>
                <w:rFonts w:hint="eastAsia"/>
                <w:lang w:val="en-US" w:eastAsia="zh-CN"/>
              </w:rPr>
              <w:t>宿州市生态环境局政务公开网上《</w:t>
            </w:r>
            <w:r>
              <w:rPr>
                <w:sz w:val="24"/>
              </w:rPr>
              <w:t>宿州市20</w:t>
            </w:r>
            <w:r>
              <w:rPr>
                <w:rFonts w:hint="eastAsia"/>
                <w:sz w:val="24"/>
              </w:rPr>
              <w:t>20</w:t>
            </w:r>
            <w:r>
              <w:rPr>
                <w:sz w:val="24"/>
              </w:rPr>
              <w:t>年环境质量状况公报</w:t>
            </w:r>
            <w:r>
              <w:rPr>
                <w:rFonts w:hint="eastAsia"/>
                <w:sz w:val="24"/>
                <w:lang w:eastAsia="zh-CN"/>
              </w:rPr>
              <w:t>》</w:t>
            </w:r>
            <w:r>
              <w:rPr>
                <w:rFonts w:hint="eastAsia"/>
              </w:rPr>
              <w:t>。</w:t>
            </w:r>
          </w:p>
          <w:p>
            <w:pPr>
              <w:adjustRightInd w:val="0"/>
              <w:snapToGrid w:val="0"/>
              <w:spacing w:line="360" w:lineRule="auto"/>
              <w:ind w:firstLine="480" w:firstLineChars="200"/>
              <w:jc w:val="left"/>
              <w:rPr>
                <w:kern w:val="0"/>
              </w:rPr>
            </w:pPr>
            <w:r>
              <w:rPr>
                <w:kern w:val="0"/>
              </w:rPr>
              <w:t>根据《环境影响评价技术导则大气环境》（HJ2.2-2018），本次评价基本污染物环境质量现状数据采用生态环境主管部门公开发布的环境空气质量现状数据。项目位于</w:t>
            </w:r>
            <w:r>
              <w:rPr>
                <w:rFonts w:hint="eastAsia" w:cs="Times New Roman"/>
                <w:color w:val="auto"/>
                <w:lang w:val="en-US" w:eastAsia="zh-CN"/>
              </w:rPr>
              <w:t>安徽省宿州市萧县杨楼镇陇海铁路南侧100号</w:t>
            </w:r>
            <w:r>
              <w:rPr>
                <w:kern w:val="0"/>
              </w:rPr>
              <w:t>，基本污染物环境质量现状评价采用20</w:t>
            </w:r>
            <w:r>
              <w:rPr>
                <w:rFonts w:hint="eastAsia"/>
                <w:kern w:val="0"/>
              </w:rPr>
              <w:t>20</w:t>
            </w:r>
            <w:r>
              <w:rPr>
                <w:kern w:val="0"/>
              </w:rPr>
              <w:t>年宿州市全年环境质量监测数据，项目区域空气质量达标判定见表3</w:t>
            </w:r>
            <w:r>
              <w:rPr>
                <w:rFonts w:hint="eastAsia"/>
                <w:kern w:val="0"/>
              </w:rPr>
              <w:t>.</w:t>
            </w:r>
            <w:r>
              <w:rPr>
                <w:kern w:val="0"/>
              </w:rPr>
              <w:t>1。</w:t>
            </w:r>
          </w:p>
          <w:p>
            <w:pPr>
              <w:adjustRightInd w:val="0"/>
              <w:snapToGrid w:val="0"/>
              <w:jc w:val="center"/>
              <w:rPr>
                <w:b/>
                <w:bCs/>
                <w:kern w:val="0"/>
              </w:rPr>
            </w:pPr>
            <w:r>
              <w:rPr>
                <w:b/>
                <w:bCs/>
                <w:kern w:val="0"/>
              </w:rPr>
              <w:t>表3</w:t>
            </w:r>
            <w:r>
              <w:rPr>
                <w:rFonts w:hint="eastAsia"/>
                <w:b/>
                <w:bCs/>
                <w:kern w:val="0"/>
              </w:rPr>
              <w:t>.</w:t>
            </w:r>
            <w:r>
              <w:rPr>
                <w:b/>
                <w:bCs/>
                <w:kern w:val="0"/>
              </w:rPr>
              <w:t>1  区域空气质量现状评价表</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840"/>
              <w:gridCol w:w="1246"/>
              <w:gridCol w:w="1267"/>
              <w:gridCol w:w="1241"/>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1" w:type="dxa"/>
                  <w:vAlign w:val="center"/>
                </w:tcPr>
                <w:p>
                  <w:pPr>
                    <w:adjustRightInd w:val="0"/>
                    <w:snapToGrid w:val="0"/>
                    <w:jc w:val="center"/>
                    <w:rPr>
                      <w:b/>
                      <w:bCs/>
                      <w:kern w:val="0"/>
                      <w:sz w:val="21"/>
                      <w:szCs w:val="21"/>
                    </w:rPr>
                  </w:pPr>
                  <w:r>
                    <w:rPr>
                      <w:b/>
                      <w:bCs/>
                      <w:kern w:val="0"/>
                      <w:sz w:val="21"/>
                      <w:szCs w:val="21"/>
                    </w:rPr>
                    <w:t>污染物</w:t>
                  </w:r>
                </w:p>
              </w:tc>
              <w:tc>
                <w:tcPr>
                  <w:tcW w:w="1927" w:type="dxa"/>
                  <w:vAlign w:val="center"/>
                </w:tcPr>
                <w:p>
                  <w:pPr>
                    <w:adjustRightInd w:val="0"/>
                    <w:snapToGrid w:val="0"/>
                    <w:jc w:val="center"/>
                    <w:rPr>
                      <w:b/>
                      <w:bCs/>
                      <w:kern w:val="0"/>
                      <w:sz w:val="21"/>
                      <w:szCs w:val="21"/>
                    </w:rPr>
                  </w:pPr>
                  <w:r>
                    <w:rPr>
                      <w:b/>
                      <w:bCs/>
                      <w:kern w:val="0"/>
                      <w:sz w:val="21"/>
                      <w:szCs w:val="21"/>
                    </w:rPr>
                    <w:t>评价标准</w:t>
                  </w:r>
                </w:p>
              </w:tc>
              <w:tc>
                <w:tcPr>
                  <w:tcW w:w="1301" w:type="dxa"/>
                  <w:vAlign w:val="center"/>
                </w:tcPr>
                <w:p>
                  <w:pPr>
                    <w:adjustRightInd w:val="0"/>
                    <w:snapToGrid w:val="0"/>
                    <w:jc w:val="center"/>
                    <w:rPr>
                      <w:b/>
                      <w:bCs/>
                      <w:kern w:val="0"/>
                      <w:sz w:val="21"/>
                      <w:szCs w:val="21"/>
                    </w:rPr>
                  </w:pPr>
                  <w:r>
                    <w:rPr>
                      <w:b/>
                      <w:bCs/>
                      <w:kern w:val="0"/>
                      <w:sz w:val="21"/>
                      <w:szCs w:val="21"/>
                    </w:rPr>
                    <w:t>年均浓度（μg/m</w:t>
                  </w:r>
                  <w:r>
                    <w:rPr>
                      <w:b/>
                      <w:bCs/>
                      <w:kern w:val="0"/>
                      <w:sz w:val="21"/>
                      <w:szCs w:val="21"/>
                      <w:vertAlign w:val="superscript"/>
                    </w:rPr>
                    <w:t>3</w:t>
                  </w:r>
                  <w:r>
                    <w:rPr>
                      <w:b/>
                      <w:bCs/>
                      <w:kern w:val="0"/>
                      <w:sz w:val="21"/>
                      <w:szCs w:val="21"/>
                    </w:rPr>
                    <w:t>）</w:t>
                  </w:r>
                </w:p>
              </w:tc>
              <w:tc>
                <w:tcPr>
                  <w:tcW w:w="1323" w:type="dxa"/>
                  <w:vAlign w:val="center"/>
                </w:tcPr>
                <w:p>
                  <w:pPr>
                    <w:adjustRightInd w:val="0"/>
                    <w:snapToGrid w:val="0"/>
                    <w:jc w:val="center"/>
                    <w:rPr>
                      <w:b/>
                      <w:bCs/>
                      <w:kern w:val="0"/>
                      <w:sz w:val="21"/>
                      <w:szCs w:val="21"/>
                    </w:rPr>
                  </w:pPr>
                  <w:r>
                    <w:rPr>
                      <w:b/>
                      <w:bCs/>
                      <w:kern w:val="0"/>
                      <w:sz w:val="21"/>
                      <w:szCs w:val="21"/>
                    </w:rPr>
                    <w:t>标准值（μg/m</w:t>
                  </w:r>
                  <w:r>
                    <w:rPr>
                      <w:b/>
                      <w:bCs/>
                      <w:kern w:val="0"/>
                      <w:sz w:val="21"/>
                      <w:szCs w:val="21"/>
                      <w:vertAlign w:val="superscript"/>
                    </w:rPr>
                    <w:t>3</w:t>
                  </w:r>
                  <w:r>
                    <w:rPr>
                      <w:b/>
                      <w:bCs/>
                      <w:kern w:val="0"/>
                      <w:sz w:val="21"/>
                      <w:szCs w:val="21"/>
                    </w:rPr>
                    <w:t>）</w:t>
                  </w:r>
                </w:p>
              </w:tc>
              <w:tc>
                <w:tcPr>
                  <w:tcW w:w="1295" w:type="dxa"/>
                  <w:vAlign w:val="center"/>
                </w:tcPr>
                <w:p>
                  <w:pPr>
                    <w:adjustRightInd w:val="0"/>
                    <w:snapToGrid w:val="0"/>
                    <w:jc w:val="center"/>
                    <w:rPr>
                      <w:b/>
                      <w:bCs/>
                      <w:kern w:val="0"/>
                      <w:sz w:val="21"/>
                      <w:szCs w:val="21"/>
                    </w:rPr>
                  </w:pPr>
                  <w:r>
                    <w:rPr>
                      <w:b/>
                      <w:bCs/>
                      <w:kern w:val="0"/>
                      <w:sz w:val="21"/>
                      <w:szCs w:val="21"/>
                    </w:rPr>
                    <w:t>占标率%</w:t>
                  </w:r>
                </w:p>
              </w:tc>
              <w:tc>
                <w:tcPr>
                  <w:tcW w:w="1386" w:type="dxa"/>
                  <w:vAlign w:val="center"/>
                </w:tcPr>
                <w:p>
                  <w:pPr>
                    <w:adjustRightInd w:val="0"/>
                    <w:snapToGrid w:val="0"/>
                    <w:jc w:val="center"/>
                    <w:rPr>
                      <w:b/>
                      <w:bCs/>
                      <w:kern w:val="0"/>
                      <w:sz w:val="21"/>
                      <w:szCs w:val="21"/>
                    </w:rPr>
                  </w:pPr>
                  <w:r>
                    <w:rPr>
                      <w:b/>
                      <w:bCs/>
                      <w:kern w:val="0"/>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1" w:type="dxa"/>
                  <w:vAlign w:val="center"/>
                </w:tcPr>
                <w:p>
                  <w:pPr>
                    <w:adjustRightInd w:val="0"/>
                    <w:snapToGrid w:val="0"/>
                    <w:jc w:val="center"/>
                    <w:rPr>
                      <w:kern w:val="0"/>
                      <w:sz w:val="21"/>
                      <w:szCs w:val="21"/>
                    </w:rPr>
                  </w:pPr>
                  <w:r>
                    <w:rPr>
                      <w:kern w:val="0"/>
                      <w:sz w:val="21"/>
                      <w:szCs w:val="21"/>
                    </w:rPr>
                    <w:t>PM</w:t>
                  </w:r>
                  <w:r>
                    <w:rPr>
                      <w:kern w:val="0"/>
                      <w:sz w:val="21"/>
                      <w:szCs w:val="21"/>
                      <w:vertAlign w:val="subscript"/>
                    </w:rPr>
                    <w:t>10</w:t>
                  </w:r>
                </w:p>
              </w:tc>
              <w:tc>
                <w:tcPr>
                  <w:tcW w:w="1927" w:type="dxa"/>
                  <w:vAlign w:val="center"/>
                </w:tcPr>
                <w:p>
                  <w:pPr>
                    <w:adjustRightInd w:val="0"/>
                    <w:snapToGrid w:val="0"/>
                    <w:jc w:val="center"/>
                    <w:rPr>
                      <w:kern w:val="0"/>
                      <w:sz w:val="21"/>
                      <w:szCs w:val="21"/>
                    </w:rPr>
                  </w:pPr>
                  <w:r>
                    <w:rPr>
                      <w:kern w:val="0"/>
                      <w:sz w:val="21"/>
                      <w:szCs w:val="21"/>
                    </w:rPr>
                    <w:t>年平均浓度</w:t>
                  </w:r>
                </w:p>
              </w:tc>
              <w:tc>
                <w:tcPr>
                  <w:tcW w:w="1301" w:type="dxa"/>
                  <w:vAlign w:val="center"/>
                </w:tcPr>
                <w:p>
                  <w:pPr>
                    <w:adjustRightInd w:val="0"/>
                    <w:snapToGrid w:val="0"/>
                    <w:jc w:val="center"/>
                    <w:rPr>
                      <w:rFonts w:hint="default" w:eastAsia="宋体"/>
                      <w:kern w:val="0"/>
                      <w:sz w:val="21"/>
                      <w:szCs w:val="21"/>
                      <w:lang w:val="en-US" w:eastAsia="zh-CN"/>
                    </w:rPr>
                  </w:pPr>
                  <w:r>
                    <w:rPr>
                      <w:rFonts w:hint="eastAsia"/>
                      <w:kern w:val="0"/>
                      <w:sz w:val="21"/>
                      <w:szCs w:val="21"/>
                      <w:lang w:val="en-US" w:eastAsia="zh-CN"/>
                    </w:rPr>
                    <w:t>74</w:t>
                  </w:r>
                </w:p>
              </w:tc>
              <w:tc>
                <w:tcPr>
                  <w:tcW w:w="1323" w:type="dxa"/>
                  <w:vAlign w:val="center"/>
                </w:tcPr>
                <w:p>
                  <w:pPr>
                    <w:adjustRightInd w:val="0"/>
                    <w:snapToGrid w:val="0"/>
                    <w:jc w:val="center"/>
                    <w:rPr>
                      <w:kern w:val="0"/>
                      <w:sz w:val="21"/>
                      <w:szCs w:val="21"/>
                    </w:rPr>
                  </w:pPr>
                  <w:r>
                    <w:rPr>
                      <w:rFonts w:hint="eastAsia"/>
                      <w:kern w:val="0"/>
                      <w:sz w:val="21"/>
                      <w:szCs w:val="21"/>
                    </w:rPr>
                    <w:t>70</w:t>
                  </w:r>
                </w:p>
              </w:tc>
              <w:tc>
                <w:tcPr>
                  <w:tcW w:w="1295" w:type="dxa"/>
                  <w:vAlign w:val="center"/>
                </w:tcPr>
                <w:p>
                  <w:pPr>
                    <w:adjustRightInd w:val="0"/>
                    <w:snapToGrid w:val="0"/>
                    <w:jc w:val="center"/>
                    <w:rPr>
                      <w:kern w:val="0"/>
                      <w:sz w:val="21"/>
                      <w:szCs w:val="21"/>
                    </w:rPr>
                  </w:pPr>
                  <w:r>
                    <w:rPr>
                      <w:rFonts w:hint="eastAsia"/>
                      <w:color w:val="000000"/>
                      <w:kern w:val="0"/>
                      <w:sz w:val="21"/>
                      <w:szCs w:val="21"/>
                    </w:rPr>
                    <w:t>1</w:t>
                  </w:r>
                  <w:r>
                    <w:rPr>
                      <w:rFonts w:hint="eastAsia"/>
                      <w:color w:val="000000"/>
                      <w:kern w:val="0"/>
                      <w:sz w:val="21"/>
                      <w:szCs w:val="21"/>
                      <w:lang w:val="en-US" w:eastAsia="zh-CN"/>
                    </w:rPr>
                    <w:t>05.7</w:t>
                  </w:r>
                  <w:r>
                    <w:rPr>
                      <w:rFonts w:hint="eastAsia"/>
                      <w:color w:val="000000"/>
                      <w:kern w:val="0"/>
                      <w:sz w:val="21"/>
                      <w:szCs w:val="21"/>
                    </w:rPr>
                    <w:t>%</w:t>
                  </w:r>
                </w:p>
              </w:tc>
              <w:tc>
                <w:tcPr>
                  <w:tcW w:w="1386" w:type="dxa"/>
                  <w:vAlign w:val="center"/>
                </w:tcPr>
                <w:p>
                  <w:pPr>
                    <w:adjustRightInd w:val="0"/>
                    <w:snapToGrid w:val="0"/>
                    <w:jc w:val="center"/>
                    <w:rPr>
                      <w:kern w:val="0"/>
                      <w:sz w:val="21"/>
                      <w:szCs w:val="21"/>
                    </w:rPr>
                  </w:pPr>
                  <w:r>
                    <w:rPr>
                      <w:kern w:val="0"/>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1" w:type="dxa"/>
                  <w:vAlign w:val="center"/>
                </w:tcPr>
                <w:p>
                  <w:pPr>
                    <w:adjustRightInd w:val="0"/>
                    <w:snapToGrid w:val="0"/>
                    <w:jc w:val="center"/>
                    <w:rPr>
                      <w:kern w:val="0"/>
                      <w:sz w:val="21"/>
                      <w:szCs w:val="21"/>
                    </w:rPr>
                  </w:pPr>
                  <w:r>
                    <w:rPr>
                      <w:kern w:val="0"/>
                      <w:sz w:val="21"/>
                      <w:szCs w:val="21"/>
                    </w:rPr>
                    <w:t>PM</w:t>
                  </w:r>
                  <w:r>
                    <w:rPr>
                      <w:kern w:val="0"/>
                      <w:sz w:val="21"/>
                      <w:szCs w:val="21"/>
                      <w:vertAlign w:val="subscript"/>
                    </w:rPr>
                    <w:t>2.5</w:t>
                  </w:r>
                </w:p>
              </w:tc>
              <w:tc>
                <w:tcPr>
                  <w:tcW w:w="1927" w:type="dxa"/>
                  <w:vAlign w:val="center"/>
                </w:tcPr>
                <w:p>
                  <w:pPr>
                    <w:adjustRightInd w:val="0"/>
                    <w:snapToGrid w:val="0"/>
                    <w:jc w:val="center"/>
                    <w:rPr>
                      <w:kern w:val="0"/>
                      <w:sz w:val="21"/>
                      <w:szCs w:val="21"/>
                    </w:rPr>
                  </w:pPr>
                  <w:r>
                    <w:rPr>
                      <w:kern w:val="0"/>
                      <w:sz w:val="21"/>
                      <w:szCs w:val="21"/>
                    </w:rPr>
                    <w:t>年平均浓度</w:t>
                  </w:r>
                </w:p>
              </w:tc>
              <w:tc>
                <w:tcPr>
                  <w:tcW w:w="1301" w:type="dxa"/>
                  <w:vAlign w:val="center"/>
                </w:tcPr>
                <w:p>
                  <w:pPr>
                    <w:adjustRightInd w:val="0"/>
                    <w:snapToGrid w:val="0"/>
                    <w:jc w:val="center"/>
                    <w:rPr>
                      <w:kern w:val="0"/>
                      <w:sz w:val="21"/>
                      <w:szCs w:val="21"/>
                    </w:rPr>
                  </w:pPr>
                  <w:r>
                    <w:rPr>
                      <w:rFonts w:hint="eastAsia"/>
                      <w:kern w:val="0"/>
                      <w:sz w:val="21"/>
                      <w:szCs w:val="21"/>
                    </w:rPr>
                    <w:t>46</w:t>
                  </w:r>
                </w:p>
              </w:tc>
              <w:tc>
                <w:tcPr>
                  <w:tcW w:w="1323" w:type="dxa"/>
                  <w:vAlign w:val="center"/>
                </w:tcPr>
                <w:p>
                  <w:pPr>
                    <w:adjustRightInd w:val="0"/>
                    <w:snapToGrid w:val="0"/>
                    <w:jc w:val="center"/>
                    <w:rPr>
                      <w:kern w:val="0"/>
                      <w:sz w:val="21"/>
                      <w:szCs w:val="21"/>
                    </w:rPr>
                  </w:pPr>
                  <w:r>
                    <w:rPr>
                      <w:rFonts w:hint="eastAsia"/>
                      <w:kern w:val="0"/>
                      <w:sz w:val="21"/>
                      <w:szCs w:val="21"/>
                    </w:rPr>
                    <w:t>35</w:t>
                  </w:r>
                </w:p>
              </w:tc>
              <w:tc>
                <w:tcPr>
                  <w:tcW w:w="1295" w:type="dxa"/>
                  <w:vAlign w:val="center"/>
                </w:tcPr>
                <w:p>
                  <w:pPr>
                    <w:adjustRightInd w:val="0"/>
                    <w:snapToGrid w:val="0"/>
                    <w:jc w:val="center"/>
                    <w:rPr>
                      <w:kern w:val="0"/>
                      <w:sz w:val="21"/>
                      <w:szCs w:val="21"/>
                    </w:rPr>
                  </w:pPr>
                  <w:r>
                    <w:rPr>
                      <w:rFonts w:hint="eastAsia"/>
                      <w:color w:val="000000"/>
                      <w:kern w:val="0"/>
                      <w:sz w:val="21"/>
                      <w:szCs w:val="21"/>
                    </w:rPr>
                    <w:t>131.4%</w:t>
                  </w:r>
                </w:p>
              </w:tc>
              <w:tc>
                <w:tcPr>
                  <w:tcW w:w="1386" w:type="dxa"/>
                  <w:vAlign w:val="center"/>
                </w:tcPr>
                <w:p>
                  <w:pPr>
                    <w:adjustRightInd w:val="0"/>
                    <w:snapToGrid w:val="0"/>
                    <w:jc w:val="center"/>
                    <w:rPr>
                      <w:kern w:val="0"/>
                      <w:sz w:val="21"/>
                      <w:szCs w:val="21"/>
                    </w:rPr>
                  </w:pPr>
                  <w:r>
                    <w:rPr>
                      <w:kern w:val="0"/>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1" w:type="dxa"/>
                  <w:vAlign w:val="center"/>
                </w:tcPr>
                <w:p>
                  <w:pPr>
                    <w:adjustRightInd w:val="0"/>
                    <w:snapToGrid w:val="0"/>
                    <w:jc w:val="center"/>
                    <w:rPr>
                      <w:kern w:val="0"/>
                      <w:sz w:val="21"/>
                      <w:szCs w:val="21"/>
                    </w:rPr>
                  </w:pPr>
                  <w:r>
                    <w:rPr>
                      <w:kern w:val="0"/>
                      <w:sz w:val="21"/>
                      <w:szCs w:val="21"/>
                    </w:rPr>
                    <w:t>SO</w:t>
                  </w:r>
                  <w:r>
                    <w:rPr>
                      <w:kern w:val="0"/>
                      <w:sz w:val="21"/>
                      <w:szCs w:val="21"/>
                      <w:vertAlign w:val="subscript"/>
                    </w:rPr>
                    <w:t>2</w:t>
                  </w:r>
                </w:p>
              </w:tc>
              <w:tc>
                <w:tcPr>
                  <w:tcW w:w="1927" w:type="dxa"/>
                  <w:vAlign w:val="center"/>
                </w:tcPr>
                <w:p>
                  <w:pPr>
                    <w:adjustRightInd w:val="0"/>
                    <w:snapToGrid w:val="0"/>
                    <w:jc w:val="center"/>
                    <w:rPr>
                      <w:kern w:val="0"/>
                      <w:sz w:val="21"/>
                      <w:szCs w:val="21"/>
                    </w:rPr>
                  </w:pPr>
                  <w:r>
                    <w:rPr>
                      <w:kern w:val="0"/>
                      <w:sz w:val="21"/>
                      <w:szCs w:val="21"/>
                    </w:rPr>
                    <w:t>年平均浓度</w:t>
                  </w:r>
                </w:p>
              </w:tc>
              <w:tc>
                <w:tcPr>
                  <w:tcW w:w="1301" w:type="dxa"/>
                  <w:vAlign w:val="center"/>
                </w:tcPr>
                <w:p>
                  <w:pPr>
                    <w:adjustRightInd w:val="0"/>
                    <w:snapToGrid w:val="0"/>
                    <w:jc w:val="center"/>
                    <w:rPr>
                      <w:rFonts w:hint="eastAsia" w:eastAsia="宋体"/>
                      <w:kern w:val="0"/>
                      <w:sz w:val="21"/>
                      <w:szCs w:val="21"/>
                      <w:lang w:val="en-US" w:eastAsia="zh-CN"/>
                    </w:rPr>
                  </w:pPr>
                  <w:r>
                    <w:rPr>
                      <w:rFonts w:hint="eastAsia"/>
                      <w:kern w:val="0"/>
                      <w:sz w:val="21"/>
                      <w:szCs w:val="21"/>
                      <w:lang w:val="en-US" w:eastAsia="zh-CN"/>
                    </w:rPr>
                    <w:t>7</w:t>
                  </w:r>
                </w:p>
              </w:tc>
              <w:tc>
                <w:tcPr>
                  <w:tcW w:w="1323" w:type="dxa"/>
                  <w:vAlign w:val="center"/>
                </w:tcPr>
                <w:p>
                  <w:pPr>
                    <w:adjustRightInd w:val="0"/>
                    <w:snapToGrid w:val="0"/>
                    <w:jc w:val="center"/>
                    <w:rPr>
                      <w:kern w:val="0"/>
                      <w:sz w:val="21"/>
                      <w:szCs w:val="21"/>
                    </w:rPr>
                  </w:pPr>
                  <w:r>
                    <w:rPr>
                      <w:rFonts w:hint="eastAsia"/>
                      <w:kern w:val="0"/>
                      <w:sz w:val="21"/>
                      <w:szCs w:val="21"/>
                    </w:rPr>
                    <w:t>60</w:t>
                  </w:r>
                </w:p>
              </w:tc>
              <w:tc>
                <w:tcPr>
                  <w:tcW w:w="1295" w:type="dxa"/>
                  <w:vAlign w:val="center"/>
                </w:tcPr>
                <w:p>
                  <w:pPr>
                    <w:adjustRightInd w:val="0"/>
                    <w:snapToGrid w:val="0"/>
                    <w:jc w:val="center"/>
                    <w:rPr>
                      <w:kern w:val="0"/>
                      <w:sz w:val="21"/>
                      <w:szCs w:val="21"/>
                    </w:rPr>
                  </w:pPr>
                  <w:r>
                    <w:rPr>
                      <w:rFonts w:hint="eastAsia"/>
                      <w:color w:val="000000"/>
                      <w:kern w:val="0"/>
                      <w:sz w:val="21"/>
                      <w:szCs w:val="21"/>
                    </w:rPr>
                    <w:t>1</w:t>
                  </w:r>
                  <w:r>
                    <w:rPr>
                      <w:rFonts w:hint="eastAsia"/>
                      <w:color w:val="000000"/>
                      <w:kern w:val="0"/>
                      <w:sz w:val="21"/>
                      <w:szCs w:val="21"/>
                      <w:lang w:val="en-US" w:eastAsia="zh-CN"/>
                    </w:rPr>
                    <w:t>1.67</w:t>
                  </w:r>
                  <w:r>
                    <w:rPr>
                      <w:rFonts w:hint="eastAsia"/>
                      <w:color w:val="000000"/>
                      <w:kern w:val="0"/>
                      <w:sz w:val="21"/>
                      <w:szCs w:val="21"/>
                    </w:rPr>
                    <w:t>%</w:t>
                  </w:r>
                </w:p>
              </w:tc>
              <w:tc>
                <w:tcPr>
                  <w:tcW w:w="1386" w:type="dxa"/>
                  <w:vAlign w:val="center"/>
                </w:tcPr>
                <w:p>
                  <w:pPr>
                    <w:adjustRightInd w:val="0"/>
                    <w:snapToGrid w:val="0"/>
                    <w:jc w:val="center"/>
                    <w:rPr>
                      <w:kern w:val="0"/>
                      <w:sz w:val="21"/>
                      <w:szCs w:val="21"/>
                    </w:rPr>
                  </w:pPr>
                  <w:r>
                    <w:rPr>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1" w:type="dxa"/>
                  <w:vAlign w:val="center"/>
                </w:tcPr>
                <w:p>
                  <w:pPr>
                    <w:adjustRightInd w:val="0"/>
                    <w:snapToGrid w:val="0"/>
                    <w:jc w:val="center"/>
                    <w:rPr>
                      <w:kern w:val="0"/>
                      <w:sz w:val="21"/>
                      <w:szCs w:val="21"/>
                    </w:rPr>
                  </w:pPr>
                  <w:r>
                    <w:rPr>
                      <w:kern w:val="0"/>
                      <w:sz w:val="21"/>
                      <w:szCs w:val="21"/>
                    </w:rPr>
                    <w:t>NO</w:t>
                  </w:r>
                  <w:r>
                    <w:rPr>
                      <w:kern w:val="0"/>
                      <w:sz w:val="21"/>
                      <w:szCs w:val="21"/>
                      <w:vertAlign w:val="subscript"/>
                    </w:rPr>
                    <w:t>2</w:t>
                  </w:r>
                </w:p>
              </w:tc>
              <w:tc>
                <w:tcPr>
                  <w:tcW w:w="1927" w:type="dxa"/>
                  <w:vAlign w:val="center"/>
                </w:tcPr>
                <w:p>
                  <w:pPr>
                    <w:adjustRightInd w:val="0"/>
                    <w:snapToGrid w:val="0"/>
                    <w:jc w:val="center"/>
                    <w:rPr>
                      <w:kern w:val="0"/>
                      <w:sz w:val="21"/>
                      <w:szCs w:val="21"/>
                    </w:rPr>
                  </w:pPr>
                  <w:r>
                    <w:rPr>
                      <w:kern w:val="0"/>
                      <w:sz w:val="21"/>
                      <w:szCs w:val="21"/>
                    </w:rPr>
                    <w:t>年平均浓度</w:t>
                  </w:r>
                </w:p>
              </w:tc>
              <w:tc>
                <w:tcPr>
                  <w:tcW w:w="1301" w:type="dxa"/>
                  <w:vAlign w:val="center"/>
                </w:tcPr>
                <w:p>
                  <w:pPr>
                    <w:adjustRightInd w:val="0"/>
                    <w:snapToGrid w:val="0"/>
                    <w:jc w:val="center"/>
                    <w:rPr>
                      <w:rFonts w:hint="default" w:eastAsia="宋体"/>
                      <w:kern w:val="0"/>
                      <w:sz w:val="21"/>
                      <w:szCs w:val="21"/>
                      <w:lang w:val="en-US" w:eastAsia="zh-CN"/>
                    </w:rPr>
                  </w:pPr>
                  <w:r>
                    <w:rPr>
                      <w:rFonts w:hint="eastAsia"/>
                      <w:kern w:val="0"/>
                      <w:sz w:val="21"/>
                      <w:szCs w:val="21"/>
                      <w:lang w:val="en-US" w:eastAsia="zh-CN"/>
                    </w:rPr>
                    <w:t>27</w:t>
                  </w:r>
                </w:p>
              </w:tc>
              <w:tc>
                <w:tcPr>
                  <w:tcW w:w="1323" w:type="dxa"/>
                  <w:vAlign w:val="center"/>
                </w:tcPr>
                <w:p>
                  <w:pPr>
                    <w:adjustRightInd w:val="0"/>
                    <w:snapToGrid w:val="0"/>
                    <w:jc w:val="center"/>
                    <w:rPr>
                      <w:kern w:val="0"/>
                      <w:sz w:val="21"/>
                      <w:szCs w:val="21"/>
                    </w:rPr>
                  </w:pPr>
                  <w:r>
                    <w:rPr>
                      <w:rFonts w:hint="eastAsia"/>
                      <w:kern w:val="0"/>
                      <w:sz w:val="21"/>
                      <w:szCs w:val="21"/>
                    </w:rPr>
                    <w:t>40</w:t>
                  </w:r>
                </w:p>
              </w:tc>
              <w:tc>
                <w:tcPr>
                  <w:tcW w:w="1295" w:type="dxa"/>
                  <w:vAlign w:val="center"/>
                </w:tcPr>
                <w:p>
                  <w:pPr>
                    <w:adjustRightInd w:val="0"/>
                    <w:snapToGrid w:val="0"/>
                    <w:jc w:val="center"/>
                    <w:rPr>
                      <w:kern w:val="0"/>
                      <w:sz w:val="21"/>
                      <w:szCs w:val="21"/>
                    </w:rPr>
                  </w:pPr>
                  <w:r>
                    <w:rPr>
                      <w:rFonts w:hint="eastAsia"/>
                      <w:color w:val="000000"/>
                      <w:kern w:val="0"/>
                      <w:sz w:val="21"/>
                      <w:szCs w:val="21"/>
                      <w:lang w:val="en-US" w:eastAsia="zh-CN"/>
                    </w:rPr>
                    <w:t>67</w:t>
                  </w:r>
                  <w:r>
                    <w:rPr>
                      <w:rFonts w:hint="eastAsia"/>
                      <w:color w:val="000000"/>
                      <w:kern w:val="0"/>
                      <w:sz w:val="21"/>
                      <w:szCs w:val="21"/>
                    </w:rPr>
                    <w:t>.5%</w:t>
                  </w:r>
                </w:p>
              </w:tc>
              <w:tc>
                <w:tcPr>
                  <w:tcW w:w="1386" w:type="dxa"/>
                  <w:vAlign w:val="center"/>
                </w:tcPr>
                <w:p>
                  <w:pPr>
                    <w:adjustRightInd w:val="0"/>
                    <w:snapToGrid w:val="0"/>
                    <w:jc w:val="center"/>
                    <w:rPr>
                      <w:kern w:val="0"/>
                      <w:sz w:val="21"/>
                      <w:szCs w:val="21"/>
                    </w:rPr>
                  </w:pPr>
                  <w:r>
                    <w:rPr>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1" w:type="dxa"/>
                  <w:vAlign w:val="center"/>
                </w:tcPr>
                <w:p>
                  <w:pPr>
                    <w:adjustRightInd w:val="0"/>
                    <w:snapToGrid w:val="0"/>
                    <w:jc w:val="center"/>
                    <w:rPr>
                      <w:kern w:val="0"/>
                      <w:sz w:val="21"/>
                      <w:szCs w:val="21"/>
                    </w:rPr>
                  </w:pPr>
                  <w:r>
                    <w:rPr>
                      <w:kern w:val="0"/>
                      <w:sz w:val="21"/>
                      <w:szCs w:val="21"/>
                    </w:rPr>
                    <w:t>CO</w:t>
                  </w:r>
                </w:p>
              </w:tc>
              <w:tc>
                <w:tcPr>
                  <w:tcW w:w="1927" w:type="dxa"/>
                  <w:vAlign w:val="center"/>
                </w:tcPr>
                <w:p>
                  <w:pPr>
                    <w:adjustRightInd w:val="0"/>
                    <w:snapToGrid w:val="0"/>
                    <w:jc w:val="center"/>
                    <w:rPr>
                      <w:kern w:val="0"/>
                      <w:sz w:val="21"/>
                      <w:szCs w:val="21"/>
                    </w:rPr>
                  </w:pPr>
                  <w:r>
                    <w:rPr>
                      <w:kern w:val="0"/>
                      <w:sz w:val="21"/>
                      <w:szCs w:val="21"/>
                    </w:rPr>
                    <w:t>日平均第95百分位质量浓度</w:t>
                  </w:r>
                </w:p>
              </w:tc>
              <w:tc>
                <w:tcPr>
                  <w:tcW w:w="1301" w:type="dxa"/>
                  <w:vAlign w:val="center"/>
                </w:tcPr>
                <w:p>
                  <w:pPr>
                    <w:adjustRightInd w:val="0"/>
                    <w:snapToGrid w:val="0"/>
                    <w:jc w:val="center"/>
                    <w:rPr>
                      <w:kern w:val="0"/>
                      <w:sz w:val="21"/>
                      <w:szCs w:val="21"/>
                    </w:rPr>
                  </w:pPr>
                  <w:r>
                    <w:rPr>
                      <w:rFonts w:hint="eastAsia"/>
                      <w:kern w:val="0"/>
                      <w:sz w:val="21"/>
                      <w:szCs w:val="21"/>
                    </w:rPr>
                    <w:t>1.</w:t>
                  </w:r>
                  <w:r>
                    <w:rPr>
                      <w:rFonts w:hint="eastAsia"/>
                      <w:kern w:val="0"/>
                      <w:sz w:val="21"/>
                      <w:szCs w:val="21"/>
                      <w:lang w:val="en-US" w:eastAsia="zh-CN"/>
                    </w:rPr>
                    <w:t>1</w:t>
                  </w:r>
                  <w:r>
                    <w:rPr>
                      <w:kern w:val="0"/>
                      <w:sz w:val="21"/>
                      <w:szCs w:val="21"/>
                    </w:rPr>
                    <w:t>mg/m</w:t>
                  </w:r>
                  <w:r>
                    <w:rPr>
                      <w:kern w:val="0"/>
                      <w:sz w:val="21"/>
                      <w:szCs w:val="21"/>
                      <w:vertAlign w:val="superscript"/>
                    </w:rPr>
                    <w:t>3</w:t>
                  </w:r>
                </w:p>
              </w:tc>
              <w:tc>
                <w:tcPr>
                  <w:tcW w:w="1323" w:type="dxa"/>
                  <w:vAlign w:val="center"/>
                </w:tcPr>
                <w:p>
                  <w:pPr>
                    <w:adjustRightInd w:val="0"/>
                    <w:snapToGrid w:val="0"/>
                    <w:jc w:val="center"/>
                    <w:rPr>
                      <w:kern w:val="0"/>
                      <w:sz w:val="21"/>
                      <w:szCs w:val="21"/>
                    </w:rPr>
                  </w:pPr>
                  <w:r>
                    <w:rPr>
                      <w:rFonts w:hint="eastAsia"/>
                      <w:kern w:val="0"/>
                      <w:sz w:val="21"/>
                      <w:szCs w:val="21"/>
                    </w:rPr>
                    <w:t>4</w:t>
                  </w:r>
                  <w:r>
                    <w:rPr>
                      <w:kern w:val="0"/>
                      <w:sz w:val="21"/>
                      <w:szCs w:val="21"/>
                    </w:rPr>
                    <w:t>mg/m</w:t>
                  </w:r>
                  <w:r>
                    <w:rPr>
                      <w:kern w:val="0"/>
                      <w:sz w:val="21"/>
                      <w:szCs w:val="21"/>
                      <w:vertAlign w:val="superscript"/>
                    </w:rPr>
                    <w:t>3</w:t>
                  </w:r>
                </w:p>
              </w:tc>
              <w:tc>
                <w:tcPr>
                  <w:tcW w:w="1295" w:type="dxa"/>
                  <w:vAlign w:val="center"/>
                </w:tcPr>
                <w:p>
                  <w:pPr>
                    <w:adjustRightInd w:val="0"/>
                    <w:snapToGrid w:val="0"/>
                    <w:jc w:val="center"/>
                    <w:rPr>
                      <w:kern w:val="0"/>
                      <w:sz w:val="21"/>
                      <w:szCs w:val="21"/>
                    </w:rPr>
                  </w:pPr>
                  <w:r>
                    <w:rPr>
                      <w:rFonts w:hint="eastAsia"/>
                      <w:color w:val="000000"/>
                      <w:kern w:val="0"/>
                      <w:sz w:val="21"/>
                      <w:szCs w:val="21"/>
                    </w:rPr>
                    <w:t>2</w:t>
                  </w:r>
                  <w:r>
                    <w:rPr>
                      <w:rFonts w:hint="eastAsia"/>
                      <w:color w:val="000000"/>
                      <w:kern w:val="0"/>
                      <w:sz w:val="21"/>
                      <w:szCs w:val="21"/>
                      <w:lang w:val="en-US" w:eastAsia="zh-CN"/>
                    </w:rPr>
                    <w:t>7</w:t>
                  </w:r>
                  <w:r>
                    <w:rPr>
                      <w:rFonts w:hint="eastAsia"/>
                      <w:color w:val="000000"/>
                      <w:kern w:val="0"/>
                      <w:sz w:val="21"/>
                      <w:szCs w:val="21"/>
                    </w:rPr>
                    <w:t>.5%</w:t>
                  </w:r>
                </w:p>
              </w:tc>
              <w:tc>
                <w:tcPr>
                  <w:tcW w:w="1386" w:type="dxa"/>
                  <w:vAlign w:val="center"/>
                </w:tcPr>
                <w:p>
                  <w:pPr>
                    <w:adjustRightInd w:val="0"/>
                    <w:snapToGrid w:val="0"/>
                    <w:jc w:val="center"/>
                    <w:rPr>
                      <w:kern w:val="0"/>
                      <w:sz w:val="21"/>
                      <w:szCs w:val="21"/>
                    </w:rPr>
                  </w:pPr>
                  <w:r>
                    <w:rPr>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1" w:type="dxa"/>
                  <w:vAlign w:val="center"/>
                </w:tcPr>
                <w:p>
                  <w:pPr>
                    <w:adjustRightInd w:val="0"/>
                    <w:snapToGrid w:val="0"/>
                    <w:jc w:val="center"/>
                    <w:rPr>
                      <w:kern w:val="0"/>
                      <w:sz w:val="21"/>
                      <w:szCs w:val="21"/>
                    </w:rPr>
                  </w:pPr>
                  <w:r>
                    <w:rPr>
                      <w:kern w:val="0"/>
                      <w:sz w:val="21"/>
                      <w:szCs w:val="21"/>
                    </w:rPr>
                    <w:t>O</w:t>
                  </w:r>
                  <w:r>
                    <w:rPr>
                      <w:kern w:val="0"/>
                      <w:sz w:val="21"/>
                      <w:szCs w:val="21"/>
                      <w:vertAlign w:val="subscript"/>
                    </w:rPr>
                    <w:t>3</w:t>
                  </w:r>
                </w:p>
              </w:tc>
              <w:tc>
                <w:tcPr>
                  <w:tcW w:w="1927" w:type="dxa"/>
                  <w:vAlign w:val="center"/>
                </w:tcPr>
                <w:p>
                  <w:pPr>
                    <w:adjustRightInd w:val="0"/>
                    <w:snapToGrid w:val="0"/>
                    <w:jc w:val="center"/>
                    <w:rPr>
                      <w:kern w:val="0"/>
                      <w:sz w:val="21"/>
                      <w:szCs w:val="21"/>
                    </w:rPr>
                  </w:pPr>
                  <w:r>
                    <w:rPr>
                      <w:kern w:val="0"/>
                      <w:sz w:val="21"/>
                      <w:szCs w:val="21"/>
                    </w:rPr>
                    <w:t>日最大8小时平均第90百分位质量浓度</w:t>
                  </w:r>
                </w:p>
              </w:tc>
              <w:tc>
                <w:tcPr>
                  <w:tcW w:w="1301" w:type="dxa"/>
                  <w:vAlign w:val="center"/>
                </w:tcPr>
                <w:p>
                  <w:pPr>
                    <w:adjustRightInd w:val="0"/>
                    <w:snapToGrid w:val="0"/>
                    <w:jc w:val="center"/>
                    <w:rPr>
                      <w:rFonts w:hint="default" w:eastAsia="宋体"/>
                      <w:kern w:val="0"/>
                      <w:sz w:val="21"/>
                      <w:szCs w:val="21"/>
                      <w:lang w:val="en-US" w:eastAsia="zh-CN"/>
                    </w:rPr>
                  </w:pPr>
                  <w:r>
                    <w:rPr>
                      <w:rFonts w:hint="eastAsia"/>
                      <w:kern w:val="0"/>
                      <w:sz w:val="21"/>
                      <w:szCs w:val="21"/>
                    </w:rPr>
                    <w:t>1</w:t>
                  </w:r>
                  <w:r>
                    <w:rPr>
                      <w:rFonts w:hint="eastAsia"/>
                      <w:kern w:val="0"/>
                      <w:sz w:val="21"/>
                      <w:szCs w:val="21"/>
                      <w:lang w:val="en-US" w:eastAsia="zh-CN"/>
                    </w:rPr>
                    <w:t>62</w:t>
                  </w:r>
                </w:p>
              </w:tc>
              <w:tc>
                <w:tcPr>
                  <w:tcW w:w="1323" w:type="dxa"/>
                  <w:vAlign w:val="center"/>
                </w:tcPr>
                <w:p>
                  <w:pPr>
                    <w:adjustRightInd w:val="0"/>
                    <w:snapToGrid w:val="0"/>
                    <w:jc w:val="center"/>
                    <w:rPr>
                      <w:kern w:val="0"/>
                      <w:sz w:val="21"/>
                      <w:szCs w:val="21"/>
                    </w:rPr>
                  </w:pPr>
                  <w:r>
                    <w:rPr>
                      <w:rFonts w:hint="eastAsia"/>
                      <w:kern w:val="0"/>
                      <w:sz w:val="21"/>
                      <w:szCs w:val="21"/>
                    </w:rPr>
                    <w:t>160</w:t>
                  </w:r>
                </w:p>
              </w:tc>
              <w:tc>
                <w:tcPr>
                  <w:tcW w:w="1295" w:type="dxa"/>
                  <w:vAlign w:val="center"/>
                </w:tcPr>
                <w:p>
                  <w:pPr>
                    <w:adjustRightInd w:val="0"/>
                    <w:snapToGrid w:val="0"/>
                    <w:jc w:val="center"/>
                    <w:rPr>
                      <w:kern w:val="0"/>
                      <w:sz w:val="21"/>
                      <w:szCs w:val="21"/>
                    </w:rPr>
                  </w:pPr>
                  <w:r>
                    <w:rPr>
                      <w:rFonts w:hint="eastAsia"/>
                      <w:color w:val="000000"/>
                      <w:kern w:val="0"/>
                      <w:sz w:val="21"/>
                      <w:szCs w:val="21"/>
                      <w:lang w:val="en-US" w:eastAsia="zh-CN"/>
                    </w:rPr>
                    <w:t>101.25</w:t>
                  </w:r>
                  <w:r>
                    <w:rPr>
                      <w:rFonts w:hint="eastAsia"/>
                      <w:color w:val="000000"/>
                      <w:kern w:val="0"/>
                      <w:sz w:val="21"/>
                      <w:szCs w:val="21"/>
                    </w:rPr>
                    <w:t>%</w:t>
                  </w:r>
                </w:p>
              </w:tc>
              <w:tc>
                <w:tcPr>
                  <w:tcW w:w="1386" w:type="dxa"/>
                  <w:vAlign w:val="center"/>
                </w:tcPr>
                <w:p>
                  <w:pPr>
                    <w:adjustRightInd w:val="0"/>
                    <w:snapToGrid w:val="0"/>
                    <w:jc w:val="center"/>
                    <w:rPr>
                      <w:kern w:val="0"/>
                      <w:sz w:val="21"/>
                      <w:szCs w:val="21"/>
                    </w:rPr>
                  </w:pPr>
                  <w:r>
                    <w:rPr>
                      <w:rFonts w:hint="eastAsia"/>
                      <w:kern w:val="0"/>
                      <w:sz w:val="21"/>
                      <w:szCs w:val="21"/>
                      <w:lang w:val="en-US" w:eastAsia="zh-CN"/>
                    </w:rPr>
                    <w:t>不</w:t>
                  </w:r>
                  <w:r>
                    <w:rPr>
                      <w:kern w:val="0"/>
                      <w:sz w:val="21"/>
                      <w:szCs w:val="21"/>
                    </w:rPr>
                    <w:t>达标</w:t>
                  </w:r>
                </w:p>
              </w:tc>
            </w:tr>
          </w:tbl>
          <w:p>
            <w:pPr>
              <w:adjustRightInd w:val="0"/>
              <w:snapToGrid w:val="0"/>
              <w:spacing w:before="120" w:beforeLines="50" w:line="360" w:lineRule="auto"/>
              <w:ind w:firstLine="480" w:firstLineChars="200"/>
              <w:jc w:val="left"/>
              <w:rPr>
                <w:kern w:val="0"/>
              </w:rPr>
            </w:pPr>
            <w:r>
              <w:rPr>
                <w:kern w:val="0"/>
              </w:rPr>
              <w:t>宿州市20</w:t>
            </w:r>
            <w:r>
              <w:rPr>
                <w:rFonts w:hint="eastAsia"/>
                <w:kern w:val="0"/>
              </w:rPr>
              <w:t>20</w:t>
            </w:r>
            <w:r>
              <w:rPr>
                <w:kern w:val="0"/>
              </w:rPr>
              <w:t>年PM</w:t>
            </w:r>
            <w:r>
              <w:rPr>
                <w:kern w:val="0"/>
                <w:vertAlign w:val="subscript"/>
              </w:rPr>
              <w:t>10</w:t>
            </w:r>
            <w:r>
              <w:rPr>
                <w:kern w:val="0"/>
              </w:rPr>
              <w:t>、PM</w:t>
            </w:r>
            <w:r>
              <w:rPr>
                <w:kern w:val="0"/>
                <w:vertAlign w:val="subscript"/>
              </w:rPr>
              <w:t>2.5</w:t>
            </w:r>
            <w:r>
              <w:rPr>
                <w:rFonts w:hint="eastAsia"/>
                <w:kern w:val="0"/>
              </w:rPr>
              <w:t>、</w:t>
            </w:r>
            <w:r>
              <w:rPr>
                <w:kern w:val="0"/>
              </w:rPr>
              <w:t>SO</w:t>
            </w:r>
            <w:r>
              <w:rPr>
                <w:kern w:val="0"/>
                <w:vertAlign w:val="subscript"/>
              </w:rPr>
              <w:t>2</w:t>
            </w:r>
            <w:r>
              <w:rPr>
                <w:kern w:val="0"/>
              </w:rPr>
              <w:t>、NO</w:t>
            </w:r>
            <w:r>
              <w:rPr>
                <w:kern w:val="0"/>
                <w:vertAlign w:val="subscript"/>
              </w:rPr>
              <w:t>2</w:t>
            </w:r>
            <w:r>
              <w:rPr>
                <w:kern w:val="0"/>
              </w:rPr>
              <w:t>、年均浓度分别为</w:t>
            </w:r>
            <w:r>
              <w:rPr>
                <w:rFonts w:hint="eastAsia"/>
                <w:kern w:val="0"/>
                <w:lang w:val="en-US" w:eastAsia="zh-CN"/>
              </w:rPr>
              <w:t>74</w:t>
            </w:r>
            <w:r>
              <w:rPr>
                <w:kern w:val="0"/>
              </w:rPr>
              <w:t>μg/m</w:t>
            </w:r>
            <w:r>
              <w:rPr>
                <w:kern w:val="0"/>
                <w:vertAlign w:val="superscript"/>
              </w:rPr>
              <w:t>3</w:t>
            </w:r>
            <w:r>
              <w:rPr>
                <w:kern w:val="0"/>
              </w:rPr>
              <w:t>、</w:t>
            </w:r>
            <w:r>
              <w:rPr>
                <w:rFonts w:hint="eastAsia"/>
                <w:kern w:val="0"/>
              </w:rPr>
              <w:t>46</w:t>
            </w:r>
            <w:r>
              <w:rPr>
                <w:kern w:val="0"/>
              </w:rPr>
              <w:t>μg/m</w:t>
            </w:r>
            <w:r>
              <w:rPr>
                <w:kern w:val="0"/>
                <w:vertAlign w:val="superscript"/>
              </w:rPr>
              <w:t>3</w:t>
            </w:r>
            <w:r>
              <w:rPr>
                <w:kern w:val="0"/>
              </w:rPr>
              <w:t>、</w:t>
            </w:r>
            <w:r>
              <w:rPr>
                <w:rFonts w:hint="eastAsia"/>
                <w:kern w:val="0"/>
                <w:lang w:val="en-US" w:eastAsia="zh-CN"/>
              </w:rPr>
              <w:t>7</w:t>
            </w:r>
            <w:r>
              <w:rPr>
                <w:kern w:val="0"/>
              </w:rPr>
              <w:t>μg/m</w:t>
            </w:r>
            <w:r>
              <w:rPr>
                <w:kern w:val="0"/>
                <w:vertAlign w:val="superscript"/>
              </w:rPr>
              <w:t>3</w:t>
            </w:r>
            <w:r>
              <w:rPr>
                <w:kern w:val="0"/>
              </w:rPr>
              <w:t>、</w:t>
            </w:r>
            <w:r>
              <w:rPr>
                <w:rFonts w:hint="eastAsia"/>
                <w:kern w:val="0"/>
                <w:lang w:val="en-US" w:eastAsia="zh-CN"/>
              </w:rPr>
              <w:t>27</w:t>
            </w:r>
            <w:r>
              <w:rPr>
                <w:kern w:val="0"/>
              </w:rPr>
              <w:t>μg/m</w:t>
            </w:r>
            <w:r>
              <w:rPr>
                <w:kern w:val="0"/>
                <w:vertAlign w:val="superscript"/>
              </w:rPr>
              <w:t>3</w:t>
            </w:r>
            <w:r>
              <w:rPr>
                <w:kern w:val="0"/>
              </w:rPr>
              <w:t>；CO24小时平均第95百分位数为1.</w:t>
            </w:r>
            <w:r>
              <w:rPr>
                <w:rFonts w:hint="eastAsia"/>
                <w:kern w:val="0"/>
                <w:lang w:val="en-US" w:eastAsia="zh-CN"/>
              </w:rPr>
              <w:t>1</w:t>
            </w:r>
            <w:r>
              <w:rPr>
                <w:kern w:val="0"/>
              </w:rPr>
              <w:t>mg/m</w:t>
            </w:r>
            <w:r>
              <w:rPr>
                <w:kern w:val="0"/>
                <w:vertAlign w:val="superscript"/>
              </w:rPr>
              <w:t>3</w:t>
            </w:r>
            <w:r>
              <w:rPr>
                <w:kern w:val="0"/>
              </w:rPr>
              <w:t>，O</w:t>
            </w:r>
            <w:r>
              <w:rPr>
                <w:kern w:val="0"/>
                <w:vertAlign w:val="subscript"/>
              </w:rPr>
              <w:t>3</w:t>
            </w:r>
            <w:r>
              <w:rPr>
                <w:kern w:val="0"/>
              </w:rPr>
              <w:t>最大8小时平均第90百分位数为1</w:t>
            </w:r>
            <w:r>
              <w:rPr>
                <w:rFonts w:hint="eastAsia"/>
                <w:kern w:val="0"/>
                <w:lang w:val="en-US" w:eastAsia="zh-CN"/>
              </w:rPr>
              <w:t>62</w:t>
            </w:r>
            <w:r>
              <w:rPr>
                <w:kern w:val="0"/>
              </w:rPr>
              <w:t>μg/m</w:t>
            </w:r>
            <w:r>
              <w:rPr>
                <w:kern w:val="0"/>
                <w:vertAlign w:val="superscript"/>
              </w:rPr>
              <w:t>3</w:t>
            </w:r>
            <w:r>
              <w:rPr>
                <w:kern w:val="0"/>
              </w:rPr>
              <w:t>；超过</w:t>
            </w:r>
            <w:r>
              <w:rPr>
                <w:rFonts w:hint="eastAsia"/>
                <w:kern w:val="0"/>
              </w:rPr>
              <w:t xml:space="preserve"> </w:t>
            </w:r>
            <w:r>
              <w:rPr>
                <w:kern w:val="0"/>
              </w:rPr>
              <w:t>《环境空气质量标准》（GB3095-2012）中二级标准限值的污染物为PM</w:t>
            </w:r>
            <w:r>
              <w:rPr>
                <w:kern w:val="0"/>
                <w:vertAlign w:val="subscript"/>
              </w:rPr>
              <w:t>10</w:t>
            </w:r>
            <w:r>
              <w:rPr>
                <w:kern w:val="0"/>
              </w:rPr>
              <w:t>、PM</w:t>
            </w:r>
            <w:r>
              <w:rPr>
                <w:kern w:val="0"/>
                <w:vertAlign w:val="subscript"/>
              </w:rPr>
              <w:t>2.5</w:t>
            </w:r>
            <w:r>
              <w:rPr>
                <w:rFonts w:hint="eastAsia"/>
                <w:kern w:val="0"/>
                <w:vertAlign w:val="baseline"/>
                <w:lang w:eastAsia="zh-CN"/>
              </w:rPr>
              <w:t>、</w:t>
            </w:r>
            <w:r>
              <w:rPr>
                <w:kern w:val="0"/>
                <w:sz w:val="24"/>
                <w:szCs w:val="24"/>
              </w:rPr>
              <w:t>O</w:t>
            </w:r>
            <w:r>
              <w:rPr>
                <w:kern w:val="0"/>
                <w:sz w:val="24"/>
                <w:szCs w:val="24"/>
                <w:vertAlign w:val="subscript"/>
              </w:rPr>
              <w:t>3</w:t>
            </w:r>
            <w:r>
              <w:rPr>
                <w:kern w:val="0"/>
              </w:rPr>
              <w:t>。所以项目所在地为大气环境空气质量不达标区。</w:t>
            </w:r>
          </w:p>
          <w:p>
            <w:pPr>
              <w:widowControl/>
              <w:spacing w:line="360" w:lineRule="auto"/>
              <w:ind w:firstLine="480" w:firstLineChars="200"/>
              <w:jc w:val="left"/>
            </w:pPr>
            <w:r>
              <w:t>针对基本污染物不达标问题，宿州市人民政府决定采取措施进行区域整改，具体整改措施如下：在加大调整产业结构、强化环境监督、综合整治面源污染的同时，进一步完善工业污染源治理，取缔分散居民燃煤锅炉的使用，加强施工临时堆土管理及车辆运输管理，该措施能够使得大气环境质量得到有效改善。</w:t>
            </w:r>
          </w:p>
          <w:p>
            <w:pPr>
              <w:adjustRightInd w:val="0"/>
              <w:snapToGrid w:val="0"/>
              <w:spacing w:line="360" w:lineRule="auto"/>
              <w:jc w:val="left"/>
              <w:rPr>
                <w:b/>
                <w:bCs/>
                <w:color w:val="000000"/>
                <w:kern w:val="0"/>
              </w:rPr>
            </w:pPr>
            <w:r>
              <w:rPr>
                <w:b/>
                <w:bCs/>
                <w:color w:val="000000"/>
                <w:kern w:val="0"/>
              </w:rPr>
              <w:t>2、</w:t>
            </w:r>
            <w:r>
              <w:rPr>
                <w:rFonts w:hint="eastAsia"/>
                <w:b/>
                <w:bCs/>
                <w:color w:val="000000"/>
                <w:kern w:val="0"/>
              </w:rPr>
              <w:t>地表</w:t>
            </w:r>
            <w:r>
              <w:rPr>
                <w:b/>
                <w:bCs/>
                <w:color w:val="000000"/>
                <w:kern w:val="0"/>
              </w:rPr>
              <w:t>水环境</w:t>
            </w:r>
          </w:p>
          <w:p>
            <w:pPr>
              <w:spacing w:line="240" w:lineRule="auto"/>
              <w:ind w:firstLine="422"/>
              <w:jc w:val="center"/>
              <w:rPr>
                <w:b/>
                <w:color w:val="auto"/>
                <w:sz w:val="24"/>
              </w:rPr>
            </w:pPr>
            <w:r>
              <w:rPr>
                <w:rFonts w:hint="eastAsia"/>
                <w:b/>
                <w:color w:val="auto"/>
                <w:sz w:val="24"/>
              </w:rPr>
              <w:t>表3</w:t>
            </w:r>
            <w:r>
              <w:rPr>
                <w:rFonts w:hint="eastAsia"/>
                <w:b/>
                <w:color w:val="auto"/>
                <w:sz w:val="24"/>
                <w:lang w:val="en-US" w:eastAsia="zh-CN"/>
              </w:rPr>
              <w:t>.</w:t>
            </w:r>
            <w:r>
              <w:rPr>
                <w:rFonts w:hint="eastAsia"/>
                <w:b/>
                <w:color w:val="auto"/>
                <w:sz w:val="24"/>
              </w:rPr>
              <w:t>2 地表水环境质量标准</w:t>
            </w:r>
            <w:r>
              <w:rPr>
                <w:b/>
                <w:color w:val="auto"/>
                <w:sz w:val="24"/>
              </w:rPr>
              <w:t xml:space="preserve">  </w:t>
            </w:r>
            <w:r>
              <w:rPr>
                <w:rFonts w:hint="eastAsia"/>
                <w:b/>
                <w:color w:val="auto"/>
                <w:sz w:val="24"/>
              </w:rPr>
              <w:t>单位：</w:t>
            </w:r>
            <w:r>
              <w:rPr>
                <w:b/>
                <w:color w:val="auto"/>
                <w:sz w:val="24"/>
              </w:rPr>
              <w:t xml:space="preserve">mg/L </w:t>
            </w:r>
            <w:r>
              <w:rPr>
                <w:rFonts w:hint="eastAsia"/>
                <w:b/>
                <w:color w:val="auto"/>
                <w:sz w:val="24"/>
              </w:rPr>
              <w:t>（</w:t>
            </w:r>
            <w:r>
              <w:rPr>
                <w:b/>
                <w:color w:val="auto"/>
                <w:sz w:val="24"/>
              </w:rPr>
              <w:t>pH</w:t>
            </w:r>
            <w:r>
              <w:rPr>
                <w:rFonts w:hint="eastAsia"/>
                <w:b/>
                <w:color w:val="auto"/>
                <w:sz w:val="24"/>
              </w:rPr>
              <w:t>为无量纲）</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653"/>
              <w:gridCol w:w="1231"/>
              <w:gridCol w:w="1232"/>
              <w:gridCol w:w="1232"/>
              <w:gridCol w:w="1232"/>
              <w:gridCol w:w="1384"/>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38" w:type="pct"/>
                  <w:tcBorders>
                    <w:top w:val="single" w:color="auto" w:sz="4" w:space="0"/>
                  </w:tcBorders>
                  <w:noWrap w:val="0"/>
                  <w:vAlign w:val="center"/>
                </w:tcPr>
                <w:p>
                  <w:pPr>
                    <w:snapToGrid w:val="0"/>
                    <w:spacing w:line="276" w:lineRule="auto"/>
                    <w:jc w:val="center"/>
                    <w:rPr>
                      <w:b/>
                      <w:bCs/>
                      <w:color w:val="auto"/>
                      <w:sz w:val="21"/>
                      <w:szCs w:val="21"/>
                    </w:rPr>
                  </w:pPr>
                  <w:r>
                    <w:rPr>
                      <w:rFonts w:hint="eastAsia"/>
                      <w:b/>
                      <w:bCs/>
                      <w:color w:val="auto"/>
                      <w:sz w:val="21"/>
                      <w:szCs w:val="21"/>
                    </w:rPr>
                    <w:t>项目</w:t>
                  </w:r>
                </w:p>
              </w:tc>
              <w:tc>
                <w:tcPr>
                  <w:tcW w:w="773" w:type="pct"/>
                  <w:tcBorders>
                    <w:top w:val="single" w:color="auto" w:sz="4" w:space="0"/>
                  </w:tcBorders>
                  <w:noWrap w:val="0"/>
                  <w:vAlign w:val="center"/>
                </w:tcPr>
                <w:p>
                  <w:pPr>
                    <w:snapToGrid w:val="0"/>
                    <w:spacing w:line="276" w:lineRule="auto"/>
                    <w:jc w:val="center"/>
                    <w:rPr>
                      <w:b/>
                      <w:bCs/>
                      <w:color w:val="auto"/>
                      <w:sz w:val="21"/>
                      <w:szCs w:val="21"/>
                    </w:rPr>
                  </w:pPr>
                  <w:r>
                    <w:rPr>
                      <w:b/>
                      <w:bCs/>
                      <w:color w:val="auto"/>
                      <w:sz w:val="21"/>
                      <w:szCs w:val="21"/>
                    </w:rPr>
                    <w:t>pH</w:t>
                  </w:r>
                </w:p>
              </w:tc>
              <w:tc>
                <w:tcPr>
                  <w:tcW w:w="773" w:type="pct"/>
                  <w:tcBorders>
                    <w:top w:val="single" w:color="auto" w:sz="4" w:space="0"/>
                  </w:tcBorders>
                  <w:noWrap w:val="0"/>
                  <w:vAlign w:val="center"/>
                </w:tcPr>
                <w:p>
                  <w:pPr>
                    <w:snapToGrid w:val="0"/>
                    <w:spacing w:line="276" w:lineRule="auto"/>
                    <w:jc w:val="center"/>
                    <w:rPr>
                      <w:b/>
                      <w:bCs/>
                      <w:color w:val="auto"/>
                      <w:sz w:val="21"/>
                      <w:szCs w:val="21"/>
                    </w:rPr>
                  </w:pPr>
                  <w:r>
                    <w:rPr>
                      <w:b/>
                      <w:bCs/>
                      <w:color w:val="auto"/>
                      <w:sz w:val="21"/>
                      <w:szCs w:val="21"/>
                    </w:rPr>
                    <w:t>COD</w:t>
                  </w:r>
                </w:p>
              </w:tc>
              <w:tc>
                <w:tcPr>
                  <w:tcW w:w="773" w:type="pct"/>
                  <w:tcBorders>
                    <w:top w:val="single" w:color="auto" w:sz="4" w:space="0"/>
                  </w:tcBorders>
                  <w:noWrap w:val="0"/>
                  <w:vAlign w:val="center"/>
                </w:tcPr>
                <w:p>
                  <w:pPr>
                    <w:snapToGrid w:val="0"/>
                    <w:spacing w:line="276" w:lineRule="auto"/>
                    <w:jc w:val="center"/>
                    <w:rPr>
                      <w:b/>
                      <w:bCs/>
                      <w:color w:val="auto"/>
                      <w:sz w:val="21"/>
                      <w:szCs w:val="21"/>
                    </w:rPr>
                  </w:pPr>
                  <w:r>
                    <w:rPr>
                      <w:b/>
                      <w:bCs/>
                      <w:color w:val="auto"/>
                      <w:sz w:val="21"/>
                      <w:szCs w:val="21"/>
                    </w:rPr>
                    <w:t>BOD</w:t>
                  </w:r>
                  <w:r>
                    <w:rPr>
                      <w:b/>
                      <w:bCs/>
                      <w:color w:val="auto"/>
                      <w:sz w:val="21"/>
                      <w:szCs w:val="21"/>
                      <w:vertAlign w:val="subscript"/>
                    </w:rPr>
                    <w:t>5</w:t>
                  </w:r>
                </w:p>
              </w:tc>
              <w:tc>
                <w:tcPr>
                  <w:tcW w:w="773" w:type="pct"/>
                  <w:tcBorders>
                    <w:top w:val="single" w:color="auto" w:sz="4" w:space="0"/>
                  </w:tcBorders>
                  <w:noWrap w:val="0"/>
                  <w:vAlign w:val="center"/>
                </w:tcPr>
                <w:p>
                  <w:pPr>
                    <w:snapToGrid w:val="0"/>
                    <w:spacing w:line="276" w:lineRule="auto"/>
                    <w:jc w:val="center"/>
                    <w:rPr>
                      <w:b/>
                      <w:bCs/>
                      <w:color w:val="auto"/>
                      <w:sz w:val="21"/>
                      <w:szCs w:val="21"/>
                    </w:rPr>
                  </w:pPr>
                  <w:r>
                    <w:rPr>
                      <w:b/>
                      <w:bCs/>
                      <w:color w:val="auto"/>
                      <w:sz w:val="21"/>
                      <w:szCs w:val="21"/>
                    </w:rPr>
                    <w:t>NH</w:t>
                  </w:r>
                  <w:r>
                    <w:rPr>
                      <w:b/>
                      <w:bCs/>
                      <w:color w:val="auto"/>
                      <w:sz w:val="21"/>
                      <w:szCs w:val="21"/>
                      <w:vertAlign w:val="subscript"/>
                    </w:rPr>
                    <w:t>3</w:t>
                  </w:r>
                  <w:r>
                    <w:rPr>
                      <w:b/>
                      <w:bCs/>
                      <w:color w:val="auto"/>
                      <w:sz w:val="21"/>
                      <w:szCs w:val="21"/>
                    </w:rPr>
                    <w:t>-N</w:t>
                  </w:r>
                </w:p>
              </w:tc>
              <w:tc>
                <w:tcPr>
                  <w:tcW w:w="869" w:type="pct"/>
                  <w:tcBorders>
                    <w:top w:val="single" w:color="auto" w:sz="4" w:space="0"/>
                  </w:tcBorders>
                  <w:noWrap w:val="0"/>
                  <w:vAlign w:val="center"/>
                </w:tcPr>
                <w:p>
                  <w:pPr>
                    <w:snapToGrid w:val="0"/>
                    <w:spacing w:line="276" w:lineRule="auto"/>
                    <w:jc w:val="center"/>
                    <w:rPr>
                      <w:b/>
                      <w:bCs/>
                      <w:color w:val="auto"/>
                      <w:sz w:val="21"/>
                      <w:szCs w:val="21"/>
                    </w:rPr>
                  </w:pPr>
                  <w:r>
                    <w:rPr>
                      <w:b/>
                      <w:bCs/>
                      <w:color w:val="auto"/>
                      <w:sz w:val="21"/>
                      <w:szCs w:val="21"/>
                    </w:rPr>
                    <w:t>TP</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54" w:hRule="atLeast"/>
                <w:jc w:val="center"/>
              </w:trPr>
              <w:tc>
                <w:tcPr>
                  <w:tcW w:w="1038" w:type="pct"/>
                  <w:tcBorders>
                    <w:bottom w:val="single" w:color="auto" w:sz="4" w:space="0"/>
                  </w:tcBorders>
                  <w:noWrap w:val="0"/>
                  <w:vAlign w:val="center"/>
                </w:tcPr>
                <w:p>
                  <w:pPr>
                    <w:snapToGrid w:val="0"/>
                    <w:spacing w:line="276" w:lineRule="auto"/>
                    <w:jc w:val="center"/>
                    <w:rPr>
                      <w:color w:val="auto"/>
                      <w:sz w:val="21"/>
                      <w:szCs w:val="21"/>
                    </w:rPr>
                  </w:pPr>
                  <w:r>
                    <w:rPr>
                      <w:color w:val="auto"/>
                      <w:sz w:val="21"/>
                      <w:szCs w:val="21"/>
                    </w:rPr>
                    <w:t>Ⅳ</w:t>
                  </w:r>
                  <w:r>
                    <w:rPr>
                      <w:rFonts w:hint="eastAsia"/>
                      <w:color w:val="auto"/>
                      <w:sz w:val="21"/>
                      <w:szCs w:val="21"/>
                    </w:rPr>
                    <w:t>类标准值</w:t>
                  </w:r>
                </w:p>
              </w:tc>
              <w:tc>
                <w:tcPr>
                  <w:tcW w:w="773" w:type="pct"/>
                  <w:tcBorders>
                    <w:bottom w:val="single" w:color="auto" w:sz="4" w:space="0"/>
                  </w:tcBorders>
                  <w:noWrap w:val="0"/>
                  <w:vAlign w:val="center"/>
                </w:tcPr>
                <w:p>
                  <w:pPr>
                    <w:snapToGrid w:val="0"/>
                    <w:spacing w:line="276" w:lineRule="auto"/>
                    <w:jc w:val="center"/>
                    <w:rPr>
                      <w:color w:val="auto"/>
                      <w:sz w:val="21"/>
                      <w:szCs w:val="21"/>
                    </w:rPr>
                  </w:pPr>
                  <w:r>
                    <w:rPr>
                      <w:color w:val="auto"/>
                      <w:sz w:val="21"/>
                      <w:szCs w:val="21"/>
                    </w:rPr>
                    <w:t>6~9</w:t>
                  </w:r>
                </w:p>
              </w:tc>
              <w:tc>
                <w:tcPr>
                  <w:tcW w:w="773" w:type="pct"/>
                  <w:tcBorders>
                    <w:bottom w:val="single" w:color="auto" w:sz="4" w:space="0"/>
                  </w:tcBorders>
                  <w:noWrap w:val="0"/>
                  <w:vAlign w:val="center"/>
                </w:tcPr>
                <w:p>
                  <w:pPr>
                    <w:snapToGrid w:val="0"/>
                    <w:spacing w:line="276" w:lineRule="auto"/>
                    <w:jc w:val="center"/>
                    <w:rPr>
                      <w:color w:val="auto"/>
                      <w:sz w:val="21"/>
                      <w:szCs w:val="21"/>
                    </w:rPr>
                  </w:pPr>
                  <w:r>
                    <w:rPr>
                      <w:rFonts w:hint="eastAsia"/>
                      <w:color w:val="auto"/>
                      <w:sz w:val="21"/>
                      <w:szCs w:val="21"/>
                    </w:rPr>
                    <w:t>30</w:t>
                  </w:r>
                </w:p>
              </w:tc>
              <w:tc>
                <w:tcPr>
                  <w:tcW w:w="773" w:type="pct"/>
                  <w:tcBorders>
                    <w:bottom w:val="single" w:color="auto" w:sz="4" w:space="0"/>
                  </w:tcBorders>
                  <w:noWrap w:val="0"/>
                  <w:vAlign w:val="center"/>
                </w:tcPr>
                <w:p>
                  <w:pPr>
                    <w:snapToGrid w:val="0"/>
                    <w:spacing w:line="276" w:lineRule="auto"/>
                    <w:jc w:val="center"/>
                    <w:rPr>
                      <w:color w:val="auto"/>
                      <w:sz w:val="21"/>
                      <w:szCs w:val="21"/>
                    </w:rPr>
                  </w:pPr>
                  <w:r>
                    <w:rPr>
                      <w:rFonts w:hint="eastAsia"/>
                      <w:color w:val="auto"/>
                      <w:sz w:val="21"/>
                      <w:szCs w:val="21"/>
                    </w:rPr>
                    <w:t>6</w:t>
                  </w:r>
                </w:p>
              </w:tc>
              <w:tc>
                <w:tcPr>
                  <w:tcW w:w="773" w:type="pct"/>
                  <w:tcBorders>
                    <w:bottom w:val="single" w:color="auto" w:sz="4" w:space="0"/>
                  </w:tcBorders>
                  <w:noWrap w:val="0"/>
                  <w:vAlign w:val="center"/>
                </w:tcPr>
                <w:p>
                  <w:pPr>
                    <w:snapToGrid w:val="0"/>
                    <w:spacing w:line="276" w:lineRule="auto"/>
                    <w:jc w:val="center"/>
                    <w:rPr>
                      <w:color w:val="auto"/>
                      <w:sz w:val="21"/>
                      <w:szCs w:val="21"/>
                    </w:rPr>
                  </w:pPr>
                  <w:r>
                    <w:rPr>
                      <w:rFonts w:hint="eastAsia"/>
                      <w:color w:val="auto"/>
                      <w:sz w:val="21"/>
                      <w:szCs w:val="21"/>
                    </w:rPr>
                    <w:t>1.5</w:t>
                  </w:r>
                </w:p>
              </w:tc>
              <w:tc>
                <w:tcPr>
                  <w:tcW w:w="869" w:type="pct"/>
                  <w:tcBorders>
                    <w:bottom w:val="single" w:color="auto" w:sz="4" w:space="0"/>
                  </w:tcBorders>
                  <w:noWrap w:val="0"/>
                  <w:vAlign w:val="center"/>
                </w:tcPr>
                <w:p>
                  <w:pPr>
                    <w:snapToGrid w:val="0"/>
                    <w:spacing w:line="276" w:lineRule="auto"/>
                    <w:jc w:val="center"/>
                    <w:rPr>
                      <w:color w:val="auto"/>
                      <w:sz w:val="21"/>
                      <w:szCs w:val="21"/>
                    </w:rPr>
                  </w:pPr>
                  <w:r>
                    <w:rPr>
                      <w:color w:val="auto"/>
                      <w:sz w:val="21"/>
                      <w:szCs w:val="21"/>
                    </w:rPr>
                    <w:t>0.</w:t>
                  </w:r>
                  <w:r>
                    <w:rPr>
                      <w:rFonts w:hint="eastAsia"/>
                      <w:color w:val="auto"/>
                      <w:sz w:val="21"/>
                      <w:szCs w:val="21"/>
                    </w:rPr>
                    <w:t>3</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bCs/>
                <w:color w:val="auto"/>
                <w:kern w:val="0"/>
                <w:sz w:val="24"/>
              </w:rPr>
            </w:pPr>
            <w:r>
              <w:rPr>
                <w:bCs/>
                <w:color w:val="auto"/>
                <w:kern w:val="0"/>
                <w:sz w:val="24"/>
              </w:rPr>
              <w:t>根据宿州市生态环境局发布的《</w:t>
            </w:r>
            <w:r>
              <w:rPr>
                <w:rFonts w:hint="eastAsia"/>
                <w:bCs/>
                <w:color w:val="auto"/>
                <w:kern w:val="0"/>
                <w:sz w:val="24"/>
              </w:rPr>
              <w:t>2020年宿州市环境质量状况公报》，2020年宿州市5个国家考核断面中沱河关咀水质均值为</w:t>
            </w:r>
            <w:r>
              <w:rPr>
                <w:bCs/>
                <w:color w:val="auto"/>
                <w:kern w:val="0"/>
                <w:sz w:val="24"/>
              </w:rPr>
              <w:t>Ⅲ</w:t>
            </w:r>
            <w:r>
              <w:rPr>
                <w:rFonts w:hint="eastAsia"/>
                <w:bCs/>
                <w:color w:val="auto"/>
                <w:kern w:val="0"/>
                <w:sz w:val="24"/>
              </w:rPr>
              <w:t>类，新汴河团结闸、新濉河大屈、沱河芦岭桥和浍河湖沟水质均值为</w:t>
            </w:r>
            <w:r>
              <w:rPr>
                <w:bCs/>
                <w:color w:val="auto"/>
                <w:kern w:val="0"/>
                <w:sz w:val="24"/>
              </w:rPr>
              <w:t>Ⅳ</w:t>
            </w:r>
            <w:r>
              <w:rPr>
                <w:rFonts w:hint="eastAsia"/>
                <w:bCs/>
                <w:color w:val="auto"/>
                <w:kern w:val="0"/>
                <w:sz w:val="24"/>
              </w:rPr>
              <w:t>类，均达到国家考核要求。市级及县级集中式饮用水水源地水质均为</w:t>
            </w:r>
            <w:r>
              <w:rPr>
                <w:bCs/>
                <w:color w:val="auto"/>
                <w:kern w:val="0"/>
                <w:sz w:val="24"/>
              </w:rPr>
              <w:t>Ⅲ</w:t>
            </w:r>
            <w:r>
              <w:rPr>
                <w:rFonts w:hint="eastAsia"/>
                <w:bCs/>
                <w:color w:val="auto"/>
                <w:kern w:val="0"/>
                <w:sz w:val="24"/>
              </w:rPr>
              <w:t>类，水质达标率100%。</w:t>
            </w:r>
          </w:p>
          <w:p>
            <w:pPr>
              <w:spacing w:line="360" w:lineRule="auto"/>
              <w:ind w:firstLine="480" w:firstLineChars="200"/>
              <w:jc w:val="left"/>
              <w:rPr>
                <w:rFonts w:hint="eastAsia"/>
                <w:bCs/>
                <w:color w:val="auto"/>
                <w:kern w:val="0"/>
                <w:sz w:val="24"/>
              </w:rPr>
            </w:pPr>
            <w:r>
              <w:rPr>
                <w:rFonts w:hint="eastAsia"/>
                <w:bCs/>
                <w:color w:val="auto"/>
                <w:kern w:val="0"/>
                <w:sz w:val="24"/>
              </w:rPr>
              <w:t>2021年1-4月，我市13个国家考核断面中沱河关咀、澥河方店闸、老濉河泗县、唐河泗县、新濉河大屈，新汴河团结闸水质均值为</w:t>
            </w:r>
            <w:r>
              <w:rPr>
                <w:bCs/>
                <w:color w:val="auto"/>
                <w:kern w:val="0"/>
                <w:sz w:val="24"/>
              </w:rPr>
              <w:t>Ⅲ</w:t>
            </w:r>
            <w:r>
              <w:rPr>
                <w:rFonts w:hint="eastAsia"/>
                <w:bCs/>
                <w:color w:val="auto"/>
                <w:kern w:val="0"/>
                <w:sz w:val="24"/>
              </w:rPr>
              <w:t>类，奎河宿州、石梁河王庄西、王引河固口闸、萧濉新河宿州市、沱河芦岭桥、浍河湖沟和废黄河铜山贾楼桥水质均值为</w:t>
            </w:r>
            <w:r>
              <w:rPr>
                <w:bCs/>
                <w:color w:val="auto"/>
                <w:kern w:val="0"/>
                <w:sz w:val="24"/>
              </w:rPr>
              <w:t>Ⅳ</w:t>
            </w:r>
            <w:r>
              <w:rPr>
                <w:rFonts w:hint="eastAsia"/>
                <w:bCs/>
                <w:color w:val="auto"/>
                <w:kern w:val="0"/>
                <w:sz w:val="24"/>
              </w:rPr>
              <w:t>类，均达到国家考核要求。市级集中式饮用水水源地水质均为</w:t>
            </w:r>
            <w:r>
              <w:rPr>
                <w:bCs/>
                <w:color w:val="auto"/>
                <w:kern w:val="0"/>
                <w:sz w:val="24"/>
              </w:rPr>
              <w:t>Ⅲ</w:t>
            </w:r>
            <w:r>
              <w:rPr>
                <w:rFonts w:hint="eastAsia"/>
                <w:bCs/>
                <w:color w:val="auto"/>
                <w:kern w:val="0"/>
                <w:sz w:val="24"/>
              </w:rPr>
              <w:t>类，水质达标率100%。</w:t>
            </w:r>
          </w:p>
          <w:p>
            <w:pPr>
              <w:adjustRightInd w:val="0"/>
              <w:snapToGrid w:val="0"/>
              <w:spacing w:line="360" w:lineRule="auto"/>
              <w:jc w:val="left"/>
              <w:rPr>
                <w:b/>
                <w:bCs/>
                <w:kern w:val="0"/>
              </w:rPr>
            </w:pPr>
            <w:r>
              <w:rPr>
                <w:b/>
                <w:bCs/>
                <w:kern w:val="0"/>
              </w:rPr>
              <w:t>3、声环境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本项目噪声质量现状委托安徽</w:t>
            </w:r>
            <w:r>
              <w:rPr>
                <w:rFonts w:hint="eastAsia" w:ascii="Times New Roman" w:hAnsi="Times New Roman" w:eastAsia="宋体" w:cs="Times New Roman"/>
                <w:color w:val="auto"/>
                <w:kern w:val="0"/>
                <w:sz w:val="24"/>
                <w:szCs w:val="24"/>
                <w:lang w:val="en-US" w:eastAsia="zh-CN"/>
              </w:rPr>
              <w:t>波谱检测技术</w:t>
            </w:r>
            <w:r>
              <w:rPr>
                <w:rFonts w:hint="default" w:ascii="Times New Roman" w:hAnsi="Times New Roman" w:eastAsia="宋体" w:cs="Times New Roman"/>
                <w:color w:val="auto"/>
                <w:kern w:val="0"/>
                <w:sz w:val="24"/>
                <w:szCs w:val="24"/>
                <w:lang w:val="en-US" w:eastAsia="zh-CN"/>
              </w:rPr>
              <w:t>有限公司进行检测，</w:t>
            </w:r>
            <w:r>
              <w:rPr>
                <w:rFonts w:hint="eastAsia" w:cs="Times New Roman"/>
                <w:color w:val="auto"/>
                <w:kern w:val="0"/>
                <w:sz w:val="24"/>
                <w:szCs w:val="24"/>
                <w:lang w:val="en-US" w:eastAsia="zh-CN"/>
              </w:rPr>
              <w:t>采样日期为2022年4月10日、11日。</w:t>
            </w:r>
            <w:r>
              <w:rPr>
                <w:rFonts w:hint="default" w:ascii="Times New Roman" w:hAnsi="Times New Roman" w:eastAsia="宋体" w:cs="Times New Roman"/>
                <w:color w:val="auto"/>
                <w:kern w:val="0"/>
                <w:sz w:val="24"/>
                <w:szCs w:val="24"/>
                <w:lang w:val="en-US" w:eastAsia="zh-CN"/>
              </w:rPr>
              <w:t>噪声环境质量现状检测结果如下</w:t>
            </w:r>
            <w:r>
              <w:rPr>
                <w:rFonts w:hint="eastAsia" w:ascii="Times New Roman" w:hAnsi="Times New Roman" w:eastAsia="宋体" w:cs="Times New Roman"/>
                <w:color w:val="auto"/>
                <w:kern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 w:val="0"/>
                <w:iCs w:val="0"/>
                <w:color w:val="auto"/>
                <w:kern w:val="0"/>
                <w:sz w:val="24"/>
                <w:szCs w:val="24"/>
                <w:lang w:val="en-US" w:eastAsia="zh-CN"/>
              </w:rPr>
            </w:pPr>
            <w:r>
              <w:rPr>
                <w:rFonts w:hint="eastAsia" w:ascii="Times New Roman" w:hAnsi="Times New Roman" w:eastAsia="宋体" w:cs="Times New Roman"/>
                <w:b/>
                <w:bCs/>
                <w:i w:val="0"/>
                <w:iCs w:val="0"/>
                <w:color w:val="auto"/>
                <w:kern w:val="0"/>
                <w:sz w:val="24"/>
                <w:szCs w:val="24"/>
                <w:lang w:val="en-US" w:eastAsia="zh-CN"/>
              </w:rPr>
              <w:t>表3.</w:t>
            </w:r>
            <w:r>
              <w:rPr>
                <w:rFonts w:hint="eastAsia" w:eastAsia="宋体" w:cs="Times New Roman"/>
                <w:b/>
                <w:bCs/>
                <w:i w:val="0"/>
                <w:iCs w:val="0"/>
                <w:color w:val="auto"/>
                <w:kern w:val="0"/>
                <w:sz w:val="24"/>
                <w:szCs w:val="24"/>
                <w:lang w:val="en-US" w:eastAsia="zh-CN"/>
              </w:rPr>
              <w:t>3</w:t>
            </w:r>
            <w:r>
              <w:rPr>
                <w:rFonts w:hint="eastAsia" w:ascii="Times New Roman" w:hAnsi="Times New Roman" w:eastAsia="宋体" w:cs="Times New Roman"/>
                <w:b/>
                <w:bCs/>
                <w:i w:val="0"/>
                <w:iCs w:val="0"/>
                <w:color w:val="auto"/>
                <w:kern w:val="0"/>
                <w:sz w:val="24"/>
                <w:szCs w:val="24"/>
                <w:lang w:val="en-US" w:eastAsia="zh-CN"/>
              </w:rPr>
              <w:t xml:space="preserve"> </w:t>
            </w:r>
            <w:r>
              <w:rPr>
                <w:rFonts w:hint="eastAsia" w:cs="Times New Roman"/>
                <w:b/>
                <w:bCs/>
                <w:i w:val="0"/>
                <w:iCs w:val="0"/>
                <w:color w:val="auto"/>
                <w:kern w:val="0"/>
                <w:sz w:val="24"/>
                <w:szCs w:val="24"/>
                <w:lang w:val="en-US" w:eastAsia="zh-CN"/>
              </w:rPr>
              <w:t xml:space="preserve"> </w:t>
            </w:r>
            <w:r>
              <w:rPr>
                <w:rFonts w:hint="default" w:ascii="Times New Roman" w:hAnsi="Times New Roman" w:cs="Times New Roman"/>
                <w:b/>
                <w:bCs/>
                <w:i w:val="0"/>
                <w:iCs w:val="0"/>
                <w:sz w:val="24"/>
              </w:rPr>
              <w:t>声</w:t>
            </w:r>
            <w:r>
              <w:rPr>
                <w:rFonts w:hint="eastAsia" w:ascii="宋体" w:hAnsi="宋体"/>
                <w:b/>
                <w:bCs/>
                <w:i w:val="0"/>
                <w:iCs w:val="0"/>
                <w:sz w:val="24"/>
              </w:rPr>
              <w:t>环境现状监测</w:t>
            </w:r>
            <w:r>
              <w:rPr>
                <w:rFonts w:hint="eastAsia" w:ascii="宋体" w:hAnsi="宋体"/>
                <w:b/>
                <w:bCs/>
                <w:i w:val="0"/>
                <w:iCs w:val="0"/>
                <w:sz w:val="24"/>
                <w:lang w:val="en-US" w:eastAsia="zh-CN"/>
              </w:rPr>
              <w:t>点位</w:t>
            </w:r>
            <w:r>
              <w:rPr>
                <w:rFonts w:hint="eastAsia" w:ascii="宋体" w:hAnsi="宋体"/>
                <w:b/>
                <w:bCs/>
                <w:i w:val="0"/>
                <w:iCs w:val="0"/>
                <w:sz w:val="24"/>
              </w:rPr>
              <w:t>情况</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557"/>
              <w:gridCol w:w="300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dxa"/>
                  <w:vAlign w:val="center"/>
                </w:tcPr>
                <w:p>
                  <w:pPr>
                    <w:adjustRightInd w:val="0"/>
                    <w:snapToGrid w:val="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序号</w:t>
                  </w:r>
                </w:p>
              </w:tc>
              <w:tc>
                <w:tcPr>
                  <w:tcW w:w="2384" w:type="dxa"/>
                  <w:vAlign w:val="center"/>
                </w:tcPr>
                <w:p>
                  <w:pPr>
                    <w:adjustRightInd w:val="0"/>
                    <w:snapToGrid w:val="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测点名称</w:t>
                  </w:r>
                </w:p>
              </w:tc>
              <w:tc>
                <w:tcPr>
                  <w:tcW w:w="2797" w:type="dxa"/>
                  <w:vAlign w:val="center"/>
                </w:tcPr>
                <w:p>
                  <w:pPr>
                    <w:adjustRightInd w:val="0"/>
                    <w:snapToGrid w:val="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距离</w:t>
                  </w:r>
                </w:p>
              </w:tc>
              <w:tc>
                <w:tcPr>
                  <w:tcW w:w="1600" w:type="dxa"/>
                  <w:vAlign w:val="center"/>
                </w:tcPr>
                <w:p>
                  <w:pPr>
                    <w:adjustRightInd w:val="0"/>
                    <w:snapToGrid w:val="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dxa"/>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N1</w:t>
                  </w:r>
                </w:p>
              </w:tc>
              <w:tc>
                <w:tcPr>
                  <w:tcW w:w="2384" w:type="dxa"/>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项目东厂界</w:t>
                  </w:r>
                </w:p>
              </w:tc>
              <w:tc>
                <w:tcPr>
                  <w:tcW w:w="2797" w:type="dxa"/>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厂界外约1m</w:t>
                  </w:r>
                </w:p>
              </w:tc>
              <w:tc>
                <w:tcPr>
                  <w:tcW w:w="1600" w:type="dxa"/>
                  <w:vMerge w:val="restart"/>
                  <w:vAlign w:val="center"/>
                </w:tcPr>
                <w:p>
                  <w:pPr>
                    <w:adjustRightInd w:val="0"/>
                    <w:snapToGrid w:val="0"/>
                    <w:jc w:val="center"/>
                    <w:rPr>
                      <w:rFonts w:hint="default" w:ascii="Times New Roman" w:hAnsi="Times New Roman" w:cs="Times New Roman"/>
                      <w:bCs/>
                      <w:color w:val="000000"/>
                      <w:sz w:val="21"/>
                      <w:szCs w:val="21"/>
                    </w:rPr>
                  </w:pPr>
                  <w:r>
                    <w:rPr>
                      <w:rFonts w:hint="default" w:ascii="Times New Roman" w:hAnsi="Times New Roman" w:cs="Times New Roman"/>
                      <w:color w:val="000000"/>
                      <w:sz w:val="21"/>
                      <w:szCs w:val="21"/>
                    </w:rPr>
                    <w:t>等效</w:t>
                  </w:r>
                  <w:r>
                    <w:rPr>
                      <w:rFonts w:hint="default" w:ascii="Times New Roman" w:hAnsi="Times New Roman" w:cs="Times New Roman"/>
                      <w:bCs/>
                      <w:color w:val="000000"/>
                      <w:sz w:val="21"/>
                      <w:szCs w:val="21"/>
                    </w:rPr>
                    <w:t>连续A声级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dxa"/>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N2</w:t>
                  </w:r>
                </w:p>
              </w:tc>
              <w:tc>
                <w:tcPr>
                  <w:tcW w:w="2384" w:type="dxa"/>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项目南厂界</w:t>
                  </w:r>
                </w:p>
              </w:tc>
              <w:tc>
                <w:tcPr>
                  <w:tcW w:w="2797" w:type="dxa"/>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厂界外约1m</w:t>
                  </w:r>
                </w:p>
              </w:tc>
              <w:tc>
                <w:tcPr>
                  <w:tcW w:w="1600" w:type="dxa"/>
                  <w:vMerge w:val="continue"/>
                  <w:vAlign w:val="center"/>
                </w:tcPr>
                <w:p>
                  <w:pPr>
                    <w:adjustRightInd w:val="0"/>
                    <w:snapToGrid w:val="0"/>
                    <w:jc w:val="center"/>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dxa"/>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N3</w:t>
                  </w:r>
                </w:p>
              </w:tc>
              <w:tc>
                <w:tcPr>
                  <w:tcW w:w="2384" w:type="dxa"/>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项目西厂界</w:t>
                  </w:r>
                </w:p>
              </w:tc>
              <w:tc>
                <w:tcPr>
                  <w:tcW w:w="2797" w:type="dxa"/>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厂界外约1m</w:t>
                  </w:r>
                </w:p>
              </w:tc>
              <w:tc>
                <w:tcPr>
                  <w:tcW w:w="1600" w:type="dxa"/>
                  <w:vMerge w:val="continue"/>
                  <w:vAlign w:val="center"/>
                </w:tcPr>
                <w:p>
                  <w:pPr>
                    <w:adjustRightInd w:val="0"/>
                    <w:snapToGrid w:val="0"/>
                    <w:jc w:val="center"/>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dxa"/>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N4</w:t>
                  </w:r>
                </w:p>
              </w:tc>
              <w:tc>
                <w:tcPr>
                  <w:tcW w:w="2384" w:type="dxa"/>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项目北厂界</w:t>
                  </w:r>
                </w:p>
              </w:tc>
              <w:tc>
                <w:tcPr>
                  <w:tcW w:w="2797" w:type="dxa"/>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厂界外约1m</w:t>
                  </w:r>
                </w:p>
              </w:tc>
              <w:tc>
                <w:tcPr>
                  <w:tcW w:w="1600" w:type="dxa"/>
                  <w:vMerge w:val="continue"/>
                  <w:vAlign w:val="center"/>
                </w:tcPr>
                <w:p>
                  <w:pPr>
                    <w:adjustRightInd w:val="0"/>
                    <w:snapToGrid w:val="0"/>
                    <w:jc w:val="center"/>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dxa"/>
                  <w:vAlign w:val="center"/>
                </w:tcPr>
                <w:p>
                  <w:pPr>
                    <w:adjustRightInd w:val="0"/>
                    <w:snapToGrid w:val="0"/>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N5</w:t>
                  </w:r>
                </w:p>
              </w:tc>
              <w:tc>
                <w:tcPr>
                  <w:tcW w:w="2384" w:type="dxa"/>
                  <w:vAlign w:val="center"/>
                </w:tcPr>
                <w:p>
                  <w:pPr>
                    <w:adjustRightInd w:val="0"/>
                    <w:snapToGrid w:val="0"/>
                    <w:jc w:val="center"/>
                    <w:rPr>
                      <w:rFonts w:hint="default" w:ascii="Times New Roman" w:hAnsi="Times New Roman" w:cs="Times New Roman" w:eastAsiaTheme="minorEastAsia"/>
                      <w:color w:val="000000"/>
                      <w:sz w:val="21"/>
                      <w:szCs w:val="21"/>
                      <w:lang w:val="en-US" w:eastAsia="zh-CN"/>
                    </w:rPr>
                  </w:pPr>
                  <w:r>
                    <w:rPr>
                      <w:rFonts w:hint="eastAsia" w:cs="Times New Roman" w:eastAsiaTheme="minorEastAsia"/>
                      <w:color w:val="000000"/>
                      <w:sz w:val="21"/>
                      <w:szCs w:val="21"/>
                      <w:lang w:val="en-US" w:eastAsia="zh-CN"/>
                    </w:rPr>
                    <w:t>杜庄村（北侧敏感点）</w:t>
                  </w:r>
                </w:p>
              </w:tc>
              <w:tc>
                <w:tcPr>
                  <w:tcW w:w="2797" w:type="dxa"/>
                  <w:vAlign w:val="center"/>
                </w:tcPr>
                <w:p>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厂界外约</w:t>
                  </w:r>
                  <w:r>
                    <w:rPr>
                      <w:rFonts w:hint="default" w:ascii="Times New Roman" w:hAnsi="Times New Roman" w:cs="Times New Roman"/>
                      <w:color w:val="000000"/>
                      <w:sz w:val="21"/>
                      <w:szCs w:val="21"/>
                      <w:lang w:val="en-US" w:eastAsia="zh-CN"/>
                    </w:rPr>
                    <w:t>20</w:t>
                  </w:r>
                  <w:r>
                    <w:rPr>
                      <w:rFonts w:hint="default" w:ascii="Times New Roman" w:hAnsi="Times New Roman" w:cs="Times New Roman"/>
                      <w:color w:val="000000"/>
                      <w:sz w:val="21"/>
                      <w:szCs w:val="21"/>
                    </w:rPr>
                    <w:t>m</w:t>
                  </w:r>
                </w:p>
              </w:tc>
              <w:tc>
                <w:tcPr>
                  <w:tcW w:w="1600" w:type="dxa"/>
                  <w:vMerge w:val="continue"/>
                  <w:vAlign w:val="center"/>
                </w:tcPr>
                <w:p>
                  <w:pPr>
                    <w:adjustRightInd w:val="0"/>
                    <w:snapToGrid w:val="0"/>
                    <w:jc w:val="center"/>
                    <w:rPr>
                      <w:rFonts w:hint="default" w:ascii="Times New Roman" w:hAnsi="Times New Roman" w:cs="Times New Roman"/>
                      <w:color w:val="000000"/>
                      <w:sz w:val="21"/>
                      <w:szCs w:val="21"/>
                    </w:rPr>
                  </w:pPr>
                </w:p>
              </w:tc>
            </w:tr>
          </w:tbl>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宋体" w:cs="Times New Roman"/>
                <w:b/>
                <w:bCs/>
                <w:color w:val="auto"/>
                <w:kern w:val="0"/>
                <w:sz w:val="24"/>
                <w:szCs w:val="24"/>
                <w:lang w:val="en-US" w:eastAsia="zh-CN"/>
              </w:rPr>
            </w:pPr>
            <w:r>
              <w:rPr>
                <w:rFonts w:hint="eastAsia" w:ascii="Times New Roman" w:hAnsi="Times New Roman" w:eastAsia="宋体" w:cs="Times New Roman"/>
                <w:b/>
                <w:bCs/>
                <w:color w:val="auto"/>
                <w:kern w:val="0"/>
                <w:sz w:val="24"/>
                <w:szCs w:val="24"/>
                <w:lang w:val="en-US" w:eastAsia="zh-CN"/>
              </w:rPr>
              <w:t>表3.</w:t>
            </w:r>
            <w:r>
              <w:rPr>
                <w:rFonts w:hint="eastAsia" w:eastAsia="宋体" w:cs="Times New Roman"/>
                <w:b/>
                <w:bCs/>
                <w:color w:val="auto"/>
                <w:kern w:val="0"/>
                <w:sz w:val="24"/>
                <w:szCs w:val="24"/>
                <w:lang w:val="en-US" w:eastAsia="zh-CN"/>
              </w:rPr>
              <w:t>4</w:t>
            </w:r>
            <w:r>
              <w:rPr>
                <w:rFonts w:hint="eastAsia" w:cs="Times New Roman"/>
                <w:b/>
                <w:bCs/>
                <w:color w:val="auto"/>
                <w:kern w:val="0"/>
                <w:sz w:val="24"/>
                <w:szCs w:val="24"/>
                <w:lang w:val="en-US" w:eastAsia="zh-CN"/>
              </w:rPr>
              <w:t xml:space="preserve"> </w:t>
            </w:r>
            <w:r>
              <w:rPr>
                <w:rFonts w:hint="eastAsia" w:ascii="Times New Roman" w:hAnsi="Times New Roman" w:eastAsia="宋体" w:cs="Times New Roman"/>
                <w:b/>
                <w:bCs/>
                <w:color w:val="auto"/>
                <w:kern w:val="0"/>
                <w:sz w:val="24"/>
                <w:szCs w:val="24"/>
                <w:lang w:val="en-US" w:eastAsia="zh-CN"/>
              </w:rPr>
              <w:t xml:space="preserve"> 202</w:t>
            </w:r>
            <w:r>
              <w:rPr>
                <w:rFonts w:hint="eastAsia" w:eastAsia="宋体" w:cs="Times New Roman"/>
                <w:b/>
                <w:bCs/>
                <w:color w:val="auto"/>
                <w:kern w:val="0"/>
                <w:sz w:val="24"/>
                <w:szCs w:val="24"/>
                <w:lang w:val="en-US" w:eastAsia="zh-CN"/>
              </w:rPr>
              <w:t>2</w:t>
            </w:r>
            <w:r>
              <w:rPr>
                <w:rFonts w:hint="eastAsia" w:ascii="Times New Roman" w:hAnsi="Times New Roman" w:eastAsia="宋体" w:cs="Times New Roman"/>
                <w:b/>
                <w:bCs/>
                <w:color w:val="auto"/>
                <w:kern w:val="0"/>
                <w:sz w:val="24"/>
                <w:szCs w:val="24"/>
                <w:lang w:val="en-US" w:eastAsia="zh-CN"/>
              </w:rPr>
              <w:t>年</w:t>
            </w:r>
            <w:r>
              <w:rPr>
                <w:rFonts w:hint="eastAsia" w:eastAsia="宋体" w:cs="Times New Roman"/>
                <w:b/>
                <w:bCs/>
                <w:color w:val="auto"/>
                <w:kern w:val="0"/>
                <w:sz w:val="24"/>
                <w:szCs w:val="24"/>
                <w:lang w:val="en-US" w:eastAsia="zh-CN"/>
              </w:rPr>
              <w:t>4</w:t>
            </w:r>
            <w:r>
              <w:rPr>
                <w:rFonts w:hint="eastAsia" w:ascii="Times New Roman" w:hAnsi="Times New Roman" w:eastAsia="宋体" w:cs="Times New Roman"/>
                <w:b/>
                <w:bCs/>
                <w:color w:val="auto"/>
                <w:kern w:val="0"/>
                <w:sz w:val="24"/>
                <w:szCs w:val="24"/>
                <w:lang w:val="en-US" w:eastAsia="zh-CN"/>
              </w:rPr>
              <w:t>月</w:t>
            </w:r>
            <w:r>
              <w:rPr>
                <w:rFonts w:hint="eastAsia" w:eastAsia="宋体" w:cs="Times New Roman"/>
                <w:b/>
                <w:bCs/>
                <w:color w:val="auto"/>
                <w:kern w:val="0"/>
                <w:sz w:val="24"/>
                <w:szCs w:val="24"/>
                <w:lang w:val="en-US" w:eastAsia="zh-CN"/>
              </w:rPr>
              <w:t>10</w:t>
            </w:r>
            <w:r>
              <w:rPr>
                <w:rFonts w:hint="eastAsia" w:ascii="Times New Roman" w:hAnsi="Times New Roman" w:eastAsia="宋体" w:cs="Times New Roman"/>
                <w:b/>
                <w:bCs/>
                <w:color w:val="auto"/>
                <w:kern w:val="0"/>
                <w:sz w:val="24"/>
                <w:szCs w:val="24"/>
                <w:lang w:val="en-US" w:eastAsia="zh-CN"/>
              </w:rPr>
              <w:t>日噪声质量现状检测结果表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593"/>
              <w:gridCol w:w="1401"/>
              <w:gridCol w:w="758"/>
              <w:gridCol w:w="735"/>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Merge w:val="restart"/>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测点号</w:t>
                  </w:r>
                </w:p>
              </w:tc>
              <w:tc>
                <w:tcPr>
                  <w:tcW w:w="1593" w:type="dxa"/>
                  <w:vMerge w:val="restart"/>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主要噪声源</w:t>
                  </w:r>
                </w:p>
              </w:tc>
              <w:tc>
                <w:tcPr>
                  <w:tcW w:w="2894" w:type="dxa"/>
                  <w:gridSpan w:val="3"/>
                  <w:vMerge w:val="restart"/>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测试时间</w:t>
                  </w: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检测结果dB（A）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b/>
                      <w:bCs/>
                      <w:color w:val="auto"/>
                      <w:sz w:val="21"/>
                      <w:szCs w:val="21"/>
                      <w:lang w:val="en-US" w:eastAsia="zh-CN"/>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b/>
                      <w:bCs/>
                      <w:color w:val="auto"/>
                      <w:sz w:val="21"/>
                      <w:szCs w:val="21"/>
                      <w:lang w:val="en-US" w:eastAsia="zh-CN"/>
                    </w:rPr>
                  </w:pPr>
                </w:p>
              </w:tc>
              <w:tc>
                <w:tcPr>
                  <w:tcW w:w="2894" w:type="dxa"/>
                  <w:gridSpan w:val="3"/>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b/>
                      <w:bCs/>
                      <w:color w:val="auto"/>
                      <w:sz w:val="21"/>
                      <w:szCs w:val="21"/>
                      <w:lang w:val="en-US" w:eastAsia="zh-CN"/>
                    </w:rPr>
                  </w:pP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b/>
                      <w:bCs/>
                      <w:color w:val="auto"/>
                      <w:sz w:val="21"/>
                      <w:szCs w:val="21"/>
                      <w:vertAlign w:val="subscript"/>
                      <w:lang w:val="en-US" w:eastAsia="zh-CN"/>
                    </w:rPr>
                  </w:pPr>
                  <w:r>
                    <w:rPr>
                      <w:rFonts w:hint="eastAsia" w:ascii="Times New Roman" w:hAnsi="Times New Roman" w:eastAsia="宋体" w:cs="Times New Roman"/>
                      <w:b/>
                      <w:bCs/>
                      <w:color w:val="auto"/>
                      <w:sz w:val="21"/>
                      <w:szCs w:val="21"/>
                      <w:lang w:val="en-US" w:eastAsia="zh-CN"/>
                    </w:rPr>
                    <w:t>L</w:t>
                  </w:r>
                  <w:r>
                    <w:rPr>
                      <w:rFonts w:hint="eastAsia" w:ascii="Times New Roman" w:hAnsi="Times New Roman" w:eastAsia="宋体" w:cs="Times New Roman"/>
                      <w:b/>
                      <w:bCs/>
                      <w:color w:val="auto"/>
                      <w:sz w:val="21"/>
                      <w:szCs w:val="21"/>
                      <w:vertAlign w:val="subscript"/>
                      <w:lang w:val="en-US" w:eastAsia="zh-CN"/>
                    </w:rPr>
                    <w:t>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N1</w:t>
                  </w:r>
                </w:p>
              </w:tc>
              <w:tc>
                <w:tcPr>
                  <w:tcW w:w="1593"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环境噪声</w:t>
                  </w:r>
                </w:p>
              </w:tc>
              <w:tc>
                <w:tcPr>
                  <w:tcW w:w="1401" w:type="dxa"/>
                  <w:vMerge w:val="restart"/>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昼间</w:t>
                  </w:r>
                </w:p>
              </w:tc>
              <w:tc>
                <w:tcPr>
                  <w:tcW w:w="1493"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w:t>
                  </w:r>
                  <w:r>
                    <w:rPr>
                      <w:rFonts w:hint="eastAsia" w:eastAsia="宋体" w:cs="Times New Roman"/>
                      <w:color w:val="auto"/>
                      <w:sz w:val="21"/>
                      <w:szCs w:val="21"/>
                      <w:lang w:val="en-US" w:eastAsia="zh-CN"/>
                    </w:rPr>
                    <w:t>8</w:t>
                  </w: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N2</w:t>
                  </w:r>
                </w:p>
              </w:tc>
              <w:tc>
                <w:tcPr>
                  <w:tcW w:w="1593"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环境噪声</w:t>
                  </w:r>
                </w:p>
              </w:tc>
              <w:tc>
                <w:tcPr>
                  <w:tcW w:w="1401"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p>
              </w:tc>
              <w:tc>
                <w:tcPr>
                  <w:tcW w:w="1493"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10:1</w:t>
                  </w:r>
                  <w:r>
                    <w:rPr>
                      <w:rFonts w:hint="eastAsia" w:eastAsia="宋体" w:cs="Times New Roman"/>
                      <w:color w:val="auto"/>
                      <w:sz w:val="21"/>
                      <w:szCs w:val="21"/>
                      <w:lang w:val="en-US" w:eastAsia="zh-CN"/>
                    </w:rPr>
                    <w:t>6</w:t>
                  </w: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N3</w:t>
                  </w:r>
                </w:p>
              </w:tc>
              <w:tc>
                <w:tcPr>
                  <w:tcW w:w="1593"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环境噪声</w:t>
                  </w:r>
                </w:p>
              </w:tc>
              <w:tc>
                <w:tcPr>
                  <w:tcW w:w="1401"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p>
              </w:tc>
              <w:tc>
                <w:tcPr>
                  <w:tcW w:w="1493"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r>
                    <w:rPr>
                      <w:rFonts w:hint="eastAsia" w:eastAsia="宋体" w:cs="Times New Roman"/>
                      <w:color w:val="auto"/>
                      <w:sz w:val="21"/>
                      <w:szCs w:val="21"/>
                      <w:lang w:val="en-US" w:eastAsia="zh-CN"/>
                    </w:rPr>
                    <w:t>29</w:t>
                  </w: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N4</w:t>
                  </w:r>
                </w:p>
              </w:tc>
              <w:tc>
                <w:tcPr>
                  <w:tcW w:w="1593"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环境噪声</w:t>
                  </w:r>
                </w:p>
              </w:tc>
              <w:tc>
                <w:tcPr>
                  <w:tcW w:w="1401"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p>
              </w:tc>
              <w:tc>
                <w:tcPr>
                  <w:tcW w:w="1493"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10:4</w:t>
                  </w:r>
                  <w:r>
                    <w:rPr>
                      <w:rFonts w:hint="eastAsia" w:eastAsia="宋体" w:cs="Times New Roman"/>
                      <w:color w:val="auto"/>
                      <w:sz w:val="21"/>
                      <w:szCs w:val="21"/>
                      <w:lang w:val="en-US" w:eastAsia="zh-CN"/>
                    </w:rPr>
                    <w:t>2</w:t>
                  </w: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N5</w:t>
                  </w:r>
                </w:p>
              </w:tc>
              <w:tc>
                <w:tcPr>
                  <w:tcW w:w="1593"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环境噪声</w:t>
                  </w:r>
                </w:p>
              </w:tc>
              <w:tc>
                <w:tcPr>
                  <w:tcW w:w="1401"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p>
              </w:tc>
              <w:tc>
                <w:tcPr>
                  <w:tcW w:w="1493"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r>
                    <w:rPr>
                      <w:rFonts w:hint="eastAsia" w:eastAsia="宋体" w:cs="Times New Roman"/>
                      <w:color w:val="auto"/>
                      <w:sz w:val="21"/>
                      <w:szCs w:val="21"/>
                      <w:lang w:val="en-US" w:eastAsia="zh-CN"/>
                    </w:rPr>
                    <w:t>56</w:t>
                  </w: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Align w:val="center"/>
                </w:tcPr>
                <w:p>
                  <w:pPr>
                    <w:keepNext w:val="0"/>
                    <w:keepLines w:val="0"/>
                    <w:pageBreakBefore w:val="0"/>
                    <w:kinsoku/>
                    <w:wordWrap/>
                    <w:overflowPunct/>
                    <w:topLinePunct w:val="0"/>
                    <w:autoSpaceDE/>
                    <w:autoSpaceDN/>
                    <w:bidi w:val="0"/>
                    <w:adjustRightInd/>
                    <w:snapToGrid/>
                    <w:spacing w:line="240" w:lineRule="auto"/>
                    <w:ind w:right="0" w:rightChars="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N1</w:t>
                  </w:r>
                </w:p>
              </w:tc>
              <w:tc>
                <w:tcPr>
                  <w:tcW w:w="1593"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环境噪声</w:t>
                  </w:r>
                </w:p>
              </w:tc>
              <w:tc>
                <w:tcPr>
                  <w:tcW w:w="1401" w:type="dxa"/>
                  <w:vMerge w:val="restart"/>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夜间</w:t>
                  </w:r>
                </w:p>
              </w:tc>
              <w:tc>
                <w:tcPr>
                  <w:tcW w:w="1493"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w:t>
                  </w:r>
                  <w:r>
                    <w:rPr>
                      <w:rFonts w:hint="eastAsia" w:eastAsia="宋体"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0</w:t>
                  </w: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Align w:val="center"/>
                </w:tcPr>
                <w:p>
                  <w:pPr>
                    <w:keepNext w:val="0"/>
                    <w:keepLines w:val="0"/>
                    <w:pageBreakBefore w:val="0"/>
                    <w:kinsoku/>
                    <w:wordWrap/>
                    <w:overflowPunct/>
                    <w:topLinePunct w:val="0"/>
                    <w:autoSpaceDE/>
                    <w:autoSpaceDN/>
                    <w:bidi w:val="0"/>
                    <w:adjustRightInd/>
                    <w:snapToGrid/>
                    <w:spacing w:line="240" w:lineRule="auto"/>
                    <w:ind w:right="0" w:rightChars="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N2</w:t>
                  </w:r>
                </w:p>
              </w:tc>
              <w:tc>
                <w:tcPr>
                  <w:tcW w:w="1593"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环境噪声</w:t>
                  </w:r>
                </w:p>
              </w:tc>
              <w:tc>
                <w:tcPr>
                  <w:tcW w:w="1401"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p>
              </w:tc>
              <w:tc>
                <w:tcPr>
                  <w:tcW w:w="1493"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w:t>
                  </w:r>
                  <w:r>
                    <w:rPr>
                      <w:rFonts w:hint="eastAsia" w:eastAsia="宋体"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5</w:t>
                  </w: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Align w:val="center"/>
                </w:tcPr>
                <w:p>
                  <w:pPr>
                    <w:keepNext w:val="0"/>
                    <w:keepLines w:val="0"/>
                    <w:pageBreakBefore w:val="0"/>
                    <w:kinsoku/>
                    <w:wordWrap/>
                    <w:overflowPunct/>
                    <w:topLinePunct w:val="0"/>
                    <w:autoSpaceDE/>
                    <w:autoSpaceDN/>
                    <w:bidi w:val="0"/>
                    <w:adjustRightInd/>
                    <w:snapToGrid/>
                    <w:spacing w:line="240" w:lineRule="auto"/>
                    <w:ind w:right="0" w:rightChars="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N3</w:t>
                  </w:r>
                </w:p>
              </w:tc>
              <w:tc>
                <w:tcPr>
                  <w:tcW w:w="1593"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环境噪声</w:t>
                  </w:r>
                </w:p>
              </w:tc>
              <w:tc>
                <w:tcPr>
                  <w:tcW w:w="1401"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p>
              </w:tc>
              <w:tc>
                <w:tcPr>
                  <w:tcW w:w="1493"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22:3</w:t>
                  </w:r>
                  <w:r>
                    <w:rPr>
                      <w:rFonts w:hint="eastAsia" w:eastAsia="宋体" w:cs="Times New Roman"/>
                      <w:color w:val="auto"/>
                      <w:sz w:val="21"/>
                      <w:szCs w:val="21"/>
                      <w:lang w:val="en-US" w:eastAsia="zh-CN"/>
                    </w:rPr>
                    <w:t>9</w:t>
                  </w: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Align w:val="center"/>
                </w:tcPr>
                <w:p>
                  <w:pPr>
                    <w:keepNext w:val="0"/>
                    <w:keepLines w:val="0"/>
                    <w:pageBreakBefore w:val="0"/>
                    <w:kinsoku/>
                    <w:wordWrap/>
                    <w:overflowPunct/>
                    <w:topLinePunct w:val="0"/>
                    <w:autoSpaceDE/>
                    <w:autoSpaceDN/>
                    <w:bidi w:val="0"/>
                    <w:adjustRightInd/>
                    <w:snapToGrid/>
                    <w:spacing w:line="240" w:lineRule="auto"/>
                    <w:ind w:right="0" w:rightChars="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N4</w:t>
                  </w:r>
                </w:p>
              </w:tc>
              <w:tc>
                <w:tcPr>
                  <w:tcW w:w="1593"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环境噪声</w:t>
                  </w:r>
                </w:p>
              </w:tc>
              <w:tc>
                <w:tcPr>
                  <w:tcW w:w="1401"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p>
              </w:tc>
              <w:tc>
                <w:tcPr>
                  <w:tcW w:w="1493"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w:t>
                  </w:r>
                  <w:r>
                    <w:rPr>
                      <w:rFonts w:hint="eastAsia" w:eastAsia="宋体" w:cs="Times New Roman"/>
                      <w:color w:val="auto"/>
                      <w:sz w:val="21"/>
                      <w:szCs w:val="21"/>
                      <w:lang w:val="en-US" w:eastAsia="zh-CN"/>
                    </w:rPr>
                    <w:t>52</w:t>
                  </w: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Align w:val="center"/>
                </w:tcPr>
                <w:p>
                  <w:pPr>
                    <w:keepNext w:val="0"/>
                    <w:keepLines w:val="0"/>
                    <w:pageBreakBefore w:val="0"/>
                    <w:kinsoku/>
                    <w:wordWrap/>
                    <w:overflowPunct/>
                    <w:topLinePunct w:val="0"/>
                    <w:autoSpaceDE/>
                    <w:autoSpaceDN/>
                    <w:bidi w:val="0"/>
                    <w:adjustRightInd/>
                    <w:snapToGrid/>
                    <w:spacing w:line="240" w:lineRule="auto"/>
                    <w:ind w:right="0" w:rightChars="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N5</w:t>
                  </w:r>
                </w:p>
              </w:tc>
              <w:tc>
                <w:tcPr>
                  <w:tcW w:w="1593"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环境噪声</w:t>
                  </w:r>
                </w:p>
              </w:tc>
              <w:tc>
                <w:tcPr>
                  <w:tcW w:w="1401"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p>
              </w:tc>
              <w:tc>
                <w:tcPr>
                  <w:tcW w:w="1493"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23:0</w:t>
                  </w:r>
                  <w:r>
                    <w:rPr>
                      <w:rFonts w:hint="eastAsia" w:eastAsia="宋体" w:cs="Times New Roman"/>
                      <w:color w:val="auto"/>
                      <w:sz w:val="21"/>
                      <w:szCs w:val="21"/>
                      <w:lang w:val="en-US" w:eastAsia="zh-CN"/>
                    </w:rPr>
                    <w:t>6</w:t>
                  </w: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Merge w:val="restart"/>
                  <w:vAlign w:val="center"/>
                </w:tcPr>
                <w:p>
                  <w:pPr>
                    <w:keepNext w:val="0"/>
                    <w:keepLines w:val="0"/>
                    <w:pageBreakBefore w:val="0"/>
                    <w:kinsoku/>
                    <w:wordWrap/>
                    <w:overflowPunct/>
                    <w:topLinePunct w:val="0"/>
                    <w:autoSpaceDE/>
                    <w:autoSpaceDN/>
                    <w:bidi w:val="0"/>
                    <w:adjustRightInd/>
                    <w:snapToGrid/>
                    <w:spacing w:line="240" w:lineRule="auto"/>
                    <w:ind w:right="0" w:rightChars="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气候条件</w:t>
                  </w:r>
                </w:p>
              </w:tc>
              <w:tc>
                <w:tcPr>
                  <w:tcW w:w="1593"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天气</w:t>
                  </w:r>
                </w:p>
              </w:tc>
              <w:tc>
                <w:tcPr>
                  <w:tcW w:w="1401"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风向</w:t>
                  </w:r>
                </w:p>
              </w:tc>
              <w:tc>
                <w:tcPr>
                  <w:tcW w:w="1493"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风速（m/s）</w:t>
                  </w: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采样时间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rightChars="0" w:firstLine="0" w:firstLineChars="0"/>
                    <w:jc w:val="center"/>
                    <w:outlineLvl w:val="9"/>
                    <w:rPr>
                      <w:rFonts w:hint="eastAsia" w:ascii="Times New Roman" w:hAnsi="Times New Roman" w:eastAsia="宋体" w:cs="Times New Roman"/>
                      <w:color w:val="auto"/>
                      <w:sz w:val="21"/>
                      <w:szCs w:val="21"/>
                      <w:lang w:val="en-US" w:eastAsia="zh-CN"/>
                    </w:rPr>
                  </w:pPr>
                </w:p>
              </w:tc>
              <w:tc>
                <w:tcPr>
                  <w:tcW w:w="1593" w:type="dxa"/>
                  <w:vMerge w:val="restart"/>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晴</w:t>
                  </w:r>
                </w:p>
              </w:tc>
              <w:tc>
                <w:tcPr>
                  <w:tcW w:w="1401" w:type="dxa"/>
                  <w:vMerge w:val="restart"/>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东</w:t>
                  </w:r>
                  <w:r>
                    <w:rPr>
                      <w:rFonts w:hint="eastAsia" w:eastAsia="宋体" w:cs="Times New Roman"/>
                      <w:color w:val="auto"/>
                      <w:sz w:val="21"/>
                      <w:szCs w:val="21"/>
                      <w:lang w:val="en-US" w:eastAsia="zh-CN"/>
                    </w:rPr>
                    <w:t>南</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昼间</w:t>
                  </w:r>
                </w:p>
              </w:tc>
              <w:tc>
                <w:tcPr>
                  <w:tcW w:w="73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r>
                    <w:rPr>
                      <w:rFonts w:hint="eastAsia" w:eastAsia="宋体" w:cs="Times New Roman"/>
                      <w:color w:val="auto"/>
                      <w:sz w:val="21"/>
                      <w:szCs w:val="21"/>
                      <w:lang w:val="en-US" w:eastAsia="zh-CN"/>
                    </w:rPr>
                    <w:t>5</w:t>
                  </w:r>
                </w:p>
              </w:tc>
              <w:tc>
                <w:tcPr>
                  <w:tcW w:w="1885" w:type="dxa"/>
                  <w:vMerge w:val="restart"/>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w:t>
                  </w:r>
                  <w:r>
                    <w:rPr>
                      <w:rFonts w:hint="eastAsia" w:eastAsia="宋体"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w:t>
                  </w:r>
                  <w:r>
                    <w:rPr>
                      <w:rFonts w:hint="eastAsia" w:eastAsia="宋体" w:cs="Times New Roman"/>
                      <w:color w:val="auto"/>
                      <w:sz w:val="21"/>
                      <w:szCs w:val="21"/>
                      <w:lang w:val="en-US" w:eastAsia="zh-CN"/>
                    </w:rPr>
                    <w:t>4</w:t>
                  </w:r>
                  <w:r>
                    <w:rPr>
                      <w:rFonts w:hint="eastAsia" w:ascii="Times New Roman" w:hAnsi="Times New Roman" w:eastAsia="宋体" w:cs="Times New Roman"/>
                      <w:color w:val="auto"/>
                      <w:sz w:val="21"/>
                      <w:szCs w:val="21"/>
                      <w:lang w:val="en-US" w:eastAsia="zh-CN"/>
                    </w:rPr>
                    <w:t>-</w:t>
                  </w:r>
                  <w:r>
                    <w:rPr>
                      <w:rFonts w:hint="eastAsia" w:eastAsia="宋体" w:cs="Times New Roman"/>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rightChars="0" w:firstLine="0" w:firstLineChars="0"/>
                    <w:jc w:val="center"/>
                    <w:outlineLvl w:val="9"/>
                    <w:rPr>
                      <w:rFonts w:hint="eastAsia" w:ascii="Times New Roman" w:hAnsi="Times New Roman" w:eastAsia="宋体" w:cs="Times New Roman"/>
                      <w:color w:val="auto"/>
                      <w:sz w:val="21"/>
                      <w:szCs w:val="21"/>
                      <w:lang w:val="en-US" w:eastAsia="zh-CN"/>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eastAsia" w:ascii="Times New Roman" w:hAnsi="Times New Roman" w:eastAsia="宋体" w:cs="Times New Roman"/>
                      <w:color w:val="auto"/>
                      <w:sz w:val="21"/>
                      <w:szCs w:val="21"/>
                      <w:lang w:val="en-US" w:eastAsia="zh-CN"/>
                    </w:rPr>
                  </w:pPr>
                </w:p>
              </w:tc>
              <w:tc>
                <w:tcPr>
                  <w:tcW w:w="1401"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夜间</w:t>
                  </w:r>
                </w:p>
              </w:tc>
              <w:tc>
                <w:tcPr>
                  <w:tcW w:w="73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r>
                    <w:rPr>
                      <w:rFonts w:hint="eastAsia" w:eastAsia="宋体" w:cs="Times New Roman"/>
                      <w:color w:val="auto"/>
                      <w:sz w:val="21"/>
                      <w:szCs w:val="21"/>
                      <w:lang w:val="en-US" w:eastAsia="zh-CN"/>
                    </w:rPr>
                    <w:t>6</w:t>
                  </w:r>
                </w:p>
              </w:tc>
              <w:tc>
                <w:tcPr>
                  <w:tcW w:w="1885" w:type="dxa"/>
                  <w:vMerge w:val="continue"/>
                  <w:vAlign w:val="top"/>
                </w:tcPr>
                <w:p>
                  <w:pPr>
                    <w:keepNext w:val="0"/>
                    <w:keepLines w:val="0"/>
                    <w:pageBreakBefore w:val="0"/>
                    <w:kinsoku/>
                    <w:wordWrap/>
                    <w:overflowPunct/>
                    <w:topLinePunct w:val="0"/>
                    <w:autoSpaceDE/>
                    <w:autoSpaceDN/>
                    <w:bidi w:val="0"/>
                    <w:adjustRightInd/>
                    <w:snapToGrid/>
                    <w:spacing w:line="240" w:lineRule="auto"/>
                    <w:ind w:right="0" w:firstLine="0" w:firstLineChars="0"/>
                    <w:jc w:val="left"/>
                    <w:outlineLvl w:val="9"/>
                    <w:rPr>
                      <w:rFonts w:hint="eastAsia" w:ascii="Times New Roman" w:hAnsi="Times New Roman" w:eastAsia="宋体" w:cs="Times New Roman"/>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2" w:firstLineChars="200"/>
              <w:jc w:val="center"/>
              <w:textAlignment w:val="auto"/>
              <w:rPr>
                <w:rFonts w:hint="default" w:ascii="Times New Roman" w:hAnsi="Times New Roman" w:eastAsia="宋体" w:cs="Times New Roman"/>
                <w:b/>
                <w:bCs/>
                <w:color w:val="auto"/>
                <w:kern w:val="0"/>
                <w:sz w:val="24"/>
                <w:szCs w:val="24"/>
                <w:lang w:val="en-US" w:eastAsia="zh-CN"/>
              </w:rPr>
            </w:pPr>
            <w:r>
              <w:rPr>
                <w:rFonts w:hint="eastAsia" w:ascii="Times New Roman" w:hAnsi="Times New Roman" w:eastAsia="宋体" w:cs="Times New Roman"/>
                <w:b/>
                <w:bCs/>
                <w:color w:val="auto"/>
                <w:kern w:val="0"/>
                <w:sz w:val="24"/>
                <w:szCs w:val="24"/>
                <w:lang w:val="en-US" w:eastAsia="zh-CN"/>
              </w:rPr>
              <w:t>表3.</w:t>
            </w:r>
            <w:r>
              <w:rPr>
                <w:rFonts w:hint="eastAsia" w:eastAsia="宋体" w:cs="Times New Roman"/>
                <w:b/>
                <w:bCs/>
                <w:color w:val="auto"/>
                <w:kern w:val="0"/>
                <w:sz w:val="24"/>
                <w:szCs w:val="24"/>
                <w:lang w:val="en-US" w:eastAsia="zh-CN"/>
              </w:rPr>
              <w:t xml:space="preserve">5 </w:t>
            </w:r>
            <w:r>
              <w:rPr>
                <w:rFonts w:hint="eastAsia" w:cs="Times New Roman"/>
                <w:b/>
                <w:bCs/>
                <w:color w:val="auto"/>
                <w:kern w:val="0"/>
                <w:sz w:val="24"/>
                <w:szCs w:val="24"/>
                <w:lang w:val="en-US" w:eastAsia="zh-CN"/>
              </w:rPr>
              <w:t xml:space="preserve"> </w:t>
            </w:r>
            <w:r>
              <w:rPr>
                <w:rFonts w:hint="eastAsia" w:ascii="Times New Roman" w:hAnsi="Times New Roman" w:eastAsia="宋体" w:cs="Times New Roman"/>
                <w:b/>
                <w:bCs/>
                <w:color w:val="auto"/>
                <w:kern w:val="0"/>
                <w:sz w:val="24"/>
                <w:szCs w:val="24"/>
                <w:lang w:val="en-US" w:eastAsia="zh-CN"/>
              </w:rPr>
              <w:t>202</w:t>
            </w:r>
            <w:r>
              <w:rPr>
                <w:rFonts w:hint="eastAsia" w:eastAsia="宋体" w:cs="Times New Roman"/>
                <w:b/>
                <w:bCs/>
                <w:color w:val="auto"/>
                <w:kern w:val="0"/>
                <w:sz w:val="24"/>
                <w:szCs w:val="24"/>
                <w:lang w:val="en-US" w:eastAsia="zh-CN"/>
              </w:rPr>
              <w:t>2</w:t>
            </w:r>
            <w:r>
              <w:rPr>
                <w:rFonts w:hint="eastAsia" w:ascii="Times New Roman" w:hAnsi="Times New Roman" w:eastAsia="宋体" w:cs="Times New Roman"/>
                <w:b/>
                <w:bCs/>
                <w:color w:val="auto"/>
                <w:kern w:val="0"/>
                <w:sz w:val="24"/>
                <w:szCs w:val="24"/>
                <w:lang w:val="en-US" w:eastAsia="zh-CN"/>
              </w:rPr>
              <w:t>年</w:t>
            </w:r>
            <w:r>
              <w:rPr>
                <w:rFonts w:hint="eastAsia" w:eastAsia="宋体" w:cs="Times New Roman"/>
                <w:b/>
                <w:bCs/>
                <w:color w:val="auto"/>
                <w:kern w:val="0"/>
                <w:sz w:val="24"/>
                <w:szCs w:val="24"/>
                <w:lang w:val="en-US" w:eastAsia="zh-CN"/>
              </w:rPr>
              <w:t>4</w:t>
            </w:r>
            <w:r>
              <w:rPr>
                <w:rFonts w:hint="eastAsia" w:ascii="Times New Roman" w:hAnsi="Times New Roman" w:eastAsia="宋体" w:cs="Times New Roman"/>
                <w:b/>
                <w:bCs/>
                <w:color w:val="auto"/>
                <w:kern w:val="0"/>
                <w:sz w:val="24"/>
                <w:szCs w:val="24"/>
                <w:lang w:val="en-US" w:eastAsia="zh-CN"/>
              </w:rPr>
              <w:t>月</w:t>
            </w:r>
            <w:r>
              <w:rPr>
                <w:rFonts w:hint="eastAsia" w:eastAsia="宋体" w:cs="Times New Roman"/>
                <w:b/>
                <w:bCs/>
                <w:color w:val="auto"/>
                <w:kern w:val="0"/>
                <w:sz w:val="24"/>
                <w:szCs w:val="24"/>
                <w:lang w:val="en-US" w:eastAsia="zh-CN"/>
              </w:rPr>
              <w:t>11</w:t>
            </w:r>
            <w:r>
              <w:rPr>
                <w:rFonts w:hint="eastAsia" w:ascii="Times New Roman" w:hAnsi="Times New Roman" w:eastAsia="宋体" w:cs="Times New Roman"/>
                <w:b/>
                <w:bCs/>
                <w:color w:val="auto"/>
                <w:kern w:val="0"/>
                <w:sz w:val="24"/>
                <w:szCs w:val="24"/>
                <w:lang w:val="en-US" w:eastAsia="zh-CN"/>
              </w:rPr>
              <w:t>日噪声质量现状检测结果表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593"/>
              <w:gridCol w:w="1401"/>
              <w:gridCol w:w="758"/>
              <w:gridCol w:w="735"/>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Merge w:val="restart"/>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测点号</w:t>
                  </w:r>
                </w:p>
              </w:tc>
              <w:tc>
                <w:tcPr>
                  <w:tcW w:w="1593" w:type="dxa"/>
                  <w:vMerge w:val="restart"/>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主要噪声源</w:t>
                  </w:r>
                </w:p>
              </w:tc>
              <w:tc>
                <w:tcPr>
                  <w:tcW w:w="2894" w:type="dxa"/>
                  <w:gridSpan w:val="3"/>
                  <w:vMerge w:val="restart"/>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测试时间</w:t>
                  </w: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检测结果dB（A）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b/>
                      <w:bCs/>
                      <w:color w:val="auto"/>
                      <w:sz w:val="21"/>
                      <w:szCs w:val="21"/>
                      <w:lang w:val="en-US" w:eastAsia="zh-CN"/>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b/>
                      <w:bCs/>
                      <w:color w:val="auto"/>
                      <w:sz w:val="21"/>
                      <w:szCs w:val="21"/>
                      <w:lang w:val="en-US" w:eastAsia="zh-CN"/>
                    </w:rPr>
                  </w:pPr>
                </w:p>
              </w:tc>
              <w:tc>
                <w:tcPr>
                  <w:tcW w:w="2894" w:type="dxa"/>
                  <w:gridSpan w:val="3"/>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b/>
                      <w:bCs/>
                      <w:color w:val="auto"/>
                      <w:sz w:val="21"/>
                      <w:szCs w:val="21"/>
                      <w:lang w:val="en-US" w:eastAsia="zh-CN"/>
                    </w:rPr>
                  </w:pP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b/>
                      <w:bCs/>
                      <w:color w:val="auto"/>
                      <w:sz w:val="21"/>
                      <w:szCs w:val="21"/>
                      <w:vertAlign w:val="subscript"/>
                      <w:lang w:val="en-US" w:eastAsia="zh-CN"/>
                    </w:rPr>
                  </w:pPr>
                  <w:r>
                    <w:rPr>
                      <w:rFonts w:hint="eastAsia" w:ascii="Times New Roman" w:hAnsi="Times New Roman" w:eastAsia="宋体" w:cs="Times New Roman"/>
                      <w:b/>
                      <w:bCs/>
                      <w:color w:val="auto"/>
                      <w:sz w:val="21"/>
                      <w:szCs w:val="21"/>
                      <w:lang w:val="en-US" w:eastAsia="zh-CN"/>
                    </w:rPr>
                    <w:t>L</w:t>
                  </w:r>
                  <w:r>
                    <w:rPr>
                      <w:rFonts w:hint="eastAsia" w:ascii="Times New Roman" w:hAnsi="Times New Roman" w:eastAsia="宋体" w:cs="Times New Roman"/>
                      <w:b/>
                      <w:bCs/>
                      <w:color w:val="auto"/>
                      <w:sz w:val="21"/>
                      <w:szCs w:val="21"/>
                      <w:vertAlign w:val="subscript"/>
                      <w:lang w:val="en-US" w:eastAsia="zh-CN"/>
                    </w:rPr>
                    <w:t>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N1</w:t>
                  </w:r>
                </w:p>
              </w:tc>
              <w:tc>
                <w:tcPr>
                  <w:tcW w:w="1593"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环境噪声</w:t>
                  </w:r>
                </w:p>
              </w:tc>
              <w:tc>
                <w:tcPr>
                  <w:tcW w:w="1401" w:type="dxa"/>
                  <w:vMerge w:val="restart"/>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昼间</w:t>
                  </w:r>
                </w:p>
              </w:tc>
              <w:tc>
                <w:tcPr>
                  <w:tcW w:w="1493"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10:00</w:t>
                  </w: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N2</w:t>
                  </w:r>
                </w:p>
              </w:tc>
              <w:tc>
                <w:tcPr>
                  <w:tcW w:w="1593"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环境噪声</w:t>
                  </w:r>
                </w:p>
              </w:tc>
              <w:tc>
                <w:tcPr>
                  <w:tcW w:w="1401"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p>
              </w:tc>
              <w:tc>
                <w:tcPr>
                  <w:tcW w:w="1493"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10:15</w:t>
                  </w: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N3</w:t>
                  </w:r>
                </w:p>
              </w:tc>
              <w:tc>
                <w:tcPr>
                  <w:tcW w:w="1593"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环境噪声</w:t>
                  </w:r>
                </w:p>
              </w:tc>
              <w:tc>
                <w:tcPr>
                  <w:tcW w:w="1401"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p>
              </w:tc>
              <w:tc>
                <w:tcPr>
                  <w:tcW w:w="1493"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10:30</w:t>
                  </w: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N4</w:t>
                  </w:r>
                </w:p>
              </w:tc>
              <w:tc>
                <w:tcPr>
                  <w:tcW w:w="1593"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环境噪声</w:t>
                  </w:r>
                </w:p>
              </w:tc>
              <w:tc>
                <w:tcPr>
                  <w:tcW w:w="1401"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p>
              </w:tc>
              <w:tc>
                <w:tcPr>
                  <w:tcW w:w="1493"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10:45</w:t>
                  </w: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N5</w:t>
                  </w:r>
                </w:p>
              </w:tc>
              <w:tc>
                <w:tcPr>
                  <w:tcW w:w="1593"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环境噪声</w:t>
                  </w:r>
                </w:p>
              </w:tc>
              <w:tc>
                <w:tcPr>
                  <w:tcW w:w="1401"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p>
              </w:tc>
              <w:tc>
                <w:tcPr>
                  <w:tcW w:w="1493"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11:00</w:t>
                  </w: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Align w:val="center"/>
                </w:tcPr>
                <w:p>
                  <w:pPr>
                    <w:keepNext w:val="0"/>
                    <w:keepLines w:val="0"/>
                    <w:pageBreakBefore w:val="0"/>
                    <w:kinsoku/>
                    <w:wordWrap/>
                    <w:overflowPunct/>
                    <w:topLinePunct w:val="0"/>
                    <w:autoSpaceDE/>
                    <w:autoSpaceDN/>
                    <w:bidi w:val="0"/>
                    <w:adjustRightInd/>
                    <w:snapToGrid/>
                    <w:spacing w:line="240" w:lineRule="auto"/>
                    <w:ind w:right="0" w:rightChars="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N1</w:t>
                  </w:r>
                </w:p>
              </w:tc>
              <w:tc>
                <w:tcPr>
                  <w:tcW w:w="1593"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环境噪声</w:t>
                  </w:r>
                </w:p>
              </w:tc>
              <w:tc>
                <w:tcPr>
                  <w:tcW w:w="1401" w:type="dxa"/>
                  <w:vMerge w:val="restart"/>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夜间</w:t>
                  </w:r>
                </w:p>
              </w:tc>
              <w:tc>
                <w:tcPr>
                  <w:tcW w:w="1493"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22:00</w:t>
                  </w: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Align w:val="center"/>
                </w:tcPr>
                <w:p>
                  <w:pPr>
                    <w:keepNext w:val="0"/>
                    <w:keepLines w:val="0"/>
                    <w:pageBreakBefore w:val="0"/>
                    <w:kinsoku/>
                    <w:wordWrap/>
                    <w:overflowPunct/>
                    <w:topLinePunct w:val="0"/>
                    <w:autoSpaceDE/>
                    <w:autoSpaceDN/>
                    <w:bidi w:val="0"/>
                    <w:adjustRightInd/>
                    <w:snapToGrid/>
                    <w:spacing w:line="240" w:lineRule="auto"/>
                    <w:ind w:right="0" w:rightChars="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N2</w:t>
                  </w:r>
                </w:p>
              </w:tc>
              <w:tc>
                <w:tcPr>
                  <w:tcW w:w="1593"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环境噪声</w:t>
                  </w:r>
                </w:p>
              </w:tc>
              <w:tc>
                <w:tcPr>
                  <w:tcW w:w="1401"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p>
              </w:tc>
              <w:tc>
                <w:tcPr>
                  <w:tcW w:w="1493"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22:15</w:t>
                  </w: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Align w:val="center"/>
                </w:tcPr>
                <w:p>
                  <w:pPr>
                    <w:keepNext w:val="0"/>
                    <w:keepLines w:val="0"/>
                    <w:pageBreakBefore w:val="0"/>
                    <w:kinsoku/>
                    <w:wordWrap/>
                    <w:overflowPunct/>
                    <w:topLinePunct w:val="0"/>
                    <w:autoSpaceDE/>
                    <w:autoSpaceDN/>
                    <w:bidi w:val="0"/>
                    <w:adjustRightInd/>
                    <w:snapToGrid/>
                    <w:spacing w:line="240" w:lineRule="auto"/>
                    <w:ind w:right="0" w:rightChars="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N3</w:t>
                  </w:r>
                </w:p>
              </w:tc>
              <w:tc>
                <w:tcPr>
                  <w:tcW w:w="1593"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环境噪声</w:t>
                  </w:r>
                </w:p>
              </w:tc>
              <w:tc>
                <w:tcPr>
                  <w:tcW w:w="1401"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p>
              </w:tc>
              <w:tc>
                <w:tcPr>
                  <w:tcW w:w="1493"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22:30</w:t>
                  </w: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Align w:val="center"/>
                </w:tcPr>
                <w:p>
                  <w:pPr>
                    <w:keepNext w:val="0"/>
                    <w:keepLines w:val="0"/>
                    <w:pageBreakBefore w:val="0"/>
                    <w:kinsoku/>
                    <w:wordWrap/>
                    <w:overflowPunct/>
                    <w:topLinePunct w:val="0"/>
                    <w:autoSpaceDE/>
                    <w:autoSpaceDN/>
                    <w:bidi w:val="0"/>
                    <w:adjustRightInd/>
                    <w:snapToGrid/>
                    <w:spacing w:line="240" w:lineRule="auto"/>
                    <w:ind w:right="0" w:rightChars="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N4</w:t>
                  </w:r>
                </w:p>
              </w:tc>
              <w:tc>
                <w:tcPr>
                  <w:tcW w:w="1593"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环境噪声</w:t>
                  </w:r>
                </w:p>
              </w:tc>
              <w:tc>
                <w:tcPr>
                  <w:tcW w:w="1401"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p>
              </w:tc>
              <w:tc>
                <w:tcPr>
                  <w:tcW w:w="1493"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22:45</w:t>
                  </w: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Align w:val="center"/>
                </w:tcPr>
                <w:p>
                  <w:pPr>
                    <w:keepNext w:val="0"/>
                    <w:keepLines w:val="0"/>
                    <w:pageBreakBefore w:val="0"/>
                    <w:kinsoku/>
                    <w:wordWrap/>
                    <w:overflowPunct/>
                    <w:topLinePunct w:val="0"/>
                    <w:autoSpaceDE/>
                    <w:autoSpaceDN/>
                    <w:bidi w:val="0"/>
                    <w:adjustRightInd/>
                    <w:snapToGrid/>
                    <w:spacing w:line="240" w:lineRule="auto"/>
                    <w:ind w:right="0" w:rightChars="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N5</w:t>
                  </w:r>
                </w:p>
              </w:tc>
              <w:tc>
                <w:tcPr>
                  <w:tcW w:w="1593"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环境噪声</w:t>
                  </w:r>
                </w:p>
              </w:tc>
              <w:tc>
                <w:tcPr>
                  <w:tcW w:w="1401"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p>
              </w:tc>
              <w:tc>
                <w:tcPr>
                  <w:tcW w:w="1493"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23:00</w:t>
                  </w: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Merge w:val="restart"/>
                  <w:vAlign w:val="center"/>
                </w:tcPr>
                <w:p>
                  <w:pPr>
                    <w:keepNext w:val="0"/>
                    <w:keepLines w:val="0"/>
                    <w:pageBreakBefore w:val="0"/>
                    <w:kinsoku/>
                    <w:wordWrap/>
                    <w:overflowPunct/>
                    <w:topLinePunct w:val="0"/>
                    <w:autoSpaceDE/>
                    <w:autoSpaceDN/>
                    <w:bidi w:val="0"/>
                    <w:adjustRightInd/>
                    <w:snapToGrid/>
                    <w:spacing w:line="240" w:lineRule="auto"/>
                    <w:ind w:right="0" w:rightChars="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气候条件</w:t>
                  </w:r>
                </w:p>
              </w:tc>
              <w:tc>
                <w:tcPr>
                  <w:tcW w:w="1593"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天气</w:t>
                  </w:r>
                </w:p>
              </w:tc>
              <w:tc>
                <w:tcPr>
                  <w:tcW w:w="1401"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风向</w:t>
                  </w:r>
                </w:p>
              </w:tc>
              <w:tc>
                <w:tcPr>
                  <w:tcW w:w="1493" w:type="dxa"/>
                  <w:gridSpan w:val="2"/>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风速（m/s）</w:t>
                  </w:r>
                </w:p>
              </w:tc>
              <w:tc>
                <w:tcPr>
                  <w:tcW w:w="188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采样时间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rightChars="0" w:firstLine="0" w:firstLineChars="0"/>
                    <w:jc w:val="center"/>
                    <w:outlineLvl w:val="9"/>
                    <w:rPr>
                      <w:rFonts w:hint="eastAsia" w:ascii="Times New Roman" w:hAnsi="Times New Roman" w:eastAsia="宋体" w:cs="Times New Roman"/>
                      <w:color w:val="auto"/>
                      <w:sz w:val="21"/>
                      <w:szCs w:val="21"/>
                      <w:lang w:val="en-US" w:eastAsia="zh-CN"/>
                    </w:rPr>
                  </w:pPr>
                </w:p>
              </w:tc>
              <w:tc>
                <w:tcPr>
                  <w:tcW w:w="1593" w:type="dxa"/>
                  <w:vMerge w:val="restart"/>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晴</w:t>
                  </w:r>
                </w:p>
              </w:tc>
              <w:tc>
                <w:tcPr>
                  <w:tcW w:w="1401" w:type="dxa"/>
                  <w:vMerge w:val="restart"/>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东南</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昼间</w:t>
                  </w:r>
                </w:p>
              </w:tc>
              <w:tc>
                <w:tcPr>
                  <w:tcW w:w="73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r>
                    <w:rPr>
                      <w:rFonts w:hint="eastAsia" w:eastAsia="宋体" w:cs="Times New Roman"/>
                      <w:color w:val="auto"/>
                      <w:sz w:val="21"/>
                      <w:szCs w:val="21"/>
                      <w:lang w:val="en-US" w:eastAsia="zh-CN"/>
                    </w:rPr>
                    <w:t>6</w:t>
                  </w:r>
                </w:p>
              </w:tc>
              <w:tc>
                <w:tcPr>
                  <w:tcW w:w="1885" w:type="dxa"/>
                  <w:vMerge w:val="restart"/>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w:t>
                  </w:r>
                  <w:r>
                    <w:rPr>
                      <w:rFonts w:hint="eastAsia" w:eastAsia="宋体"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w:t>
                  </w:r>
                  <w:r>
                    <w:rPr>
                      <w:rFonts w:hint="eastAsia" w:eastAsia="宋体" w:cs="Times New Roman"/>
                      <w:color w:val="auto"/>
                      <w:sz w:val="21"/>
                      <w:szCs w:val="21"/>
                      <w:lang w:val="en-US" w:eastAsia="zh-CN"/>
                    </w:rPr>
                    <w:t>4</w:t>
                  </w:r>
                  <w:r>
                    <w:rPr>
                      <w:rFonts w:hint="eastAsia" w:ascii="Times New Roman" w:hAnsi="Times New Roman" w:eastAsia="宋体" w:cs="Times New Roman"/>
                      <w:color w:val="auto"/>
                      <w:sz w:val="21"/>
                      <w:szCs w:val="21"/>
                      <w:lang w:val="en-US" w:eastAsia="zh-CN"/>
                    </w:rPr>
                    <w:t>-</w:t>
                  </w:r>
                  <w:r>
                    <w:rPr>
                      <w:rFonts w:hint="eastAsia" w:eastAsia="宋体" w:cs="Times New Roman"/>
                      <w:color w:val="auto"/>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92"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rightChars="0" w:firstLine="0" w:firstLineChars="0"/>
                    <w:jc w:val="center"/>
                    <w:outlineLvl w:val="9"/>
                    <w:rPr>
                      <w:rFonts w:hint="eastAsia" w:ascii="Times New Roman" w:hAnsi="Times New Roman" w:eastAsia="宋体" w:cs="Times New Roman"/>
                      <w:color w:val="auto"/>
                      <w:sz w:val="21"/>
                      <w:szCs w:val="21"/>
                      <w:lang w:val="en-US" w:eastAsia="zh-CN"/>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eastAsia" w:ascii="Times New Roman" w:hAnsi="Times New Roman" w:eastAsia="宋体" w:cs="Times New Roman"/>
                      <w:color w:val="auto"/>
                      <w:sz w:val="21"/>
                      <w:szCs w:val="21"/>
                      <w:lang w:val="en-US" w:eastAsia="zh-CN"/>
                    </w:rPr>
                  </w:pPr>
                </w:p>
              </w:tc>
              <w:tc>
                <w:tcPr>
                  <w:tcW w:w="1401" w:type="dxa"/>
                  <w:vMerge w:val="continue"/>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夜间</w:t>
                  </w:r>
                </w:p>
              </w:tc>
              <w:tc>
                <w:tcPr>
                  <w:tcW w:w="735" w:type="dxa"/>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w:t>
                  </w:r>
                </w:p>
              </w:tc>
              <w:tc>
                <w:tcPr>
                  <w:tcW w:w="1885" w:type="dxa"/>
                  <w:vMerge w:val="continue"/>
                  <w:vAlign w:val="top"/>
                </w:tcPr>
                <w:p>
                  <w:pPr>
                    <w:keepNext w:val="0"/>
                    <w:keepLines w:val="0"/>
                    <w:pageBreakBefore w:val="0"/>
                    <w:kinsoku/>
                    <w:wordWrap/>
                    <w:overflowPunct/>
                    <w:topLinePunct w:val="0"/>
                    <w:autoSpaceDE/>
                    <w:autoSpaceDN/>
                    <w:bidi w:val="0"/>
                    <w:adjustRightInd/>
                    <w:snapToGrid/>
                    <w:spacing w:line="240" w:lineRule="auto"/>
                    <w:ind w:right="0" w:firstLine="0" w:firstLineChars="0"/>
                    <w:jc w:val="left"/>
                    <w:outlineLvl w:val="9"/>
                    <w:rPr>
                      <w:rFonts w:hint="eastAsia" w:ascii="Times New Roman" w:hAnsi="Times New Roman" w:eastAsia="宋体" w:cs="Times New Roman"/>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ascii="Times New Roman" w:hAnsi="Times New Roman" w:cs="Times New Roman"/>
                <w:sz w:val="24"/>
                <w:szCs w:val="24"/>
              </w:rPr>
            </w:pPr>
            <w:r>
              <w:rPr>
                <w:rFonts w:ascii="Times New Roman" w:hAnsi="Times New Roman" w:cs="Times New Roman"/>
                <w:sz w:val="24"/>
                <w:szCs w:val="24"/>
              </w:rPr>
              <w:t>项目所在区域声环境满足《声环境质量标准》（GB3096-2008）2类标准。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b/>
                <w:bCs/>
                <w:kern w:val="0"/>
              </w:rPr>
            </w:pPr>
            <w:r>
              <w:rPr>
                <w:rFonts w:hint="eastAsia"/>
                <w:b/>
                <w:bCs/>
                <w:kern w:val="0"/>
              </w:rPr>
              <w:t>4、生态环境</w:t>
            </w:r>
          </w:p>
          <w:p>
            <w:pPr>
              <w:adjustRightInd w:val="0"/>
              <w:snapToGrid w:val="0"/>
              <w:spacing w:line="360" w:lineRule="auto"/>
              <w:ind w:firstLine="480" w:firstLineChars="200"/>
              <w:jc w:val="left"/>
              <w:rPr>
                <w:kern w:val="0"/>
              </w:rPr>
            </w:pPr>
            <w:r>
              <w:rPr>
                <w:rFonts w:hint="eastAsia"/>
                <w:kern w:val="0"/>
              </w:rPr>
              <w:t>本项目位于</w:t>
            </w:r>
            <w:r>
              <w:rPr>
                <w:rFonts w:hint="eastAsia" w:cs="Times New Roman"/>
                <w:color w:val="auto"/>
                <w:lang w:val="en-US" w:eastAsia="zh-CN"/>
              </w:rPr>
              <w:t>安徽省宿州市萧县杨楼镇陇海铁路南侧100号</w:t>
            </w:r>
            <w:r>
              <w:rPr>
                <w:rFonts w:hint="eastAsia"/>
                <w:kern w:val="0"/>
              </w:rPr>
              <w:t>，属于工业用地，不涉及新增用地。</w:t>
            </w:r>
          </w:p>
          <w:p>
            <w:pPr>
              <w:adjustRightInd w:val="0"/>
              <w:snapToGrid w:val="0"/>
              <w:spacing w:line="360" w:lineRule="auto"/>
              <w:jc w:val="left"/>
              <w:rPr>
                <w:b/>
                <w:bCs/>
                <w:kern w:val="0"/>
              </w:rPr>
            </w:pPr>
            <w:r>
              <w:rPr>
                <w:rFonts w:hint="eastAsia"/>
                <w:b/>
                <w:bCs/>
                <w:kern w:val="0"/>
              </w:rPr>
              <w:t>5、电磁辐射</w:t>
            </w:r>
          </w:p>
          <w:p>
            <w:pPr>
              <w:adjustRightInd w:val="0"/>
              <w:snapToGrid w:val="0"/>
              <w:spacing w:line="360" w:lineRule="auto"/>
              <w:ind w:firstLine="480" w:firstLineChars="200"/>
              <w:jc w:val="left"/>
              <w:rPr>
                <w:kern w:val="0"/>
              </w:rPr>
            </w:pPr>
            <w:r>
              <w:rPr>
                <w:rFonts w:hint="eastAsia"/>
                <w:kern w:val="0"/>
              </w:rPr>
              <w:t>本项目无电磁辐射。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tcPr>
          <w:p>
            <w:pPr>
              <w:pStyle w:val="24"/>
              <w:adjustRightInd w:val="0"/>
              <w:snapToGrid w:val="0"/>
              <w:spacing w:before="0" w:beforeAutospacing="0" w:after="0" w:afterAutospacing="0" w:line="360" w:lineRule="auto"/>
              <w:jc w:val="center"/>
              <w:outlineLvl w:val="0"/>
              <w:rPr>
                <w:rFonts w:ascii="Times New Roman" w:hAnsi="Times New Roman"/>
                <w:snapToGrid w:val="0"/>
                <w:color w:val="000000"/>
                <w:szCs w:val="24"/>
              </w:rPr>
            </w:pPr>
          </w:p>
          <w:p>
            <w:pPr>
              <w:pStyle w:val="24"/>
              <w:adjustRightInd w:val="0"/>
              <w:snapToGrid w:val="0"/>
              <w:spacing w:before="0" w:beforeAutospacing="0" w:after="0" w:afterAutospacing="0" w:line="360" w:lineRule="auto"/>
              <w:jc w:val="center"/>
              <w:outlineLvl w:val="0"/>
              <w:rPr>
                <w:rFonts w:ascii="Times New Roman" w:hAnsi="Times New Roman"/>
                <w:snapToGrid w:val="0"/>
                <w:color w:val="000000"/>
                <w:szCs w:val="24"/>
              </w:rPr>
            </w:pPr>
          </w:p>
          <w:p>
            <w:pPr>
              <w:pStyle w:val="24"/>
              <w:adjustRightInd w:val="0"/>
              <w:snapToGrid w:val="0"/>
              <w:spacing w:before="0" w:beforeAutospacing="0" w:after="0" w:afterAutospacing="0" w:line="360" w:lineRule="auto"/>
              <w:jc w:val="center"/>
              <w:outlineLvl w:val="0"/>
              <w:rPr>
                <w:rFonts w:ascii="Times New Roman" w:hAnsi="Times New Roman"/>
                <w:snapToGrid w:val="0"/>
                <w:color w:val="000000"/>
                <w:szCs w:val="24"/>
              </w:rPr>
            </w:pPr>
          </w:p>
          <w:p>
            <w:pPr>
              <w:pStyle w:val="24"/>
              <w:adjustRightInd w:val="0"/>
              <w:snapToGrid w:val="0"/>
              <w:spacing w:before="0" w:beforeAutospacing="0" w:after="0" w:afterAutospacing="0" w:line="360" w:lineRule="auto"/>
              <w:jc w:val="center"/>
              <w:outlineLvl w:val="0"/>
              <w:rPr>
                <w:rFonts w:ascii="Times New Roman" w:hAnsi="Times New Roman"/>
                <w:snapToGrid w:val="0"/>
                <w:color w:val="000000"/>
                <w:szCs w:val="24"/>
              </w:rPr>
            </w:pPr>
          </w:p>
          <w:p>
            <w:pPr>
              <w:pStyle w:val="24"/>
              <w:adjustRightInd w:val="0"/>
              <w:snapToGrid w:val="0"/>
              <w:spacing w:before="0" w:beforeAutospacing="0" w:after="0" w:afterAutospacing="0" w:line="360" w:lineRule="auto"/>
              <w:jc w:val="center"/>
              <w:outlineLvl w:val="0"/>
              <w:rPr>
                <w:rFonts w:ascii="Times New Roman" w:hAnsi="Times New Roman"/>
                <w:snapToGrid w:val="0"/>
                <w:color w:val="000000"/>
                <w:szCs w:val="24"/>
              </w:rPr>
            </w:pPr>
          </w:p>
          <w:p>
            <w:pPr>
              <w:pStyle w:val="24"/>
              <w:adjustRightInd w:val="0"/>
              <w:snapToGrid w:val="0"/>
              <w:spacing w:before="0" w:beforeAutospacing="0" w:after="0" w:afterAutospacing="0" w:line="360" w:lineRule="auto"/>
              <w:jc w:val="center"/>
              <w:outlineLvl w:val="0"/>
              <w:rPr>
                <w:rFonts w:ascii="Times New Roman" w:hAnsi="Times New Roman"/>
                <w:snapToGrid w:val="0"/>
                <w:color w:val="000000"/>
                <w:szCs w:val="24"/>
              </w:rPr>
            </w:pPr>
          </w:p>
          <w:p>
            <w:pPr>
              <w:pStyle w:val="24"/>
              <w:adjustRightInd w:val="0"/>
              <w:snapToGrid w:val="0"/>
              <w:spacing w:before="0" w:beforeAutospacing="0" w:after="0" w:afterAutospacing="0" w:line="360" w:lineRule="auto"/>
              <w:jc w:val="center"/>
              <w:outlineLvl w:val="0"/>
              <w:rPr>
                <w:rFonts w:ascii="Times New Roman" w:hAnsi="Times New Roman"/>
                <w:snapToGrid w:val="0"/>
                <w:color w:val="000000"/>
                <w:szCs w:val="24"/>
              </w:rPr>
            </w:pPr>
          </w:p>
          <w:p>
            <w:pPr>
              <w:pStyle w:val="24"/>
              <w:adjustRightInd w:val="0"/>
              <w:snapToGrid w:val="0"/>
              <w:spacing w:before="0" w:beforeAutospacing="0" w:after="0" w:afterAutospacing="0" w:line="360" w:lineRule="auto"/>
              <w:jc w:val="center"/>
              <w:outlineLvl w:val="0"/>
              <w:rPr>
                <w:rFonts w:ascii="Times New Roman" w:hAnsi="Times New Roman"/>
                <w:snapToGrid w:val="0"/>
                <w:color w:val="000000"/>
                <w:szCs w:val="24"/>
              </w:rPr>
            </w:pPr>
          </w:p>
          <w:p>
            <w:pPr>
              <w:pStyle w:val="24"/>
              <w:adjustRightInd w:val="0"/>
              <w:snapToGrid w:val="0"/>
              <w:spacing w:before="0" w:beforeAutospacing="0" w:after="0" w:afterAutospacing="0" w:line="360" w:lineRule="auto"/>
              <w:jc w:val="center"/>
              <w:outlineLvl w:val="0"/>
              <w:rPr>
                <w:rFonts w:ascii="Times New Roman" w:hAnsi="Times New Roman"/>
              </w:rPr>
            </w:pPr>
            <w:r>
              <w:rPr>
                <w:rFonts w:hint="eastAsia" w:ascii="Times New Roman" w:hAnsi="Times New Roman"/>
                <w:snapToGrid w:val="0"/>
                <w:color w:val="000000"/>
                <w:szCs w:val="24"/>
              </w:rPr>
              <w:t>环境保护目标</w:t>
            </w:r>
          </w:p>
        </w:tc>
        <w:tc>
          <w:tcPr>
            <w:tcW w:w="8190" w:type="dxa"/>
          </w:tcPr>
          <w:p>
            <w:pPr>
              <w:adjustRightInd w:val="0"/>
              <w:snapToGrid w:val="0"/>
              <w:spacing w:before="120" w:beforeLines="50" w:line="360" w:lineRule="auto"/>
              <w:rPr>
                <w:b/>
                <w:bCs/>
                <w:kern w:val="0"/>
              </w:rPr>
            </w:pPr>
            <w:r>
              <w:rPr>
                <w:b/>
                <w:bCs/>
                <w:kern w:val="0"/>
              </w:rPr>
              <w:t>1、大气环境</w:t>
            </w:r>
          </w:p>
          <w:p>
            <w:pPr>
              <w:keepNext w:val="0"/>
              <w:keepLines w:val="0"/>
              <w:suppressLineNumbers w:val="0"/>
              <w:spacing w:before="0" w:beforeAutospacing="0" w:after="0" w:afterAutospacing="0"/>
              <w:ind w:left="-7" w:leftChars="-19" w:right="0" w:hanging="39" w:hangingChars="16"/>
              <w:jc w:val="center"/>
              <w:rPr>
                <w:rFonts w:hint="default" w:ascii="Times New Roman" w:hAnsi="Times New Roman"/>
                <w:color w:val="auto"/>
                <w:sz w:val="24"/>
              </w:rPr>
            </w:pPr>
            <w:r>
              <w:rPr>
                <w:rFonts w:hint="default" w:ascii="Times New Roman" w:hAnsi="Times New Roman"/>
                <w:b/>
                <w:color w:val="auto"/>
                <w:sz w:val="24"/>
              </w:rPr>
              <w:t>表3</w:t>
            </w:r>
            <w:r>
              <w:rPr>
                <w:rFonts w:hint="eastAsia" w:ascii="Times New Roman" w:hAnsi="Times New Roman"/>
                <w:b/>
                <w:color w:val="auto"/>
                <w:sz w:val="24"/>
                <w:lang w:val="en-US" w:eastAsia="zh-CN"/>
              </w:rPr>
              <w:t>.</w:t>
            </w:r>
            <w:r>
              <w:rPr>
                <w:rFonts w:hint="eastAsia"/>
                <w:b/>
                <w:color w:val="auto"/>
                <w:sz w:val="24"/>
                <w:lang w:val="en-US" w:eastAsia="zh-CN"/>
              </w:rPr>
              <w:t xml:space="preserve">6 </w:t>
            </w:r>
            <w:r>
              <w:rPr>
                <w:rFonts w:hint="default" w:ascii="Times New Roman" w:hAnsi="Times New Roman"/>
                <w:b/>
                <w:color w:val="auto"/>
                <w:sz w:val="24"/>
              </w:rPr>
              <w:t xml:space="preserve"> 大气环境保护目标一览表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74"/>
              <w:gridCol w:w="918"/>
              <w:gridCol w:w="1117"/>
              <w:gridCol w:w="1162"/>
              <w:gridCol w:w="1000"/>
              <w:gridCol w:w="927"/>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Merge w:val="restart"/>
                  <w:tcBorders>
                    <w:top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环境保护</w:t>
                  </w:r>
                </w:p>
                <w:p>
                  <w:pPr>
                    <w:pStyle w:val="77"/>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目标名称</w:t>
                  </w:r>
                </w:p>
              </w:tc>
              <w:tc>
                <w:tcPr>
                  <w:tcW w:w="1692" w:type="dxa"/>
                  <w:gridSpan w:val="2"/>
                  <w:tcBorders>
                    <w:top w:val="single" w:color="auto" w:sz="4" w:space="0"/>
                    <w:bottom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坐标/m</w:t>
                  </w:r>
                </w:p>
              </w:tc>
              <w:tc>
                <w:tcPr>
                  <w:tcW w:w="1117" w:type="dxa"/>
                  <w:vMerge w:val="restart"/>
                  <w:tcBorders>
                    <w:top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保护</w:t>
                  </w:r>
                </w:p>
                <w:p>
                  <w:pPr>
                    <w:pStyle w:val="77"/>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对象</w:t>
                  </w:r>
                </w:p>
              </w:tc>
              <w:tc>
                <w:tcPr>
                  <w:tcW w:w="1162" w:type="dxa"/>
                  <w:vMerge w:val="restart"/>
                  <w:tcBorders>
                    <w:top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保护内容</w:t>
                  </w:r>
                </w:p>
              </w:tc>
              <w:tc>
                <w:tcPr>
                  <w:tcW w:w="1000" w:type="dxa"/>
                  <w:vMerge w:val="restart"/>
                  <w:tcBorders>
                    <w:top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环境功能区</w:t>
                  </w:r>
                </w:p>
              </w:tc>
              <w:tc>
                <w:tcPr>
                  <w:tcW w:w="927" w:type="dxa"/>
                  <w:vMerge w:val="restart"/>
                  <w:tcBorders>
                    <w:top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相对厂址方位</w:t>
                  </w:r>
                </w:p>
              </w:tc>
              <w:tc>
                <w:tcPr>
                  <w:tcW w:w="831" w:type="dxa"/>
                  <w:vMerge w:val="restart"/>
                  <w:tcBorders>
                    <w:top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Merge w:val="continue"/>
                  <w:tcBorders>
                    <w:bottom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774" w:type="dxa"/>
                  <w:tcBorders>
                    <w:top w:val="single" w:color="auto" w:sz="4" w:space="0"/>
                    <w:bottom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X</w:t>
                  </w:r>
                </w:p>
              </w:tc>
              <w:tc>
                <w:tcPr>
                  <w:tcW w:w="918" w:type="dxa"/>
                  <w:tcBorders>
                    <w:top w:val="single" w:color="auto" w:sz="4" w:space="0"/>
                    <w:bottom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Y</w:t>
                  </w:r>
                </w:p>
              </w:tc>
              <w:tc>
                <w:tcPr>
                  <w:tcW w:w="1117" w:type="dxa"/>
                  <w:vMerge w:val="continue"/>
                  <w:tcBorders>
                    <w:bottom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1162" w:type="dxa"/>
                  <w:vMerge w:val="continue"/>
                  <w:tcBorders>
                    <w:bottom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1000" w:type="dxa"/>
                  <w:vMerge w:val="continue"/>
                  <w:tcBorders>
                    <w:bottom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927" w:type="dxa"/>
                  <w:vMerge w:val="continue"/>
                  <w:tcBorders>
                    <w:bottom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831" w:type="dxa"/>
                  <w:vMerge w:val="continue"/>
                  <w:tcBorders>
                    <w:bottom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杜庄村</w:t>
                  </w:r>
                </w:p>
              </w:tc>
              <w:tc>
                <w:tcPr>
                  <w:tcW w:w="774"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353</w:t>
                  </w:r>
                </w:p>
              </w:tc>
              <w:tc>
                <w:tcPr>
                  <w:tcW w:w="91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-135</w:t>
                  </w:r>
                </w:p>
              </w:tc>
              <w:tc>
                <w:tcPr>
                  <w:tcW w:w="111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居民点</w:t>
                  </w:r>
                </w:p>
              </w:tc>
              <w:tc>
                <w:tcPr>
                  <w:tcW w:w="1162"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80户</w:t>
                  </w:r>
                </w:p>
              </w:tc>
              <w:tc>
                <w:tcPr>
                  <w:tcW w:w="100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二类区</w:t>
                  </w:r>
                </w:p>
              </w:tc>
              <w:tc>
                <w:tcPr>
                  <w:tcW w:w="92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东南</w:t>
                  </w:r>
                </w:p>
              </w:tc>
              <w:tc>
                <w:tcPr>
                  <w:tcW w:w="831"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cs="Times New Roman"/>
                      <w:color w:val="auto"/>
                      <w:sz w:val="21"/>
                      <w:szCs w:val="21"/>
                      <w:lang w:val="en-US" w:eastAsia="zh-CN"/>
                    </w:rPr>
                  </w:pPr>
                  <w:r>
                    <w:rPr>
                      <w:rFonts w:hint="eastAsia" w:cs="Times New Roman"/>
                      <w:color w:val="auto"/>
                      <w:sz w:val="21"/>
                      <w:szCs w:val="21"/>
                      <w:lang w:val="en-US" w:eastAsia="zh-CN"/>
                    </w:rPr>
                    <w:t>杜庄村（北侧敏感点）</w:t>
                  </w:r>
                </w:p>
              </w:tc>
              <w:tc>
                <w:tcPr>
                  <w:tcW w:w="774"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0</w:t>
                  </w:r>
                </w:p>
              </w:tc>
              <w:tc>
                <w:tcPr>
                  <w:tcW w:w="91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23</w:t>
                  </w:r>
                </w:p>
              </w:tc>
              <w:tc>
                <w:tcPr>
                  <w:tcW w:w="111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居民点</w:t>
                  </w:r>
                </w:p>
              </w:tc>
              <w:tc>
                <w:tcPr>
                  <w:tcW w:w="1162"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10户</w:t>
                  </w:r>
                </w:p>
              </w:tc>
              <w:tc>
                <w:tcPr>
                  <w:tcW w:w="1000"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二类区</w:t>
                  </w:r>
                </w:p>
              </w:tc>
              <w:tc>
                <w:tcPr>
                  <w:tcW w:w="92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cs="Times New Roman"/>
                      <w:color w:val="auto"/>
                      <w:sz w:val="21"/>
                      <w:szCs w:val="21"/>
                      <w:lang w:val="en-US" w:eastAsia="zh-CN"/>
                    </w:rPr>
                  </w:pPr>
                  <w:r>
                    <w:rPr>
                      <w:rFonts w:hint="eastAsia" w:cs="Times New Roman"/>
                      <w:color w:val="auto"/>
                      <w:sz w:val="21"/>
                      <w:szCs w:val="21"/>
                      <w:lang w:val="en-US" w:eastAsia="zh-CN"/>
                    </w:rPr>
                    <w:t>北</w:t>
                  </w:r>
                </w:p>
              </w:tc>
              <w:tc>
                <w:tcPr>
                  <w:tcW w:w="831"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cs="Times New Roman"/>
                      <w:color w:val="auto"/>
                      <w:sz w:val="21"/>
                      <w:szCs w:val="21"/>
                      <w:lang w:val="en-US" w:eastAsia="zh-CN"/>
                    </w:rPr>
                  </w:pPr>
                  <w:r>
                    <w:rPr>
                      <w:rFonts w:hint="eastAsia" w:cs="Times New Roman"/>
                      <w:color w:val="auto"/>
                      <w:sz w:val="21"/>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杨楼村</w:t>
                  </w:r>
                </w:p>
              </w:tc>
              <w:tc>
                <w:tcPr>
                  <w:tcW w:w="774"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w:t>
                  </w:r>
                </w:p>
              </w:tc>
              <w:tc>
                <w:tcPr>
                  <w:tcW w:w="91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273</w:t>
                  </w:r>
                </w:p>
              </w:tc>
              <w:tc>
                <w:tcPr>
                  <w:tcW w:w="111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居民点</w:t>
                  </w:r>
                </w:p>
              </w:tc>
              <w:tc>
                <w:tcPr>
                  <w:tcW w:w="1162"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150户</w:t>
                  </w:r>
                </w:p>
              </w:tc>
              <w:tc>
                <w:tcPr>
                  <w:tcW w:w="100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二类区</w:t>
                  </w:r>
                </w:p>
              </w:tc>
              <w:tc>
                <w:tcPr>
                  <w:tcW w:w="92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北</w:t>
                  </w:r>
                </w:p>
              </w:tc>
              <w:tc>
                <w:tcPr>
                  <w:tcW w:w="831"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杨楼小学</w:t>
                  </w:r>
                </w:p>
              </w:tc>
              <w:tc>
                <w:tcPr>
                  <w:tcW w:w="774"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w:t>
                  </w:r>
                </w:p>
              </w:tc>
              <w:tc>
                <w:tcPr>
                  <w:tcW w:w="91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456</w:t>
                  </w:r>
                </w:p>
              </w:tc>
              <w:tc>
                <w:tcPr>
                  <w:tcW w:w="111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师生</w:t>
                  </w:r>
                </w:p>
              </w:tc>
              <w:tc>
                <w:tcPr>
                  <w:tcW w:w="1162"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800人</w:t>
                  </w:r>
                </w:p>
              </w:tc>
              <w:tc>
                <w:tcPr>
                  <w:tcW w:w="100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二类区</w:t>
                  </w:r>
                </w:p>
              </w:tc>
              <w:tc>
                <w:tcPr>
                  <w:tcW w:w="92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北</w:t>
                  </w:r>
                </w:p>
              </w:tc>
              <w:tc>
                <w:tcPr>
                  <w:tcW w:w="831"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冯庄</w:t>
                  </w:r>
                </w:p>
              </w:tc>
              <w:tc>
                <w:tcPr>
                  <w:tcW w:w="774"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-240</w:t>
                  </w:r>
                </w:p>
              </w:tc>
              <w:tc>
                <w:tcPr>
                  <w:tcW w:w="91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516</w:t>
                  </w:r>
                </w:p>
              </w:tc>
              <w:tc>
                <w:tcPr>
                  <w:tcW w:w="111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居民点</w:t>
                  </w:r>
                </w:p>
              </w:tc>
              <w:tc>
                <w:tcPr>
                  <w:tcW w:w="1162"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50户</w:t>
                  </w:r>
                </w:p>
              </w:tc>
              <w:tc>
                <w:tcPr>
                  <w:tcW w:w="100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二类区</w:t>
                  </w:r>
                </w:p>
              </w:tc>
              <w:tc>
                <w:tcPr>
                  <w:tcW w:w="92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西北</w:t>
                  </w:r>
                </w:p>
              </w:tc>
              <w:tc>
                <w:tcPr>
                  <w:tcW w:w="831"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519</w:t>
                  </w:r>
                </w:p>
              </w:tc>
            </w:tr>
          </w:tbl>
          <w:p>
            <w:pPr>
              <w:pStyle w:val="6"/>
              <w:keepNext/>
              <w:keepLines/>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注：项目以厂区中心点为坐标原点，正东为X轴，正北为Y轴</w:t>
            </w:r>
          </w:p>
          <w:p>
            <w:pPr>
              <w:pStyle w:val="6"/>
              <w:adjustRightInd w:val="0"/>
              <w:snapToGrid w:val="0"/>
              <w:spacing w:before="0" w:after="0" w:line="360" w:lineRule="auto"/>
              <w:rPr>
                <w:rFonts w:ascii="Times New Roman" w:hAnsi="Times New Roman" w:eastAsia="宋体"/>
                <w:bCs/>
                <w:kern w:val="0"/>
              </w:rPr>
            </w:pPr>
            <w:r>
              <w:rPr>
                <w:rFonts w:hint="eastAsia" w:ascii="Times New Roman" w:hAnsi="Times New Roman" w:eastAsia="宋体"/>
                <w:bCs/>
                <w:kern w:val="0"/>
              </w:rPr>
              <w:t>2、地表水</w:t>
            </w:r>
          </w:p>
          <w:p>
            <w:pPr>
              <w:jc w:val="center"/>
              <w:rPr>
                <w:b/>
                <w:bCs/>
              </w:rPr>
            </w:pPr>
            <w:r>
              <w:rPr>
                <w:b/>
                <w:bCs/>
              </w:rPr>
              <w:t>表3</w:t>
            </w:r>
            <w:r>
              <w:rPr>
                <w:rFonts w:hint="eastAsia"/>
                <w:b/>
                <w:bCs/>
              </w:rPr>
              <w:t>.</w:t>
            </w:r>
            <w:r>
              <w:rPr>
                <w:rFonts w:hint="eastAsia"/>
                <w:b/>
                <w:bCs/>
                <w:lang w:val="en-US" w:eastAsia="zh-CN"/>
              </w:rPr>
              <w:t xml:space="preserve">7 </w:t>
            </w:r>
            <w:r>
              <w:rPr>
                <w:b/>
                <w:bCs/>
              </w:rPr>
              <w:t xml:space="preserve"> 水环境保护目标一览表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387"/>
              <w:gridCol w:w="1476"/>
              <w:gridCol w:w="959"/>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Align w:val="center"/>
                </w:tcPr>
                <w:p>
                  <w:pPr>
                    <w:jc w:val="center"/>
                    <w:rPr>
                      <w:b/>
                      <w:bCs/>
                      <w:sz w:val="21"/>
                      <w:szCs w:val="21"/>
                    </w:rPr>
                  </w:pPr>
                  <w:r>
                    <w:rPr>
                      <w:b/>
                      <w:bCs/>
                      <w:sz w:val="21"/>
                      <w:szCs w:val="21"/>
                    </w:rPr>
                    <w:t>环境要素</w:t>
                  </w:r>
                </w:p>
              </w:tc>
              <w:tc>
                <w:tcPr>
                  <w:tcW w:w="1320" w:type="dxa"/>
                  <w:vAlign w:val="center"/>
                </w:tcPr>
                <w:p>
                  <w:pPr>
                    <w:jc w:val="center"/>
                    <w:rPr>
                      <w:b/>
                      <w:bCs/>
                      <w:sz w:val="21"/>
                      <w:szCs w:val="21"/>
                    </w:rPr>
                  </w:pPr>
                  <w:r>
                    <w:rPr>
                      <w:b/>
                      <w:bCs/>
                      <w:sz w:val="21"/>
                      <w:szCs w:val="21"/>
                    </w:rPr>
                    <w:t>环境保护对象名称</w:t>
                  </w:r>
                </w:p>
              </w:tc>
              <w:tc>
                <w:tcPr>
                  <w:tcW w:w="1404" w:type="dxa"/>
                  <w:vAlign w:val="center"/>
                </w:tcPr>
                <w:p>
                  <w:pPr>
                    <w:jc w:val="center"/>
                    <w:rPr>
                      <w:b/>
                      <w:bCs/>
                      <w:sz w:val="21"/>
                      <w:szCs w:val="21"/>
                    </w:rPr>
                  </w:pPr>
                  <w:r>
                    <w:rPr>
                      <w:b/>
                      <w:bCs/>
                      <w:sz w:val="21"/>
                      <w:szCs w:val="21"/>
                    </w:rPr>
                    <w:t>方位/距离（m）</w:t>
                  </w:r>
                </w:p>
              </w:tc>
              <w:tc>
                <w:tcPr>
                  <w:tcW w:w="912" w:type="dxa"/>
                  <w:vAlign w:val="center"/>
                </w:tcPr>
                <w:p>
                  <w:pPr>
                    <w:jc w:val="center"/>
                    <w:rPr>
                      <w:b/>
                      <w:bCs/>
                      <w:sz w:val="21"/>
                      <w:szCs w:val="21"/>
                    </w:rPr>
                  </w:pPr>
                  <w:r>
                    <w:rPr>
                      <w:b/>
                      <w:bCs/>
                      <w:sz w:val="21"/>
                      <w:szCs w:val="21"/>
                    </w:rPr>
                    <w:t>规模</w:t>
                  </w:r>
                </w:p>
              </w:tc>
              <w:tc>
                <w:tcPr>
                  <w:tcW w:w="2745" w:type="dxa"/>
                  <w:vAlign w:val="center"/>
                </w:tcPr>
                <w:p>
                  <w:pPr>
                    <w:jc w:val="center"/>
                    <w:rPr>
                      <w:b/>
                      <w:bCs/>
                      <w:sz w:val="21"/>
                      <w:szCs w:val="21"/>
                    </w:rPr>
                  </w:pPr>
                  <w:r>
                    <w:rPr>
                      <w:b/>
                      <w:bCs/>
                      <w:sz w:val="21"/>
                      <w:szCs w:val="21"/>
                    </w:rPr>
                    <w:t>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Align w:val="center"/>
                </w:tcPr>
                <w:p>
                  <w:pPr>
                    <w:jc w:val="center"/>
                    <w:rPr>
                      <w:sz w:val="21"/>
                      <w:szCs w:val="21"/>
                    </w:rPr>
                  </w:pPr>
                  <w:r>
                    <w:rPr>
                      <w:rFonts w:ascii="Times New Roman" w:hAnsi="Times New Roman"/>
                      <w:color w:val="auto"/>
                      <w:sz w:val="21"/>
                      <w:szCs w:val="21"/>
                    </w:rPr>
                    <w:t>地表水</w:t>
                  </w:r>
                </w:p>
              </w:tc>
              <w:tc>
                <w:tcPr>
                  <w:tcW w:w="1320" w:type="dxa"/>
                  <w:vAlign w:val="center"/>
                </w:tcPr>
                <w:p>
                  <w:pPr>
                    <w:jc w:val="center"/>
                    <w:rPr>
                      <w:rFonts w:hint="default" w:eastAsia="宋体"/>
                      <w:sz w:val="21"/>
                      <w:szCs w:val="21"/>
                      <w:lang w:val="en-US" w:eastAsia="zh-CN"/>
                    </w:rPr>
                  </w:pPr>
                  <w:r>
                    <w:rPr>
                      <w:rFonts w:hint="eastAsia"/>
                      <w:sz w:val="21"/>
                      <w:szCs w:val="21"/>
                      <w:lang w:val="en-US" w:eastAsia="zh-CN"/>
                    </w:rPr>
                    <w:t>岱河上段</w:t>
                  </w:r>
                </w:p>
              </w:tc>
              <w:tc>
                <w:tcPr>
                  <w:tcW w:w="1404" w:type="dxa"/>
                  <w:vAlign w:val="center"/>
                </w:tcPr>
                <w:p>
                  <w:pPr>
                    <w:jc w:val="center"/>
                    <w:rPr>
                      <w:rFonts w:hint="default"/>
                      <w:sz w:val="21"/>
                      <w:szCs w:val="21"/>
                      <w:lang w:val="en-US"/>
                    </w:rPr>
                  </w:pPr>
                  <w:r>
                    <w:rPr>
                      <w:rFonts w:hint="eastAsia"/>
                      <w:bCs/>
                      <w:color w:val="auto"/>
                      <w:sz w:val="21"/>
                      <w:szCs w:val="21"/>
                      <w:lang w:val="en-US" w:eastAsia="zh-CN"/>
                    </w:rPr>
                    <w:t>西南580</w:t>
                  </w:r>
                </w:p>
              </w:tc>
              <w:tc>
                <w:tcPr>
                  <w:tcW w:w="912" w:type="dxa"/>
                  <w:vAlign w:val="center"/>
                </w:tcPr>
                <w:p>
                  <w:pPr>
                    <w:jc w:val="center"/>
                    <w:rPr>
                      <w:sz w:val="21"/>
                      <w:szCs w:val="21"/>
                    </w:rPr>
                  </w:pPr>
                  <w:r>
                    <w:rPr>
                      <w:rFonts w:ascii="Times New Roman" w:hAnsi="Times New Roman"/>
                      <w:color w:val="auto"/>
                      <w:sz w:val="21"/>
                      <w:szCs w:val="21"/>
                    </w:rPr>
                    <w:t>小河</w:t>
                  </w:r>
                </w:p>
              </w:tc>
              <w:tc>
                <w:tcPr>
                  <w:tcW w:w="2745" w:type="dxa"/>
                  <w:vAlign w:val="center"/>
                </w:tcPr>
                <w:p>
                  <w:pPr>
                    <w:jc w:val="center"/>
                    <w:rPr>
                      <w:sz w:val="21"/>
                      <w:szCs w:val="21"/>
                    </w:rPr>
                  </w:pPr>
                  <w:r>
                    <w:rPr>
                      <w:rFonts w:ascii="Times New Roman" w:hAnsi="Times New Roman"/>
                      <w:color w:val="auto"/>
                      <w:sz w:val="21"/>
                      <w:szCs w:val="21"/>
                    </w:rPr>
                    <w:t>《地表水环境质量标准》（GB3838-2002）</w:t>
                  </w:r>
                  <w:r>
                    <w:rPr>
                      <w:rFonts w:hint="default" w:ascii="Times New Roman" w:hAnsi="Times New Roman" w:cs="Times New Roman"/>
                      <w:color w:val="auto"/>
                      <w:sz w:val="21"/>
                      <w:szCs w:val="21"/>
                      <w:lang w:val="en-US" w:eastAsia="zh-CN"/>
                    </w:rPr>
                    <w:t>Ⅳ</w:t>
                  </w:r>
                  <w:r>
                    <w:rPr>
                      <w:rFonts w:ascii="Times New Roman" w:hAnsi="Times New Roman"/>
                      <w:color w:val="auto"/>
                      <w:sz w:val="21"/>
                      <w:szCs w:val="21"/>
                    </w:rPr>
                    <w:t>类</w:t>
                  </w:r>
                </w:p>
              </w:tc>
            </w:tr>
          </w:tbl>
          <w:p>
            <w:pPr>
              <w:adjustRightInd w:val="0"/>
              <w:snapToGrid w:val="0"/>
              <w:spacing w:before="120" w:beforeLines="50" w:line="360" w:lineRule="auto"/>
              <w:rPr>
                <w:b/>
                <w:bCs/>
                <w:kern w:val="0"/>
              </w:rPr>
            </w:pPr>
            <w:r>
              <w:rPr>
                <w:rFonts w:hint="eastAsia"/>
                <w:b/>
                <w:bCs/>
                <w:kern w:val="0"/>
              </w:rPr>
              <w:t>3</w:t>
            </w:r>
            <w:r>
              <w:rPr>
                <w:b/>
                <w:bCs/>
                <w:kern w:val="0"/>
              </w:rPr>
              <w:t>、声环境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39" w:leftChars="0" w:right="0" w:hanging="39" w:hangingChars="16"/>
              <w:jc w:val="center"/>
              <w:textAlignment w:val="auto"/>
              <w:rPr>
                <w:rFonts w:hint="default" w:ascii="Times New Roman" w:hAnsi="Times New Roman"/>
                <w:color w:val="auto"/>
                <w:sz w:val="24"/>
              </w:rPr>
            </w:pPr>
            <w:r>
              <w:rPr>
                <w:rFonts w:hint="default" w:ascii="Times New Roman" w:hAnsi="Times New Roman"/>
                <w:b/>
                <w:color w:val="auto"/>
                <w:sz w:val="24"/>
              </w:rPr>
              <w:t>表3</w:t>
            </w:r>
            <w:r>
              <w:rPr>
                <w:rFonts w:hint="eastAsia" w:ascii="Times New Roman" w:hAnsi="Times New Roman"/>
                <w:b/>
                <w:color w:val="auto"/>
                <w:sz w:val="24"/>
                <w:lang w:val="en-US" w:eastAsia="zh-CN"/>
              </w:rPr>
              <w:t>.</w:t>
            </w:r>
            <w:r>
              <w:rPr>
                <w:rFonts w:hint="eastAsia"/>
                <w:b/>
                <w:color w:val="auto"/>
                <w:sz w:val="24"/>
                <w:lang w:val="en-US" w:eastAsia="zh-CN"/>
              </w:rPr>
              <w:t>8</w:t>
            </w:r>
            <w:r>
              <w:rPr>
                <w:rFonts w:hint="default" w:ascii="Times New Roman" w:hAnsi="Times New Roman"/>
                <w:b/>
                <w:color w:val="auto"/>
                <w:sz w:val="24"/>
              </w:rPr>
              <w:t xml:space="preserve">  </w:t>
            </w:r>
            <w:r>
              <w:rPr>
                <w:rFonts w:hint="eastAsia" w:ascii="Times New Roman" w:hAnsi="Times New Roman"/>
                <w:b/>
                <w:color w:val="auto"/>
                <w:sz w:val="24"/>
                <w:lang w:val="en-US" w:eastAsia="zh-CN"/>
              </w:rPr>
              <w:t>声</w:t>
            </w:r>
            <w:r>
              <w:rPr>
                <w:rFonts w:hint="default" w:ascii="Times New Roman" w:hAnsi="Times New Roman"/>
                <w:b/>
                <w:color w:val="auto"/>
                <w:sz w:val="24"/>
              </w:rPr>
              <w:t>环境保护目标一览表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418"/>
              <w:gridCol w:w="1475"/>
              <w:gridCol w:w="1270"/>
              <w:gridCol w:w="1177"/>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Merge w:val="restart"/>
                  <w:tcBorders>
                    <w:top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环境保护</w:t>
                  </w:r>
                </w:p>
                <w:p>
                  <w:pPr>
                    <w:pStyle w:val="77"/>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目标名称</w:t>
                  </w:r>
                </w:p>
              </w:tc>
              <w:tc>
                <w:tcPr>
                  <w:tcW w:w="1117" w:type="dxa"/>
                  <w:vMerge w:val="restart"/>
                  <w:tcBorders>
                    <w:top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保护</w:t>
                  </w:r>
                </w:p>
                <w:p>
                  <w:pPr>
                    <w:pStyle w:val="77"/>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对象</w:t>
                  </w:r>
                </w:p>
              </w:tc>
              <w:tc>
                <w:tcPr>
                  <w:tcW w:w="1162" w:type="dxa"/>
                  <w:vMerge w:val="restart"/>
                  <w:tcBorders>
                    <w:top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保护内容</w:t>
                  </w:r>
                </w:p>
              </w:tc>
              <w:tc>
                <w:tcPr>
                  <w:tcW w:w="1000" w:type="dxa"/>
                  <w:vMerge w:val="restart"/>
                  <w:tcBorders>
                    <w:top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环境功能区</w:t>
                  </w:r>
                </w:p>
              </w:tc>
              <w:tc>
                <w:tcPr>
                  <w:tcW w:w="927" w:type="dxa"/>
                  <w:vMerge w:val="restart"/>
                  <w:tcBorders>
                    <w:top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相对厂址方位</w:t>
                  </w:r>
                </w:p>
              </w:tc>
              <w:tc>
                <w:tcPr>
                  <w:tcW w:w="831" w:type="dxa"/>
                  <w:vMerge w:val="restart"/>
                  <w:tcBorders>
                    <w:top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Merge w:val="continue"/>
                  <w:tcBorders>
                    <w:bottom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1117" w:type="dxa"/>
                  <w:vMerge w:val="continue"/>
                  <w:tcBorders>
                    <w:bottom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1162" w:type="dxa"/>
                  <w:vMerge w:val="continue"/>
                  <w:tcBorders>
                    <w:bottom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1000" w:type="dxa"/>
                  <w:vMerge w:val="continue"/>
                  <w:tcBorders>
                    <w:bottom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927" w:type="dxa"/>
                  <w:vMerge w:val="continue"/>
                  <w:tcBorders>
                    <w:bottom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831" w:type="dxa"/>
                  <w:vMerge w:val="continue"/>
                  <w:tcBorders>
                    <w:bottom w:val="single" w:color="auto" w:sz="4" w:space="0"/>
                  </w:tcBorders>
                  <w:vAlign w:val="center"/>
                </w:tcPr>
                <w:p>
                  <w:pPr>
                    <w:pStyle w:val="77"/>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杜庄村（北侧敏感点）</w:t>
                  </w:r>
                </w:p>
              </w:tc>
              <w:tc>
                <w:tcPr>
                  <w:tcW w:w="111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居民点</w:t>
                  </w:r>
                </w:p>
              </w:tc>
              <w:tc>
                <w:tcPr>
                  <w:tcW w:w="1162"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10户</w:t>
                  </w:r>
                </w:p>
              </w:tc>
              <w:tc>
                <w:tcPr>
                  <w:tcW w:w="100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二类区</w:t>
                  </w:r>
                </w:p>
              </w:tc>
              <w:tc>
                <w:tcPr>
                  <w:tcW w:w="92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北</w:t>
                  </w:r>
                </w:p>
              </w:tc>
              <w:tc>
                <w:tcPr>
                  <w:tcW w:w="831"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23</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b/>
                <w:bCs/>
                <w:kern w:val="0"/>
              </w:rPr>
            </w:pPr>
            <w:r>
              <w:rPr>
                <w:rFonts w:hint="eastAsia"/>
                <w:b/>
                <w:bCs/>
                <w:kern w:val="0"/>
              </w:rPr>
              <w:t>4</w:t>
            </w:r>
            <w:r>
              <w:rPr>
                <w:b/>
                <w:bCs/>
                <w:kern w:val="0"/>
              </w:rPr>
              <w:t>、地下水环境</w:t>
            </w:r>
          </w:p>
          <w:p>
            <w:pPr>
              <w:adjustRightInd w:val="0"/>
              <w:snapToGrid w:val="0"/>
              <w:spacing w:line="360" w:lineRule="auto"/>
              <w:ind w:firstLine="480" w:firstLineChars="200"/>
              <w:rPr>
                <w:kern w:val="0"/>
              </w:rPr>
            </w:pPr>
            <w:r>
              <w:rPr>
                <w:rFonts w:hint="eastAsia"/>
                <w:kern w:val="0"/>
              </w:rPr>
              <w:t>厂界外500m范围内无地下水集中式引用水水源和热水、矿泉水、温泉等特殊地下水资源。</w:t>
            </w:r>
          </w:p>
          <w:p>
            <w:pPr>
              <w:adjustRightInd w:val="0"/>
              <w:snapToGrid w:val="0"/>
              <w:spacing w:line="360" w:lineRule="auto"/>
              <w:rPr>
                <w:b/>
                <w:bCs/>
                <w:kern w:val="0"/>
              </w:rPr>
            </w:pPr>
            <w:r>
              <w:rPr>
                <w:rFonts w:hint="eastAsia"/>
                <w:b/>
                <w:bCs/>
                <w:kern w:val="0"/>
              </w:rPr>
              <w:t>5、生态环境</w:t>
            </w:r>
          </w:p>
          <w:p>
            <w:pPr>
              <w:adjustRightInd w:val="0"/>
              <w:snapToGrid w:val="0"/>
              <w:spacing w:line="360" w:lineRule="auto"/>
              <w:ind w:firstLine="480" w:firstLineChars="200"/>
              <w:jc w:val="left"/>
              <w:rPr>
                <w:rFonts w:hint="default" w:eastAsia="宋体"/>
                <w:kern w:val="0"/>
                <w:lang w:val="en-US" w:eastAsia="zh-CN"/>
              </w:rPr>
            </w:pPr>
            <w:r>
              <w:rPr>
                <w:rFonts w:hint="eastAsia"/>
                <w:color w:val="auto"/>
                <w:kern w:val="0"/>
              </w:rPr>
              <w:t>本项目位于</w:t>
            </w:r>
            <w:r>
              <w:rPr>
                <w:rFonts w:hint="eastAsia" w:cs="Times New Roman"/>
                <w:color w:val="auto"/>
                <w:lang w:val="en-US" w:eastAsia="zh-CN"/>
              </w:rPr>
              <w:t>安徽省宿州市萧县杨楼镇陇海铁路南侧100号</w:t>
            </w:r>
            <w:r>
              <w:rPr>
                <w:rFonts w:hint="eastAsia"/>
                <w:color w:val="auto"/>
                <w:kern w:val="0"/>
              </w:rPr>
              <w:t>，不涉及新增用地。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00" w:type="dxa"/>
          </w:tcPr>
          <w:p>
            <w:pPr>
              <w:pStyle w:val="24"/>
              <w:snapToGrid w:val="0"/>
              <w:spacing w:before="0" w:beforeAutospacing="0" w:after="0" w:afterAutospacing="0"/>
              <w:jc w:val="both"/>
              <w:outlineLvl w:val="0"/>
              <w:rPr>
                <w:rFonts w:ascii="Times New Roman" w:hAnsi="Times New Roman"/>
                <w:snapToGrid w:val="0"/>
                <w:color w:val="000000"/>
                <w:szCs w:val="24"/>
              </w:rPr>
            </w:pPr>
          </w:p>
          <w:p>
            <w:pPr>
              <w:pStyle w:val="24"/>
              <w:snapToGrid w:val="0"/>
              <w:spacing w:before="0" w:beforeAutospacing="0" w:after="0" w:afterAutospacing="0"/>
              <w:jc w:val="both"/>
              <w:outlineLvl w:val="0"/>
              <w:rPr>
                <w:rFonts w:ascii="Times New Roman" w:hAnsi="Times New Roman"/>
                <w:snapToGrid w:val="0"/>
                <w:color w:val="000000"/>
                <w:szCs w:val="24"/>
              </w:rPr>
            </w:pPr>
          </w:p>
          <w:p>
            <w:pPr>
              <w:pStyle w:val="24"/>
              <w:snapToGrid w:val="0"/>
              <w:spacing w:before="0" w:beforeAutospacing="0" w:after="0" w:afterAutospacing="0"/>
              <w:jc w:val="both"/>
              <w:outlineLvl w:val="0"/>
              <w:rPr>
                <w:rFonts w:ascii="Times New Roman" w:hAnsi="Times New Roman"/>
                <w:snapToGrid w:val="0"/>
                <w:color w:val="000000"/>
                <w:szCs w:val="24"/>
              </w:rPr>
            </w:pPr>
          </w:p>
          <w:p>
            <w:pPr>
              <w:pStyle w:val="24"/>
              <w:snapToGrid w:val="0"/>
              <w:spacing w:before="0" w:beforeAutospacing="0" w:after="0" w:afterAutospacing="0"/>
              <w:jc w:val="both"/>
              <w:outlineLvl w:val="0"/>
              <w:rPr>
                <w:rFonts w:ascii="Times New Roman" w:hAnsi="Times New Roman"/>
                <w:snapToGrid w:val="0"/>
                <w:color w:val="000000"/>
                <w:szCs w:val="24"/>
              </w:rPr>
            </w:pPr>
          </w:p>
          <w:p>
            <w:pPr>
              <w:pStyle w:val="24"/>
              <w:snapToGrid w:val="0"/>
              <w:spacing w:before="0" w:beforeAutospacing="0" w:after="0" w:afterAutospacing="0"/>
              <w:jc w:val="both"/>
              <w:outlineLvl w:val="0"/>
              <w:rPr>
                <w:rFonts w:ascii="Times New Roman" w:hAnsi="Times New Roman"/>
                <w:snapToGrid w:val="0"/>
                <w:color w:val="000000"/>
                <w:szCs w:val="24"/>
              </w:rPr>
            </w:pPr>
          </w:p>
          <w:p>
            <w:pPr>
              <w:pStyle w:val="24"/>
              <w:snapToGrid w:val="0"/>
              <w:spacing w:before="0" w:beforeAutospacing="0" w:after="0" w:afterAutospacing="0"/>
              <w:jc w:val="center"/>
              <w:outlineLvl w:val="0"/>
              <w:rPr>
                <w:rFonts w:ascii="Times New Roman" w:hAnsi="Times New Roman"/>
                <w:snapToGrid w:val="0"/>
                <w:color w:val="000000"/>
                <w:szCs w:val="24"/>
              </w:rPr>
            </w:pPr>
          </w:p>
          <w:p>
            <w:pPr>
              <w:pStyle w:val="24"/>
              <w:snapToGrid w:val="0"/>
              <w:spacing w:before="0" w:beforeAutospacing="0" w:after="0" w:afterAutospacing="0"/>
              <w:jc w:val="center"/>
              <w:outlineLvl w:val="0"/>
              <w:rPr>
                <w:rFonts w:ascii="Times New Roman" w:hAnsi="Times New Roman"/>
                <w:snapToGrid w:val="0"/>
                <w:color w:val="000000"/>
                <w:szCs w:val="24"/>
              </w:rPr>
            </w:pPr>
          </w:p>
          <w:p>
            <w:pPr>
              <w:pStyle w:val="24"/>
              <w:snapToGrid w:val="0"/>
              <w:spacing w:before="0" w:beforeAutospacing="0" w:after="0" w:afterAutospacing="0"/>
              <w:jc w:val="center"/>
              <w:outlineLvl w:val="0"/>
              <w:rPr>
                <w:rFonts w:ascii="Times New Roman" w:hAnsi="Times New Roman"/>
                <w:snapToGrid w:val="0"/>
                <w:color w:val="000000"/>
                <w:szCs w:val="24"/>
              </w:rPr>
            </w:pPr>
          </w:p>
          <w:p>
            <w:pPr>
              <w:pStyle w:val="24"/>
              <w:snapToGrid w:val="0"/>
              <w:spacing w:before="0" w:beforeAutospacing="0" w:after="0" w:afterAutospacing="0"/>
              <w:jc w:val="center"/>
              <w:outlineLvl w:val="0"/>
              <w:rPr>
                <w:rFonts w:ascii="Times New Roman" w:hAnsi="Times New Roman"/>
                <w:snapToGrid w:val="0"/>
                <w:color w:val="000000"/>
                <w:szCs w:val="24"/>
              </w:rPr>
            </w:pPr>
          </w:p>
          <w:p>
            <w:pPr>
              <w:pStyle w:val="24"/>
              <w:snapToGrid w:val="0"/>
              <w:spacing w:before="0" w:beforeAutospacing="0" w:after="0" w:afterAutospacing="0"/>
              <w:jc w:val="center"/>
              <w:outlineLvl w:val="0"/>
              <w:rPr>
                <w:rFonts w:ascii="Times New Roman" w:hAnsi="Times New Roman"/>
                <w:snapToGrid w:val="0"/>
                <w:color w:val="000000"/>
                <w:szCs w:val="24"/>
              </w:rPr>
            </w:pPr>
          </w:p>
          <w:p>
            <w:pPr>
              <w:pStyle w:val="24"/>
              <w:snapToGrid w:val="0"/>
              <w:spacing w:before="0" w:beforeAutospacing="0" w:after="0" w:afterAutospacing="0"/>
              <w:jc w:val="center"/>
              <w:outlineLvl w:val="0"/>
              <w:rPr>
                <w:rFonts w:ascii="Times New Roman" w:hAnsi="Times New Roman"/>
                <w:snapToGrid w:val="0"/>
                <w:color w:val="000000"/>
                <w:szCs w:val="24"/>
              </w:rPr>
            </w:pPr>
          </w:p>
          <w:p>
            <w:pPr>
              <w:pStyle w:val="24"/>
              <w:snapToGrid w:val="0"/>
              <w:spacing w:before="0" w:beforeAutospacing="0" w:after="0" w:afterAutospacing="0"/>
              <w:jc w:val="center"/>
              <w:outlineLvl w:val="0"/>
              <w:rPr>
                <w:rFonts w:ascii="Times New Roman" w:hAnsi="Times New Roman"/>
                <w:snapToGrid w:val="0"/>
                <w:color w:val="000000"/>
                <w:szCs w:val="24"/>
              </w:rPr>
            </w:pPr>
          </w:p>
          <w:p>
            <w:pPr>
              <w:pStyle w:val="24"/>
              <w:snapToGrid w:val="0"/>
              <w:spacing w:before="0" w:beforeAutospacing="0" w:after="0" w:afterAutospacing="0"/>
              <w:jc w:val="center"/>
              <w:outlineLvl w:val="0"/>
              <w:rPr>
                <w:rFonts w:ascii="Times New Roman" w:hAnsi="Times New Roman"/>
                <w:snapToGrid w:val="0"/>
                <w:color w:val="000000"/>
                <w:szCs w:val="24"/>
              </w:rPr>
            </w:pPr>
          </w:p>
          <w:p>
            <w:pPr>
              <w:pStyle w:val="24"/>
              <w:snapToGrid w:val="0"/>
              <w:spacing w:before="0" w:beforeAutospacing="0" w:after="0" w:afterAutospacing="0"/>
              <w:jc w:val="center"/>
              <w:outlineLvl w:val="0"/>
              <w:rPr>
                <w:rFonts w:ascii="Times New Roman" w:hAnsi="Times New Roman"/>
                <w:snapToGrid w:val="0"/>
                <w:color w:val="000000"/>
                <w:szCs w:val="24"/>
              </w:rPr>
            </w:pPr>
          </w:p>
          <w:p>
            <w:pPr>
              <w:pStyle w:val="24"/>
              <w:snapToGrid w:val="0"/>
              <w:spacing w:before="0" w:beforeAutospacing="0" w:after="0" w:afterAutospacing="0"/>
              <w:jc w:val="center"/>
              <w:outlineLvl w:val="0"/>
              <w:rPr>
                <w:rFonts w:ascii="Times New Roman" w:hAnsi="Times New Roman"/>
                <w:snapToGrid w:val="0"/>
                <w:color w:val="000000"/>
                <w:szCs w:val="24"/>
              </w:rPr>
            </w:pPr>
          </w:p>
          <w:p>
            <w:pPr>
              <w:pStyle w:val="24"/>
              <w:snapToGrid w:val="0"/>
              <w:spacing w:before="0" w:beforeAutospacing="0" w:after="0" w:afterAutospacing="0"/>
              <w:jc w:val="center"/>
              <w:outlineLvl w:val="0"/>
              <w:rPr>
                <w:rFonts w:ascii="Times New Roman" w:hAnsi="Times New Roman"/>
                <w:snapToGrid w:val="0"/>
                <w:color w:val="000000"/>
                <w:szCs w:val="24"/>
              </w:rPr>
            </w:pPr>
          </w:p>
          <w:p>
            <w:pPr>
              <w:pStyle w:val="24"/>
              <w:snapToGrid w:val="0"/>
              <w:spacing w:before="0" w:beforeAutospacing="0" w:after="0" w:afterAutospacing="0"/>
              <w:jc w:val="center"/>
              <w:outlineLvl w:val="0"/>
              <w:rPr>
                <w:rFonts w:ascii="Times New Roman" w:hAnsi="Times New Roman"/>
                <w:snapToGrid w:val="0"/>
                <w:color w:val="000000"/>
                <w:szCs w:val="24"/>
              </w:rPr>
            </w:pPr>
          </w:p>
          <w:p>
            <w:pPr>
              <w:pStyle w:val="24"/>
              <w:snapToGrid w:val="0"/>
              <w:spacing w:before="0" w:beforeAutospacing="0" w:after="0" w:afterAutospacing="0"/>
              <w:jc w:val="center"/>
              <w:outlineLvl w:val="0"/>
              <w:rPr>
                <w:rFonts w:ascii="Times New Roman" w:hAnsi="Times New Roman"/>
                <w:snapToGrid w:val="0"/>
                <w:color w:val="000000"/>
                <w:szCs w:val="24"/>
              </w:rPr>
            </w:pPr>
            <w:r>
              <w:rPr>
                <w:rFonts w:ascii="Times New Roman" w:hAnsi="Times New Roman"/>
                <w:snapToGrid w:val="0"/>
                <w:color w:val="000000"/>
                <w:szCs w:val="24"/>
              </w:rPr>
              <w:t>污染</w:t>
            </w:r>
          </w:p>
          <w:p>
            <w:pPr>
              <w:pStyle w:val="24"/>
              <w:snapToGrid w:val="0"/>
              <w:spacing w:before="0" w:beforeAutospacing="0" w:after="0" w:afterAutospacing="0"/>
              <w:jc w:val="center"/>
              <w:outlineLvl w:val="0"/>
              <w:rPr>
                <w:rFonts w:ascii="Times New Roman" w:hAnsi="Times New Roman"/>
                <w:snapToGrid w:val="0"/>
                <w:color w:val="000000"/>
                <w:szCs w:val="24"/>
              </w:rPr>
            </w:pPr>
            <w:r>
              <w:rPr>
                <w:rFonts w:ascii="Times New Roman" w:hAnsi="Times New Roman"/>
                <w:snapToGrid w:val="0"/>
                <w:color w:val="000000"/>
                <w:szCs w:val="24"/>
              </w:rPr>
              <w:t>物排</w:t>
            </w:r>
          </w:p>
          <w:p>
            <w:pPr>
              <w:pStyle w:val="24"/>
              <w:snapToGrid w:val="0"/>
              <w:spacing w:before="0" w:beforeAutospacing="0" w:after="0" w:afterAutospacing="0"/>
              <w:jc w:val="center"/>
              <w:outlineLvl w:val="0"/>
              <w:rPr>
                <w:rFonts w:ascii="Times New Roman" w:hAnsi="Times New Roman"/>
                <w:snapToGrid w:val="0"/>
                <w:color w:val="000000"/>
                <w:szCs w:val="24"/>
              </w:rPr>
            </w:pPr>
            <w:r>
              <w:rPr>
                <w:rFonts w:ascii="Times New Roman" w:hAnsi="Times New Roman"/>
                <w:snapToGrid w:val="0"/>
                <w:color w:val="000000"/>
                <w:szCs w:val="24"/>
              </w:rPr>
              <w:t>放控</w:t>
            </w:r>
          </w:p>
          <w:p>
            <w:pPr>
              <w:pStyle w:val="24"/>
              <w:snapToGrid w:val="0"/>
              <w:spacing w:before="0" w:beforeAutospacing="0" w:after="0" w:afterAutospacing="0"/>
              <w:jc w:val="center"/>
              <w:outlineLvl w:val="0"/>
              <w:rPr>
                <w:rFonts w:ascii="Times New Roman" w:hAnsi="Times New Roman"/>
                <w:snapToGrid w:val="0"/>
                <w:color w:val="000000"/>
                <w:szCs w:val="24"/>
              </w:rPr>
            </w:pPr>
            <w:r>
              <w:rPr>
                <w:rFonts w:ascii="Times New Roman" w:hAnsi="Times New Roman"/>
                <w:snapToGrid w:val="0"/>
                <w:color w:val="000000"/>
                <w:szCs w:val="24"/>
              </w:rPr>
              <w:t>制标</w:t>
            </w:r>
          </w:p>
          <w:p>
            <w:pPr>
              <w:pStyle w:val="24"/>
              <w:adjustRightInd w:val="0"/>
              <w:snapToGrid w:val="0"/>
              <w:spacing w:before="0" w:beforeAutospacing="0" w:after="0" w:afterAutospacing="0" w:line="360" w:lineRule="auto"/>
              <w:jc w:val="center"/>
              <w:outlineLvl w:val="0"/>
              <w:rPr>
                <w:rFonts w:ascii="Times New Roman" w:hAnsi="Times New Roman"/>
                <w:snapToGrid w:val="0"/>
                <w:color w:val="000000"/>
                <w:szCs w:val="24"/>
              </w:rPr>
            </w:pPr>
            <w:r>
              <w:rPr>
                <w:rFonts w:ascii="Times New Roman" w:hAnsi="Times New Roman"/>
                <w:snapToGrid w:val="0"/>
                <w:color w:val="000000"/>
                <w:szCs w:val="24"/>
              </w:rPr>
              <w:t>准</w:t>
            </w:r>
          </w:p>
        </w:tc>
        <w:tc>
          <w:tcPr>
            <w:tcW w:w="8190"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color w:val="000000"/>
              </w:rPr>
            </w:pPr>
            <w:r>
              <w:rPr>
                <w:b/>
                <w:color w:val="000000"/>
              </w:rPr>
              <w:t>1、废水排放标准</w:t>
            </w:r>
          </w:p>
          <w:p>
            <w:pPr>
              <w:spacing w:line="360" w:lineRule="auto"/>
              <w:ind w:firstLine="480" w:firstLineChars="200"/>
              <w:rPr>
                <w:rFonts w:ascii="Times New Roman" w:hAnsi="Times New Roman" w:cs="Times New Roman"/>
                <w:color w:val="0000FF"/>
                <w:sz w:val="24"/>
              </w:rPr>
            </w:pPr>
            <w:r>
              <w:rPr>
                <w:rFonts w:ascii="Times New Roman" w:hAnsi="Times New Roman" w:cs="Times New Roman"/>
                <w:color w:val="000000"/>
                <w:sz w:val="24"/>
                <w:lang w:bidi="ar"/>
              </w:rPr>
              <w:t>项目主要产生的废水</w:t>
            </w:r>
            <w:r>
              <w:rPr>
                <w:rFonts w:hint="eastAsia" w:cs="Times New Roman"/>
                <w:color w:val="000000"/>
                <w:sz w:val="24"/>
                <w:lang w:val="en-US" w:eastAsia="zh-CN" w:bidi="ar"/>
              </w:rPr>
              <w:t>为</w:t>
            </w:r>
            <w:r>
              <w:rPr>
                <w:rFonts w:ascii="Times New Roman" w:hAnsi="Times New Roman" w:cs="Times New Roman"/>
                <w:color w:val="000000"/>
                <w:sz w:val="24"/>
                <w:lang w:bidi="ar"/>
              </w:rPr>
              <w:t>生活污水经</w:t>
            </w:r>
            <w:r>
              <w:rPr>
                <w:rFonts w:hint="eastAsia" w:ascii="Times New Roman" w:hAnsi="Times New Roman" w:cs="Times New Roman"/>
                <w:color w:val="000000"/>
                <w:sz w:val="24"/>
                <w:lang w:val="en-US" w:eastAsia="zh-CN" w:bidi="ar"/>
              </w:rPr>
              <w:t>隔油池、</w:t>
            </w:r>
            <w:r>
              <w:rPr>
                <w:rFonts w:ascii="Times New Roman" w:hAnsi="Times New Roman" w:cs="Times New Roman"/>
                <w:color w:val="000000"/>
                <w:sz w:val="24"/>
                <w:lang w:bidi="ar"/>
              </w:rPr>
              <w:t>化粪池处理后定期清掏</w:t>
            </w:r>
            <w:r>
              <w:rPr>
                <w:rFonts w:hint="eastAsia" w:ascii="Times New Roman" w:hAnsi="Times New Roman" w:cs="Times New Roman"/>
                <w:color w:val="000000"/>
                <w:sz w:val="24"/>
                <w:lang w:eastAsia="zh-CN" w:bidi="ar"/>
              </w:rPr>
              <w:t>；</w:t>
            </w:r>
            <w:r>
              <w:rPr>
                <w:rFonts w:ascii="Times New Roman" w:hAnsi="Times New Roman" w:cs="Times New Roman"/>
                <w:color w:val="000000"/>
                <w:sz w:val="24"/>
                <w:lang w:bidi="ar"/>
              </w:rPr>
              <w:t>生产废水（搅拌机清洗废水、车辆清洗废水</w:t>
            </w:r>
            <w:r>
              <w:rPr>
                <w:rFonts w:hint="eastAsia" w:ascii="Times New Roman" w:hAnsi="Times New Roman" w:cs="Times New Roman"/>
                <w:color w:val="000000"/>
                <w:sz w:val="24"/>
                <w:lang w:bidi="ar"/>
              </w:rPr>
              <w:t>、作业区清洗废水、喷淋降尘废水</w:t>
            </w:r>
            <w:r>
              <w:rPr>
                <w:rFonts w:ascii="Times New Roman" w:hAnsi="Times New Roman" w:cs="Times New Roman"/>
                <w:color w:val="000000"/>
                <w:sz w:val="24"/>
                <w:lang w:bidi="ar"/>
              </w:rPr>
              <w:t>）经沉淀池沉淀处理后回用，不外排。</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color w:val="000000"/>
              </w:rPr>
            </w:pPr>
            <w:r>
              <w:rPr>
                <w:b/>
                <w:color w:val="000000"/>
              </w:rPr>
              <w:t>2、大气污染物排放标准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outlineLvl w:val="9"/>
              <w:rPr>
                <w:rFonts w:hint="eastAsia" w:ascii="Times New Roman" w:hAnsi="Times New Roman" w:eastAsia="宋体" w:cs="Times New Roman"/>
                <w:color w:val="000000"/>
                <w:sz w:val="24"/>
                <w:lang w:eastAsia="zh-CN"/>
              </w:rPr>
            </w:pPr>
            <w:r>
              <w:rPr>
                <w:rFonts w:ascii="Times New Roman" w:hAnsi="Times New Roman" w:cs="Times New Roman"/>
                <w:sz w:val="24"/>
              </w:rPr>
              <w:t>本项目生产过程中产生的粉尘排放</w:t>
            </w:r>
            <w:r>
              <w:rPr>
                <w:rFonts w:ascii="Times New Roman" w:hAnsi="Times New Roman" w:cs="Times New Roman"/>
                <w:color w:val="000000"/>
                <w:sz w:val="24"/>
              </w:rPr>
              <w:t>执行安徽省</w:t>
            </w:r>
            <w:r>
              <w:rPr>
                <w:rFonts w:ascii="Times New Roman" w:hAnsi="Times New Roman" w:cs="Times New Roman"/>
                <w:sz w:val="24"/>
              </w:rPr>
              <w:t>《水泥工业大气污染物排放标准》（DB34/3576-2020）中排放限值标准要求及无组织粉尘排放浓度限值</w:t>
            </w:r>
            <w:r>
              <w:rPr>
                <w:rFonts w:hint="eastAsia" w:ascii="Times New Roman" w:hAnsi="Times New Roman" w:cs="Times New Roman"/>
                <w:sz w:val="24"/>
                <w:szCs w:val="24"/>
                <w:lang w:eastAsia="zh-CN"/>
              </w:rPr>
              <w:t>。</w:t>
            </w:r>
            <w:r>
              <w:rPr>
                <w:rFonts w:hint="eastAsia" w:eastAsia="宋体"/>
                <w:b w:val="0"/>
                <w:bCs/>
                <w:color w:val="000000"/>
                <w:sz w:val="24"/>
                <w:lang w:val="en-US" w:eastAsia="zh-CN"/>
              </w:rPr>
              <w:t>食堂</w:t>
            </w:r>
            <w:r>
              <w:rPr>
                <w:rFonts w:hint="eastAsia" w:eastAsia="宋体"/>
                <w:color w:val="000000"/>
                <w:sz w:val="24"/>
                <w:lang w:eastAsia="zh-CN"/>
              </w:rPr>
              <w:t>油烟执行《饮食业油烟排放标准（试行）》（</w:t>
            </w:r>
            <w:r>
              <w:rPr>
                <w:rFonts w:hint="eastAsia" w:eastAsia="宋体"/>
                <w:color w:val="000000"/>
                <w:sz w:val="24"/>
                <w:lang w:val="en-US" w:eastAsia="zh-CN"/>
              </w:rPr>
              <w:t>GB18483-2001</w:t>
            </w:r>
            <w:r>
              <w:rPr>
                <w:rFonts w:hint="eastAsia" w:eastAsia="宋体"/>
                <w:color w:val="000000"/>
                <w:sz w:val="24"/>
                <w:lang w:eastAsia="zh-CN"/>
              </w:rPr>
              <w:t>）相关标准，</w:t>
            </w:r>
            <w:r>
              <w:rPr>
                <w:rFonts w:hint="eastAsia" w:eastAsia="宋体"/>
                <w:b w:val="0"/>
                <w:bCs/>
                <w:color w:val="000000"/>
                <w:sz w:val="24"/>
                <w:lang w:val="en-US" w:eastAsia="zh-CN"/>
              </w:rPr>
              <w:t>其标准见下表。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sz w:val="24"/>
                <w:szCs w:val="24"/>
              </w:rPr>
            </w:pPr>
            <w:r>
              <w:rPr>
                <w:rFonts w:hint="default" w:ascii="Times New Roman" w:hAnsi="Times New Roman" w:eastAsia="宋体" w:cs="Times New Roman"/>
                <w:b/>
                <w:sz w:val="24"/>
                <w:szCs w:val="24"/>
              </w:rPr>
              <w:t>表</w:t>
            </w:r>
            <w:r>
              <w:rPr>
                <w:rFonts w:hint="default" w:ascii="Times New Roman" w:hAnsi="Times New Roman" w:eastAsia="宋体" w:cs="Times New Roman"/>
                <w:b/>
                <w:sz w:val="24"/>
                <w:szCs w:val="24"/>
                <w:lang w:val="en-US" w:eastAsia="zh-CN"/>
              </w:rPr>
              <w:t>3</w:t>
            </w:r>
            <w:r>
              <w:rPr>
                <w:rFonts w:hint="eastAsia" w:ascii="Times New Roman" w:hAnsi="Times New Roman" w:eastAsia="宋体" w:cs="Times New Roman"/>
                <w:b/>
                <w:sz w:val="24"/>
                <w:szCs w:val="24"/>
                <w:lang w:val="en-US" w:eastAsia="zh-CN"/>
              </w:rPr>
              <w:t>.</w:t>
            </w:r>
            <w:r>
              <w:rPr>
                <w:rFonts w:hint="eastAsia" w:cs="Times New Roman"/>
                <w:b/>
                <w:sz w:val="24"/>
                <w:szCs w:val="24"/>
                <w:lang w:val="en-US" w:eastAsia="zh-CN"/>
              </w:rPr>
              <w:t xml:space="preserve">9  </w:t>
            </w:r>
            <w:r>
              <w:rPr>
                <w:rFonts w:hint="default" w:ascii="Times New Roman" w:hAnsi="Times New Roman" w:cs="Times New Roman"/>
                <w:b/>
                <w:bCs/>
                <w:sz w:val="24"/>
                <w:szCs w:val="24"/>
              </w:rPr>
              <w:t>水泥工业大气污染物排放标准</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696"/>
              <w:gridCol w:w="3171"/>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8" w:type="dxa"/>
                  <w:vMerge w:val="restart"/>
                  <w:noWrap w:val="0"/>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污染物</w:t>
                  </w:r>
                </w:p>
              </w:tc>
              <w:tc>
                <w:tcPr>
                  <w:tcW w:w="1696" w:type="dxa"/>
                  <w:vMerge w:val="restart"/>
                  <w:noWrap w:val="0"/>
                  <w:vAlign w:val="center"/>
                </w:tcPr>
                <w:p>
                  <w:pPr>
                    <w:jc w:val="center"/>
                    <w:rPr>
                      <w:rFonts w:hint="default" w:ascii="Times New Roman" w:hAnsi="Times New Roman" w:eastAsia="宋体" w:cs="Times New Roman"/>
                      <w:b/>
                      <w:bCs/>
                      <w:sz w:val="21"/>
                      <w:szCs w:val="21"/>
                    </w:rPr>
                  </w:pPr>
                  <w:r>
                    <w:rPr>
                      <w:rFonts w:hint="default" w:ascii="Times New Roman" w:hAnsi="Times New Roman" w:cs="Times New Roman"/>
                      <w:b/>
                      <w:sz w:val="21"/>
                      <w:szCs w:val="21"/>
                    </w:rPr>
                    <w:t>最高允许排放浓度，mg/m</w:t>
                  </w:r>
                  <w:r>
                    <w:rPr>
                      <w:rFonts w:hint="default" w:ascii="Times New Roman" w:hAnsi="Times New Roman" w:cs="Times New Roman"/>
                      <w:b/>
                      <w:sz w:val="21"/>
                      <w:szCs w:val="21"/>
                      <w:vertAlign w:val="superscript"/>
                    </w:rPr>
                    <w:t>3</w:t>
                  </w:r>
                </w:p>
              </w:tc>
              <w:tc>
                <w:tcPr>
                  <w:tcW w:w="5150" w:type="dxa"/>
                  <w:gridSpan w:val="2"/>
                  <w:noWrap w:val="0"/>
                  <w:vAlign w:val="center"/>
                </w:tcPr>
                <w:p>
                  <w:pPr>
                    <w:jc w:val="center"/>
                    <w:rPr>
                      <w:rFonts w:hint="default" w:ascii="Times New Roman" w:hAnsi="Times New Roman" w:cs="Times New Roman"/>
                      <w:b/>
                      <w:sz w:val="21"/>
                      <w:szCs w:val="21"/>
                    </w:rPr>
                  </w:pPr>
                  <w:r>
                    <w:rPr>
                      <w:rFonts w:hint="default" w:ascii="Times New Roman" w:hAnsi="Times New Roman" w:cs="Times New Roman"/>
                      <w:b/>
                      <w:sz w:val="2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8" w:type="dxa"/>
                  <w:vMerge w:val="continue"/>
                  <w:noWrap w:val="0"/>
                  <w:vAlign w:val="center"/>
                </w:tcPr>
                <w:p>
                  <w:pPr>
                    <w:jc w:val="center"/>
                    <w:rPr>
                      <w:rFonts w:hint="default" w:ascii="Times New Roman" w:hAnsi="Times New Roman" w:eastAsia="宋体" w:cs="Times New Roman"/>
                      <w:b/>
                      <w:bCs/>
                      <w:sz w:val="21"/>
                      <w:szCs w:val="21"/>
                    </w:rPr>
                  </w:pPr>
                </w:p>
              </w:tc>
              <w:tc>
                <w:tcPr>
                  <w:tcW w:w="1696" w:type="dxa"/>
                  <w:vMerge w:val="continue"/>
                  <w:noWrap w:val="0"/>
                  <w:vAlign w:val="center"/>
                </w:tcPr>
                <w:p>
                  <w:pPr>
                    <w:jc w:val="center"/>
                    <w:rPr>
                      <w:rFonts w:hint="default" w:ascii="Times New Roman" w:hAnsi="Times New Roman" w:eastAsia="宋体" w:cs="Times New Roman"/>
                      <w:b/>
                      <w:bCs/>
                      <w:sz w:val="21"/>
                      <w:szCs w:val="21"/>
                    </w:rPr>
                  </w:pPr>
                </w:p>
              </w:tc>
              <w:tc>
                <w:tcPr>
                  <w:tcW w:w="3171"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监控位置</w:t>
                  </w:r>
                </w:p>
              </w:tc>
              <w:tc>
                <w:tcPr>
                  <w:tcW w:w="1979"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限值</w:t>
                  </w:r>
                  <w:r>
                    <w:rPr>
                      <w:rFonts w:hint="default" w:ascii="Times New Roman" w:hAnsi="Times New Roman" w:cs="Times New Roman"/>
                      <w:b/>
                      <w:sz w:val="21"/>
                      <w:szCs w:val="21"/>
                    </w:rPr>
                    <w:t>，mg/m</w:t>
                  </w:r>
                  <w:r>
                    <w:rPr>
                      <w:rFonts w:hint="default" w:ascii="Times New Roman" w:hAnsi="Times New Roman" w:cs="Times New Roman"/>
                      <w:b/>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8"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1696"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3171"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厂界外20m处上风向设参照点，下风向设监控点</w:t>
                  </w:r>
                </w:p>
              </w:tc>
              <w:tc>
                <w:tcPr>
                  <w:tcW w:w="1979"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240" w:lineRule="auto"/>
              <w:ind w:left="0" w:right="0"/>
              <w:jc w:val="center"/>
              <w:textAlignment w:val="auto"/>
              <w:outlineLvl w:val="9"/>
              <w:rPr>
                <w:rFonts w:hint="eastAsia"/>
                <w:b/>
                <w:bCs/>
                <w:color w:val="000000"/>
                <w:sz w:val="24"/>
                <w:szCs w:val="24"/>
              </w:rPr>
            </w:pPr>
            <w:r>
              <w:rPr>
                <w:rFonts w:hint="eastAsia" w:eastAsia="宋体"/>
                <w:b/>
                <w:bCs/>
                <w:color w:val="000000"/>
                <w:sz w:val="24"/>
                <w:szCs w:val="24"/>
                <w:lang w:eastAsia="zh-CN"/>
              </w:rPr>
              <w:t>表</w:t>
            </w:r>
            <w:r>
              <w:rPr>
                <w:rFonts w:hint="eastAsia" w:eastAsia="宋体"/>
                <w:b/>
                <w:bCs/>
                <w:color w:val="000000"/>
                <w:sz w:val="24"/>
                <w:szCs w:val="24"/>
                <w:lang w:val="en-US" w:eastAsia="zh-CN"/>
              </w:rPr>
              <w:t>3.</w:t>
            </w:r>
            <w:r>
              <w:rPr>
                <w:rFonts w:hint="eastAsia"/>
                <w:b/>
                <w:bCs/>
                <w:color w:val="000000"/>
                <w:sz w:val="24"/>
                <w:szCs w:val="24"/>
                <w:lang w:val="en-US" w:eastAsia="zh-CN"/>
              </w:rPr>
              <w:t xml:space="preserve">10 </w:t>
            </w:r>
            <w:r>
              <w:rPr>
                <w:rFonts w:hint="eastAsia" w:eastAsia="宋体"/>
                <w:b/>
                <w:bCs/>
                <w:color w:val="000000"/>
                <w:sz w:val="24"/>
                <w:szCs w:val="24"/>
                <w:lang w:val="en-US" w:eastAsia="zh-CN"/>
              </w:rPr>
              <w:t xml:space="preserve"> </w:t>
            </w:r>
            <w:r>
              <w:rPr>
                <w:rFonts w:hint="eastAsia" w:eastAsia="宋体"/>
                <w:b/>
                <w:bCs/>
                <w:color w:val="000000"/>
                <w:sz w:val="24"/>
                <w:szCs w:val="24"/>
              </w:rPr>
              <w:t>饮食业油烟最高允许排放浓度</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4"/>
              <w:gridCol w:w="1597"/>
              <w:gridCol w:w="1595"/>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1"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95" w:beforeLines="3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规模</w:t>
                  </w:r>
                </w:p>
              </w:tc>
              <w:tc>
                <w:tcPr>
                  <w:tcW w:w="1772" w:type="dxa"/>
                  <w:shd w:val="clear" w:color="auto" w:fill="D7D7D7" w:themeFill="background1" w:themeFillShade="D8"/>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95" w:beforeLines="3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小型</w:t>
                  </w:r>
                </w:p>
              </w:tc>
              <w:tc>
                <w:tcPr>
                  <w:tcW w:w="1770"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95" w:beforeLines="3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中型</w:t>
                  </w:r>
                </w:p>
              </w:tc>
              <w:tc>
                <w:tcPr>
                  <w:tcW w:w="177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95" w:beforeLines="3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1"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95" w:beforeLines="3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基准灶头数</w:t>
                  </w:r>
                </w:p>
              </w:tc>
              <w:tc>
                <w:tcPr>
                  <w:tcW w:w="1772" w:type="dxa"/>
                  <w:shd w:val="clear" w:color="auto" w:fill="D7D7D7" w:themeFill="background1" w:themeFillShade="D8"/>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95" w:beforeLines="3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≥1，&lt;3</w:t>
                  </w:r>
                </w:p>
              </w:tc>
              <w:tc>
                <w:tcPr>
                  <w:tcW w:w="1770"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95" w:beforeLines="3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≥3，&lt;6</w:t>
                  </w:r>
                </w:p>
              </w:tc>
              <w:tc>
                <w:tcPr>
                  <w:tcW w:w="177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95" w:beforeLines="3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1"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95" w:beforeLines="3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最高允许排放浓度（mg/m</w:t>
                  </w:r>
                  <w:r>
                    <w:rPr>
                      <w:rFonts w:hint="eastAsia" w:ascii="Times New Roman" w:hAnsi="Times New Roman" w:cs="Times New Roman"/>
                      <w:color w:val="000000"/>
                      <w:sz w:val="21"/>
                      <w:szCs w:val="21"/>
                      <w:vertAlign w:val="superscript"/>
                      <w:lang w:val="en-US" w:eastAsia="zh-CN"/>
                    </w:rPr>
                    <w:t>3</w:t>
                  </w:r>
                  <w:r>
                    <w:rPr>
                      <w:rFonts w:hint="default" w:ascii="Times New Roman" w:hAnsi="Times New Roman" w:eastAsia="宋体" w:cs="Times New Roman"/>
                      <w:color w:val="000000"/>
                      <w:sz w:val="21"/>
                      <w:szCs w:val="21"/>
                      <w:lang w:val="en-US" w:eastAsia="zh-CN"/>
                    </w:rPr>
                    <w:t>）</w:t>
                  </w:r>
                </w:p>
              </w:tc>
              <w:tc>
                <w:tcPr>
                  <w:tcW w:w="5314" w:type="dxa"/>
                  <w:gridSpan w:val="3"/>
                  <w:shd w:val="clear" w:color="auto" w:fill="D7D7D7" w:themeFill="background1" w:themeFillShade="D8"/>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95" w:beforeLines="3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1"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95" w:beforeLines="3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净化设施最低去除效率（%）</w:t>
                  </w:r>
                </w:p>
              </w:tc>
              <w:tc>
                <w:tcPr>
                  <w:tcW w:w="1772" w:type="dxa"/>
                  <w:shd w:val="clear" w:color="auto" w:fill="D7D7D7" w:themeFill="background1" w:themeFillShade="D8"/>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95" w:beforeLines="3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60</w:t>
                  </w:r>
                </w:p>
              </w:tc>
              <w:tc>
                <w:tcPr>
                  <w:tcW w:w="1770"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95" w:beforeLines="3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75</w:t>
                  </w:r>
                </w:p>
              </w:tc>
              <w:tc>
                <w:tcPr>
                  <w:tcW w:w="177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95" w:beforeLines="3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85</w:t>
                  </w:r>
                </w:p>
              </w:tc>
            </w:tr>
          </w:tbl>
          <w:p>
            <w:pPr>
              <w:adjustRightInd w:val="0"/>
              <w:snapToGrid w:val="0"/>
              <w:spacing w:before="120" w:beforeLines="50" w:line="360" w:lineRule="auto"/>
              <w:rPr>
                <w:b/>
                <w:color w:val="000000"/>
              </w:rPr>
            </w:pPr>
            <w:r>
              <w:rPr>
                <w:rFonts w:hint="eastAsia"/>
                <w:b/>
                <w:color w:val="000000"/>
                <w:lang w:val="en-US" w:eastAsia="zh-CN"/>
              </w:rPr>
              <w:t>3</w:t>
            </w:r>
            <w:r>
              <w:rPr>
                <w:b/>
                <w:color w:val="000000"/>
              </w:rPr>
              <w:t>、噪声排放标准</w:t>
            </w:r>
          </w:p>
          <w:p>
            <w:pPr>
              <w:adjustRightInd w:val="0"/>
              <w:snapToGrid w:val="0"/>
              <w:spacing w:line="360" w:lineRule="auto"/>
              <w:ind w:firstLine="480" w:firstLineChars="200"/>
              <w:rPr>
                <w:color w:val="000000"/>
              </w:rPr>
            </w:pPr>
            <w:r>
              <w:rPr>
                <w:rFonts w:hint="eastAsia"/>
                <w:color w:val="000000"/>
              </w:rPr>
              <w:t>运营</w:t>
            </w:r>
            <w:r>
              <w:rPr>
                <w:color w:val="000000"/>
              </w:rPr>
              <w:t>期噪声执行《工业企业厂界环境噪声排放标准》（GB12348-2008）中</w:t>
            </w:r>
            <w:r>
              <w:rPr>
                <w:rFonts w:hint="eastAsia"/>
                <w:color w:val="000000"/>
                <w:lang w:val="en-US" w:eastAsia="zh-CN"/>
              </w:rPr>
              <w:t>2</w:t>
            </w:r>
            <w:r>
              <w:rPr>
                <w:color w:val="000000"/>
              </w:rPr>
              <w:t>类标准。其标准限值见</w:t>
            </w:r>
            <w:r>
              <w:rPr>
                <w:rFonts w:hint="eastAsia"/>
                <w:color w:val="000000"/>
                <w:lang w:val="en-US" w:eastAsia="zh-CN"/>
              </w:rPr>
              <w:t>下</w:t>
            </w:r>
            <w:r>
              <w:rPr>
                <w:color w:val="000000"/>
              </w:rPr>
              <w:t>表。</w:t>
            </w:r>
          </w:p>
          <w:p>
            <w:pPr>
              <w:adjustRightInd w:val="0"/>
              <w:snapToGrid w:val="0"/>
              <w:jc w:val="center"/>
              <w:rPr>
                <w:b/>
                <w:color w:val="000000"/>
              </w:rPr>
            </w:pPr>
            <w:r>
              <w:rPr>
                <w:rFonts w:hint="eastAsia"/>
                <w:b/>
                <w:color w:val="000000"/>
              </w:rPr>
              <w:t>表3.</w:t>
            </w:r>
            <w:r>
              <w:rPr>
                <w:rFonts w:hint="eastAsia"/>
                <w:b/>
                <w:color w:val="000000"/>
                <w:lang w:val="en-US" w:eastAsia="zh-CN"/>
              </w:rPr>
              <w:t xml:space="preserve">11 </w:t>
            </w:r>
            <w:r>
              <w:rPr>
                <w:rFonts w:hint="eastAsia"/>
                <w:b/>
                <w:color w:val="000000"/>
              </w:rPr>
              <w:t xml:space="preserve"> 工业企业厂界环境噪声排放标准 单位：dB（A）</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9"/>
              <w:gridCol w:w="238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5" w:type="dxa"/>
                  <w:vAlign w:val="center"/>
                </w:tcPr>
                <w:p>
                  <w:pPr>
                    <w:autoSpaceDE w:val="0"/>
                    <w:autoSpaceDN w:val="0"/>
                    <w:adjustRightInd w:val="0"/>
                    <w:snapToGrid w:val="0"/>
                    <w:spacing w:before="48" w:beforeLines="20"/>
                    <w:jc w:val="center"/>
                    <w:rPr>
                      <w:b/>
                      <w:bCs w:val="0"/>
                      <w:color w:val="000000"/>
                      <w:sz w:val="21"/>
                      <w:szCs w:val="21"/>
                      <w:lang w:val="zh-CN"/>
                    </w:rPr>
                  </w:pPr>
                  <w:r>
                    <w:rPr>
                      <w:b/>
                      <w:bCs w:val="0"/>
                      <w:color w:val="000000"/>
                      <w:sz w:val="21"/>
                      <w:szCs w:val="21"/>
                      <w:lang w:val="zh-CN"/>
                    </w:rPr>
                    <w:t>声环境功能区类别</w:t>
                  </w:r>
                </w:p>
              </w:tc>
              <w:tc>
                <w:tcPr>
                  <w:tcW w:w="2643" w:type="dxa"/>
                  <w:vAlign w:val="center"/>
                </w:tcPr>
                <w:p>
                  <w:pPr>
                    <w:autoSpaceDE w:val="0"/>
                    <w:autoSpaceDN w:val="0"/>
                    <w:adjustRightInd w:val="0"/>
                    <w:snapToGrid w:val="0"/>
                    <w:spacing w:before="48" w:beforeLines="20"/>
                    <w:jc w:val="center"/>
                    <w:rPr>
                      <w:b/>
                      <w:bCs w:val="0"/>
                      <w:color w:val="000000"/>
                      <w:sz w:val="21"/>
                      <w:szCs w:val="21"/>
                      <w:lang w:val="zh-CN"/>
                    </w:rPr>
                  </w:pPr>
                  <w:r>
                    <w:rPr>
                      <w:b/>
                      <w:bCs w:val="0"/>
                      <w:color w:val="000000"/>
                      <w:sz w:val="21"/>
                      <w:szCs w:val="21"/>
                      <w:lang w:val="zh-CN"/>
                    </w:rPr>
                    <w:t>昼间</w:t>
                  </w:r>
                </w:p>
              </w:tc>
              <w:tc>
                <w:tcPr>
                  <w:tcW w:w="2177" w:type="dxa"/>
                  <w:vAlign w:val="center"/>
                </w:tcPr>
                <w:p>
                  <w:pPr>
                    <w:autoSpaceDE w:val="0"/>
                    <w:autoSpaceDN w:val="0"/>
                    <w:adjustRightInd w:val="0"/>
                    <w:snapToGrid w:val="0"/>
                    <w:spacing w:before="48" w:beforeLines="20"/>
                    <w:jc w:val="center"/>
                    <w:rPr>
                      <w:b/>
                      <w:bCs w:val="0"/>
                      <w:color w:val="000000"/>
                      <w:sz w:val="21"/>
                      <w:szCs w:val="21"/>
                      <w:lang w:val="zh-CN"/>
                    </w:rPr>
                  </w:pPr>
                  <w:r>
                    <w:rPr>
                      <w:b/>
                      <w:bCs w:val="0"/>
                      <w:color w:val="000000"/>
                      <w:sz w:val="21"/>
                      <w:szCs w:val="21"/>
                      <w:lang w:val="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5" w:type="dxa"/>
                  <w:vAlign w:val="center"/>
                </w:tcPr>
                <w:p>
                  <w:pPr>
                    <w:autoSpaceDE w:val="0"/>
                    <w:autoSpaceDN w:val="0"/>
                    <w:adjustRightInd w:val="0"/>
                    <w:snapToGrid w:val="0"/>
                    <w:spacing w:before="48" w:beforeLines="20"/>
                    <w:jc w:val="center"/>
                    <w:rPr>
                      <w:bCs/>
                      <w:color w:val="000000"/>
                      <w:sz w:val="21"/>
                      <w:szCs w:val="21"/>
                      <w:lang w:val="zh-CN"/>
                    </w:rPr>
                  </w:pPr>
                  <w:r>
                    <w:rPr>
                      <w:rFonts w:hint="eastAsia"/>
                      <w:bCs/>
                      <w:color w:val="000000"/>
                      <w:sz w:val="21"/>
                      <w:szCs w:val="21"/>
                      <w:lang w:val="en-US" w:eastAsia="zh-CN"/>
                    </w:rPr>
                    <w:t>2</w:t>
                  </w:r>
                  <w:r>
                    <w:rPr>
                      <w:bCs/>
                      <w:color w:val="000000"/>
                      <w:sz w:val="21"/>
                      <w:szCs w:val="21"/>
                      <w:lang w:val="zh-CN"/>
                    </w:rPr>
                    <w:t>类</w:t>
                  </w:r>
                </w:p>
              </w:tc>
              <w:tc>
                <w:tcPr>
                  <w:tcW w:w="2643" w:type="dxa"/>
                  <w:vAlign w:val="center"/>
                </w:tcPr>
                <w:p>
                  <w:pPr>
                    <w:autoSpaceDE w:val="0"/>
                    <w:autoSpaceDN w:val="0"/>
                    <w:adjustRightInd w:val="0"/>
                    <w:snapToGrid w:val="0"/>
                    <w:spacing w:before="48" w:beforeLines="20"/>
                    <w:jc w:val="center"/>
                    <w:rPr>
                      <w:rFonts w:hint="eastAsia" w:eastAsia="宋体"/>
                      <w:bCs/>
                      <w:color w:val="000000"/>
                      <w:sz w:val="21"/>
                      <w:szCs w:val="21"/>
                      <w:lang w:val="en-US" w:eastAsia="zh-CN"/>
                    </w:rPr>
                  </w:pPr>
                  <w:r>
                    <w:rPr>
                      <w:rFonts w:hint="eastAsia"/>
                      <w:bCs/>
                      <w:color w:val="000000"/>
                      <w:sz w:val="21"/>
                      <w:szCs w:val="21"/>
                    </w:rPr>
                    <w:t>6</w:t>
                  </w:r>
                  <w:r>
                    <w:rPr>
                      <w:rFonts w:hint="eastAsia"/>
                      <w:bCs/>
                      <w:color w:val="000000"/>
                      <w:sz w:val="21"/>
                      <w:szCs w:val="21"/>
                      <w:lang w:val="en-US" w:eastAsia="zh-CN"/>
                    </w:rPr>
                    <w:t>0</w:t>
                  </w:r>
                </w:p>
              </w:tc>
              <w:tc>
                <w:tcPr>
                  <w:tcW w:w="2177" w:type="dxa"/>
                  <w:vAlign w:val="center"/>
                </w:tcPr>
                <w:p>
                  <w:pPr>
                    <w:autoSpaceDE w:val="0"/>
                    <w:autoSpaceDN w:val="0"/>
                    <w:adjustRightInd w:val="0"/>
                    <w:snapToGrid w:val="0"/>
                    <w:spacing w:before="48" w:beforeLines="20"/>
                    <w:jc w:val="center"/>
                    <w:rPr>
                      <w:rFonts w:hint="eastAsia" w:eastAsia="宋体"/>
                      <w:bCs/>
                      <w:color w:val="000000"/>
                      <w:sz w:val="21"/>
                      <w:szCs w:val="21"/>
                      <w:lang w:val="en-US" w:eastAsia="zh-CN"/>
                    </w:rPr>
                  </w:pPr>
                  <w:r>
                    <w:rPr>
                      <w:rFonts w:hint="eastAsia"/>
                      <w:bCs/>
                      <w:color w:val="000000"/>
                      <w:sz w:val="21"/>
                      <w:szCs w:val="21"/>
                    </w:rPr>
                    <w:t>5</w:t>
                  </w:r>
                  <w:r>
                    <w:rPr>
                      <w:rFonts w:hint="eastAsia"/>
                      <w:bCs/>
                      <w:color w:val="000000"/>
                      <w:sz w:val="21"/>
                      <w:szCs w:val="21"/>
                      <w:lang w:val="en-US" w:eastAsia="zh-CN"/>
                    </w:rPr>
                    <w:t>0</w:t>
                  </w:r>
                </w:p>
              </w:tc>
            </w:tr>
          </w:tbl>
          <w:p>
            <w:pPr>
              <w:adjustRightInd w:val="0"/>
              <w:snapToGrid w:val="0"/>
              <w:spacing w:before="120" w:beforeLines="50" w:line="360" w:lineRule="auto"/>
              <w:rPr>
                <w:b/>
                <w:bCs/>
                <w:color w:val="000000"/>
                <w:szCs w:val="32"/>
              </w:rPr>
            </w:pPr>
            <w:r>
              <w:rPr>
                <w:b/>
                <w:bCs/>
                <w:color w:val="000000"/>
                <w:szCs w:val="32"/>
              </w:rPr>
              <w:t>4、固废排放标准</w:t>
            </w:r>
          </w:p>
          <w:p>
            <w:pPr>
              <w:pStyle w:val="24"/>
              <w:adjustRightInd w:val="0"/>
              <w:snapToGrid w:val="0"/>
              <w:spacing w:before="0" w:beforeAutospacing="0" w:after="0" w:afterAutospacing="0" w:line="360" w:lineRule="auto"/>
              <w:ind w:firstLine="480" w:firstLineChars="200"/>
              <w:jc w:val="both"/>
              <w:outlineLvl w:val="0"/>
              <w:rPr>
                <w:rFonts w:hint="default" w:ascii="Times New Roman" w:hAnsi="Times New Roman" w:eastAsia="宋体"/>
                <w:szCs w:val="24"/>
                <w:lang w:val="en-US" w:eastAsia="zh-CN"/>
              </w:rPr>
            </w:pPr>
            <w:r>
              <w:rPr>
                <w:rFonts w:hint="eastAsia" w:ascii="Times New Roman" w:hAnsi="Times New Roman"/>
                <w:color w:val="000000"/>
                <w:szCs w:val="24"/>
              </w:rPr>
              <w:t>一般固废执行《一般工业固体废物贮存和填埋污染控制标准》（GB18599-2020）。</w:t>
            </w:r>
            <w:r>
              <w:rPr>
                <w:rFonts w:ascii="Times New Roman" w:hAnsi="Times New Roman"/>
                <w:color w:val="000000"/>
                <w:szCs w:val="24"/>
              </w:rPr>
              <w:t>危险废物按《危险废物贮存污染控制标准》（GB18597-2001）及其2013年修改单要求执行。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00" w:type="dxa"/>
            <w:vAlign w:val="center"/>
          </w:tcPr>
          <w:p>
            <w:pPr>
              <w:adjustRightInd w:val="0"/>
              <w:snapToGrid w:val="0"/>
              <w:jc w:val="center"/>
              <w:rPr>
                <w:color w:val="auto"/>
                <w:kern w:val="0"/>
              </w:rPr>
            </w:pPr>
            <w:r>
              <w:rPr>
                <w:color w:val="auto"/>
                <w:kern w:val="0"/>
              </w:rPr>
              <w:t>总量</w:t>
            </w:r>
          </w:p>
          <w:p>
            <w:pPr>
              <w:adjustRightInd w:val="0"/>
              <w:snapToGrid w:val="0"/>
              <w:jc w:val="center"/>
              <w:rPr>
                <w:color w:val="auto"/>
                <w:kern w:val="0"/>
              </w:rPr>
            </w:pPr>
            <w:r>
              <w:rPr>
                <w:color w:val="auto"/>
                <w:kern w:val="0"/>
              </w:rPr>
              <w:t>控制</w:t>
            </w:r>
          </w:p>
          <w:p>
            <w:pPr>
              <w:pStyle w:val="24"/>
              <w:adjustRightInd w:val="0"/>
              <w:snapToGrid w:val="0"/>
              <w:spacing w:before="0" w:beforeAutospacing="0" w:after="0" w:afterAutospacing="0" w:line="360" w:lineRule="auto"/>
              <w:jc w:val="center"/>
              <w:outlineLvl w:val="0"/>
              <w:rPr>
                <w:rFonts w:ascii="Times New Roman" w:hAnsi="Times New Roman"/>
                <w:snapToGrid w:val="0"/>
                <w:color w:val="000000"/>
                <w:szCs w:val="24"/>
              </w:rPr>
            </w:pPr>
            <w:r>
              <w:rPr>
                <w:rFonts w:ascii="Times New Roman" w:hAnsi="Times New Roman"/>
                <w:color w:val="auto"/>
                <w:szCs w:val="24"/>
              </w:rPr>
              <w:t>指标</w:t>
            </w:r>
          </w:p>
        </w:tc>
        <w:tc>
          <w:tcPr>
            <w:tcW w:w="8190" w:type="dxa"/>
          </w:tcPr>
          <w:p>
            <w:pPr>
              <w:pStyle w:val="24"/>
              <w:adjustRightInd w:val="0"/>
              <w:snapToGrid w:val="0"/>
              <w:spacing w:before="0" w:beforeAutospacing="0" w:after="0" w:afterAutospacing="0" w:line="360" w:lineRule="auto"/>
              <w:jc w:val="both"/>
              <w:outlineLvl w:val="0"/>
              <w:rPr>
                <w:rFonts w:hint="eastAsia" w:ascii="Times New Roman" w:hAnsi="Times New Roman"/>
                <w:color w:val="000000"/>
                <w:szCs w:val="24"/>
                <w:lang w:val="en-US" w:eastAsia="zh-CN"/>
              </w:rPr>
            </w:pPr>
          </w:p>
          <w:p>
            <w:pPr>
              <w:pStyle w:val="24"/>
              <w:adjustRightInd w:val="0"/>
              <w:snapToGrid w:val="0"/>
              <w:spacing w:before="0" w:beforeAutospacing="0" w:after="0" w:afterAutospacing="0" w:line="360" w:lineRule="auto"/>
              <w:jc w:val="both"/>
              <w:outlineLvl w:val="0"/>
              <w:rPr>
                <w:rFonts w:hint="eastAsia" w:ascii="Times New Roman" w:hAnsi="Times New Roman"/>
                <w:color w:val="000000"/>
                <w:szCs w:val="24"/>
                <w:lang w:val="en-US" w:eastAsia="zh-CN"/>
              </w:rPr>
            </w:pPr>
          </w:p>
          <w:p>
            <w:pPr>
              <w:keepNext w:val="0"/>
              <w:keepLines w:val="0"/>
              <w:suppressLineNumbers w:val="0"/>
              <w:adjustRightInd w:val="0"/>
              <w:snapToGrid w:val="0"/>
              <w:spacing w:before="120" w:beforeLines="50" w:beforeAutospacing="0" w:after="0" w:afterAutospacing="0" w:line="360" w:lineRule="auto"/>
              <w:ind w:left="0" w:right="0" w:firstLine="480" w:firstLineChars="200"/>
              <w:jc w:val="left"/>
              <w:rPr>
                <w:rFonts w:hint="default"/>
              </w:rPr>
            </w:pPr>
            <w:r>
              <w:rPr>
                <w:rFonts w:hint="default"/>
              </w:rPr>
              <w:t>根据</w:t>
            </w:r>
            <w:r>
              <w:rPr>
                <w:rFonts w:hint="eastAsia"/>
              </w:rPr>
              <w:t>宿州市生态环境局发布</w:t>
            </w:r>
            <w:r>
              <w:rPr>
                <w:rFonts w:hint="default"/>
              </w:rPr>
              <w:t>《建设项目主要污染物排放总量指标核定表（试行）》，</w:t>
            </w:r>
            <w:r>
              <w:rPr>
                <w:rFonts w:hint="eastAsia"/>
              </w:rPr>
              <w:t>本</w:t>
            </w:r>
            <w:r>
              <w:rPr>
                <w:rFonts w:hint="default"/>
              </w:rPr>
              <w:t>项目许可排放总量为：烟（粉）尘</w:t>
            </w:r>
            <w:r>
              <w:rPr>
                <w:rFonts w:hint="eastAsia"/>
                <w:lang w:val="en-US" w:eastAsia="zh-CN"/>
              </w:rPr>
              <w:t>1.208</w:t>
            </w:r>
            <w:r>
              <w:rPr>
                <w:rFonts w:hint="default"/>
              </w:rPr>
              <w:t>t/a，</w:t>
            </w:r>
            <w:r>
              <w:rPr>
                <w:rFonts w:hint="eastAsia"/>
              </w:rPr>
              <w:t>该项目所需总量由</w:t>
            </w:r>
            <w:r>
              <w:rPr>
                <w:rFonts w:hint="eastAsia"/>
                <w:spacing w:val="0"/>
                <w:sz w:val="24"/>
                <w:szCs w:val="24"/>
                <w:lang w:val="en-US" w:eastAsia="zh-CN"/>
              </w:rPr>
              <w:t>天瑞集团萧县水泥有限公司生产废气超低排放技改项目的减排量替代</w:t>
            </w:r>
            <w:r>
              <w:rPr>
                <w:rFonts w:hint="eastAsia"/>
              </w:rPr>
              <w:t>。</w:t>
            </w:r>
          </w:p>
          <w:p>
            <w:pPr>
              <w:pStyle w:val="24"/>
              <w:keepNext w:val="0"/>
              <w:keepLines w:val="0"/>
              <w:suppressLineNumbers w:val="0"/>
              <w:tabs>
                <w:tab w:val="left" w:pos="805"/>
              </w:tabs>
              <w:adjustRightInd w:val="0"/>
              <w:snapToGrid w:val="0"/>
              <w:spacing w:before="0" w:beforeAutospacing="0" w:after="0" w:afterAutospacing="0" w:line="360" w:lineRule="auto"/>
              <w:ind w:left="0" w:right="0" w:firstLine="480" w:firstLineChars="200"/>
              <w:jc w:val="both"/>
              <w:outlineLvl w:val="0"/>
              <w:rPr>
                <w:rFonts w:hint="eastAsia" w:ascii="Times New Roman" w:hAnsi="Times New Roman"/>
                <w:color w:val="000000"/>
                <w:szCs w:val="24"/>
                <w:lang w:val="en-US" w:eastAsia="zh-CN"/>
              </w:rPr>
            </w:pPr>
            <w:r>
              <w:rPr>
                <w:rFonts w:hint="default" w:ascii="Times New Roman" w:hAnsi="Times New Roman"/>
                <w:color w:val="auto"/>
              </w:rPr>
              <w:t>根据计算本项目污染物排放总量为烟（粉）尘</w:t>
            </w:r>
            <w:r>
              <w:rPr>
                <w:rFonts w:hint="eastAsia" w:ascii="Times New Roman" w:hAnsi="Times New Roman"/>
                <w:color w:val="auto"/>
                <w:lang w:val="en-US" w:eastAsia="zh-CN"/>
              </w:rPr>
              <w:t>1.125</w:t>
            </w:r>
            <w:r>
              <w:rPr>
                <w:rFonts w:hint="default" w:ascii="Times New Roman" w:hAnsi="Times New Roman"/>
                <w:color w:val="auto"/>
              </w:rPr>
              <w:t>t/a，满足总量控制的要求。</w:t>
            </w:r>
          </w:p>
          <w:p>
            <w:pPr>
              <w:pStyle w:val="24"/>
              <w:adjustRightInd w:val="0"/>
              <w:snapToGrid w:val="0"/>
              <w:spacing w:before="0" w:beforeAutospacing="0" w:after="0" w:afterAutospacing="0" w:line="360" w:lineRule="auto"/>
              <w:jc w:val="both"/>
              <w:outlineLvl w:val="0"/>
              <w:rPr>
                <w:rFonts w:hint="eastAsia" w:ascii="Times New Roman" w:hAnsi="Times New Roman"/>
                <w:color w:val="000000"/>
                <w:szCs w:val="24"/>
                <w:lang w:val="en-US" w:eastAsia="zh-CN"/>
              </w:rPr>
            </w:pPr>
          </w:p>
          <w:p>
            <w:pPr>
              <w:pStyle w:val="24"/>
              <w:adjustRightInd w:val="0"/>
              <w:snapToGrid w:val="0"/>
              <w:spacing w:before="0" w:beforeAutospacing="0" w:after="0" w:afterAutospacing="0" w:line="360" w:lineRule="auto"/>
              <w:jc w:val="both"/>
              <w:outlineLvl w:val="0"/>
              <w:rPr>
                <w:rFonts w:hint="eastAsia" w:ascii="Times New Roman" w:hAnsi="Times New Roman"/>
                <w:color w:val="000000"/>
                <w:szCs w:val="24"/>
                <w:lang w:val="en-US" w:eastAsia="zh-CN"/>
              </w:rPr>
            </w:pPr>
          </w:p>
          <w:p>
            <w:pPr>
              <w:pStyle w:val="24"/>
              <w:adjustRightInd w:val="0"/>
              <w:snapToGrid w:val="0"/>
              <w:spacing w:before="0" w:beforeAutospacing="0" w:after="0" w:afterAutospacing="0" w:line="360" w:lineRule="auto"/>
              <w:jc w:val="both"/>
              <w:outlineLvl w:val="0"/>
              <w:rPr>
                <w:rFonts w:hint="default" w:ascii="Times New Roman" w:hAnsi="Times New Roman" w:eastAsia="宋体"/>
                <w:color w:val="000000"/>
                <w:szCs w:val="24"/>
                <w:lang w:val="en-US" w:eastAsia="zh-CN"/>
              </w:rPr>
            </w:pPr>
          </w:p>
        </w:tc>
      </w:tr>
    </w:tbl>
    <w:p>
      <w:pPr>
        <w:pStyle w:val="24"/>
        <w:jc w:val="both"/>
        <w:outlineLvl w:val="0"/>
        <w:rPr>
          <w:rFonts w:ascii="黑体" w:hAnsi="黑体" w:eastAsia="黑体"/>
          <w:snapToGrid w:val="0"/>
          <w:sz w:val="36"/>
          <w:szCs w:val="36"/>
        </w:rPr>
        <w:sectPr>
          <w:pgSz w:w="11907" w:h="16840"/>
          <w:pgMar w:top="1701" w:right="1531" w:bottom="2127" w:left="1531" w:header="851" w:footer="851" w:gutter="0"/>
          <w:cols w:space="720" w:num="1"/>
          <w:docGrid w:linePitch="312" w:charSpace="0"/>
        </w:sectPr>
      </w:pPr>
    </w:p>
    <w:p>
      <w:pPr>
        <w:pStyle w:val="24"/>
        <w:jc w:val="center"/>
        <w:outlineLvl w:val="0"/>
        <w:rPr>
          <w:rFonts w:ascii="黑体" w:hAnsi="黑体" w:eastAsia="黑体"/>
          <w:snapToGrid w:val="0"/>
          <w:sz w:val="30"/>
          <w:szCs w:val="30"/>
        </w:rPr>
      </w:pPr>
      <w:r>
        <w:rPr>
          <w:rFonts w:hint="eastAsia" w:ascii="黑体" w:hAnsi="黑体" w:eastAsia="黑体"/>
          <w:snapToGrid w:val="0"/>
          <w:sz w:val="30"/>
          <w:szCs w:val="30"/>
        </w:rPr>
        <w:t>四、主要环境影响和保护措施</w:t>
      </w:r>
    </w:p>
    <w:tbl>
      <w:tblPr>
        <w:tblStyle w:val="26"/>
        <w:tblW w:w="90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2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834" w:type="dxa"/>
            <w:tcMar>
              <w:left w:w="28" w:type="dxa"/>
              <w:right w:w="28" w:type="dxa"/>
            </w:tcMar>
            <w:vAlign w:val="center"/>
          </w:tcPr>
          <w:p>
            <w:pPr>
              <w:pStyle w:val="24"/>
              <w:adjustRightInd w:val="0"/>
              <w:snapToGrid w:val="0"/>
              <w:spacing w:before="0" w:beforeAutospacing="0" w:after="0" w:afterAutospacing="0"/>
              <w:jc w:val="center"/>
              <w:rPr>
                <w:rFonts w:cs="宋体"/>
                <w:kern w:val="2"/>
                <w:szCs w:val="24"/>
              </w:rPr>
            </w:pPr>
            <w:r>
              <w:rPr>
                <w:rFonts w:hint="eastAsia" w:cs="宋体"/>
                <w:kern w:val="2"/>
                <w:szCs w:val="24"/>
              </w:rPr>
              <w:t>施工</w:t>
            </w:r>
          </w:p>
          <w:p>
            <w:pPr>
              <w:pStyle w:val="24"/>
              <w:adjustRightInd w:val="0"/>
              <w:snapToGrid w:val="0"/>
              <w:spacing w:before="0" w:beforeAutospacing="0" w:after="0" w:afterAutospacing="0"/>
              <w:jc w:val="center"/>
              <w:rPr>
                <w:rFonts w:cs="宋体"/>
                <w:kern w:val="2"/>
                <w:szCs w:val="24"/>
              </w:rPr>
            </w:pPr>
            <w:r>
              <w:rPr>
                <w:rFonts w:hint="eastAsia" w:cs="宋体"/>
                <w:kern w:val="2"/>
                <w:szCs w:val="24"/>
              </w:rPr>
              <w:t>期环</w:t>
            </w:r>
          </w:p>
          <w:p>
            <w:pPr>
              <w:pStyle w:val="24"/>
              <w:adjustRightInd w:val="0"/>
              <w:snapToGrid w:val="0"/>
              <w:spacing w:before="0" w:beforeAutospacing="0" w:after="0" w:afterAutospacing="0"/>
              <w:jc w:val="center"/>
              <w:rPr>
                <w:rFonts w:cs="宋体"/>
                <w:kern w:val="2"/>
                <w:szCs w:val="24"/>
              </w:rPr>
            </w:pPr>
            <w:r>
              <w:rPr>
                <w:rFonts w:hint="eastAsia" w:cs="宋体"/>
                <w:kern w:val="2"/>
                <w:szCs w:val="24"/>
              </w:rPr>
              <w:t>境保</w:t>
            </w:r>
          </w:p>
          <w:p>
            <w:pPr>
              <w:pStyle w:val="24"/>
              <w:adjustRightInd w:val="0"/>
              <w:snapToGrid w:val="0"/>
              <w:spacing w:before="0" w:beforeAutospacing="0" w:after="0" w:afterAutospacing="0"/>
              <w:jc w:val="center"/>
              <w:rPr>
                <w:rFonts w:cs="宋体"/>
                <w:kern w:val="2"/>
                <w:szCs w:val="24"/>
              </w:rPr>
            </w:pPr>
            <w:r>
              <w:rPr>
                <w:rFonts w:hint="eastAsia" w:cs="宋体"/>
                <w:kern w:val="2"/>
                <w:szCs w:val="24"/>
              </w:rPr>
              <w:t>护措</w:t>
            </w:r>
          </w:p>
          <w:p>
            <w:pPr>
              <w:pStyle w:val="24"/>
              <w:adjustRightInd w:val="0"/>
              <w:snapToGrid w:val="0"/>
              <w:spacing w:before="0" w:beforeAutospacing="0" w:after="0" w:afterAutospacing="0"/>
              <w:jc w:val="center"/>
              <w:rPr>
                <w:rFonts w:cs="宋体"/>
                <w:bCs/>
                <w:kern w:val="2"/>
                <w:sz w:val="21"/>
                <w:szCs w:val="21"/>
              </w:rPr>
            </w:pPr>
            <w:r>
              <w:rPr>
                <w:rFonts w:hint="eastAsia" w:cs="宋体"/>
                <w:kern w:val="2"/>
                <w:szCs w:val="24"/>
              </w:rPr>
              <w:t>施</w:t>
            </w:r>
          </w:p>
        </w:tc>
        <w:tc>
          <w:tcPr>
            <w:tcW w:w="82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b/>
                <w:color w:val="auto"/>
                <w:kern w:val="2"/>
                <w:sz w:val="24"/>
                <w:szCs w:val="24"/>
              </w:rPr>
            </w:pPr>
            <w:r>
              <w:rPr>
                <w:rFonts w:hint="default" w:ascii="Times New Roman" w:hAnsi="Times New Roman" w:eastAsia="宋体" w:cs="Times New Roman"/>
                <w:b/>
                <w:color w:val="auto"/>
                <w:kern w:val="2"/>
                <w:sz w:val="24"/>
                <w:szCs w:val="24"/>
                <w:lang w:val="en-US" w:eastAsia="zh-CN" w:bidi="ar"/>
              </w:rPr>
              <w:t>主要污染工序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施工期污染主要为大气污染物、噪声、固废和废水。其中大气污染物主要是建筑粉尘和动力设备及运输车辆排放的废气，后者的影响较小。</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1、施工扬尘</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施工期对大气造成污染的主要是粉尘，应严格按照</w:t>
            </w:r>
            <w:r>
              <w:rPr>
                <w:rFonts w:hint="default" w:ascii="Times New Roman" w:hAnsi="Times New Roman" w:cs="Times New Roman"/>
                <w:color w:val="auto"/>
                <w:spacing w:val="2"/>
                <w:sz w:val="24"/>
                <w:szCs w:val="24"/>
              </w:rPr>
              <w:t>《安徽省建筑工程施工扬尘污染防治规定》及</w:t>
            </w:r>
            <w:r>
              <w:rPr>
                <w:rFonts w:hint="default" w:ascii="Times New Roman" w:hAnsi="Times New Roman" w:cs="Times New Roman"/>
                <w:color w:val="auto"/>
                <w:kern w:val="44"/>
                <w:sz w:val="24"/>
                <w:szCs w:val="24"/>
              </w:rPr>
              <w:t>《宿州市建设工程施工扬尘污染治理工作实施方案》</w:t>
            </w:r>
            <w:r>
              <w:rPr>
                <w:rFonts w:hint="default" w:ascii="Times New Roman" w:hAnsi="Times New Roman" w:cs="Times New Roman"/>
                <w:color w:val="auto"/>
                <w:sz w:val="24"/>
                <w:szCs w:val="24"/>
              </w:rPr>
              <w:t>中相关规定控制施工期粉尘，具体措施如下：</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施工现场实行围挡全封闭。主要路段施工现场围挡要严格按照建筑工程施工扬尘污染防治规定要求设立，主要路段围挡高度不得低于2.5米，一般路段围挡高度不得低于1.8米。围挡要进行美化亮化，公益广告不得破损。围档底边应当封闭并设置防溢沉淀井，不得有泥浆外漏。</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（2）施工现场内道路、加工区实施混凝土硬化。硬化后的地面，不得有浮土、积土，裸露场地应当采取覆盖或绿化措施，祼土堆积时间超过3个月以上的必须绿化。</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（3）施工现场设置洒水降尘设施，安排专人定时洒水降尘。</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（4）施工现场土方开挖后尽快完成回填，不能及时回填的场地，采取覆盖等防尘措施；砂石等散体材料集中堆放并覆盖。</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（5）渣土等建筑垃圾集中、分类堆放，严密遮盖，采用封闭式管道或装袋清运，严禁高处抛洒。需要运输、处理的，按照市、县政府市容环境治理有关规定和要求办理。</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（6）外脚手架应当设置悬挂密目式安全网封闭，并保持严密整洁。</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（7）施工现场禁止焚烧沥青、油毡、橡胶、塑料、皮革、垃圾以及其他产生有毒有害烟尘和恶臭气体的物质。</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（8）施工现场必须使用商品混凝土和预拌砂浆，严禁现场搅拌混凝土、配制砂浆作业。</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（9）施工现场大门出口处必须设置自动冲洗设施，并保持设备处于开启使用状态，视频监控装置要实时监控，并保存车辆冲洗影像资料。</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（10）建筑面积1万平方米及以上的建筑施工工地现场要安装扬尘在线监测和视频监控装置并与当地住建部门联网，实行施工全过程监控。</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（11）施工单位应配备相应降尘设备（雾炮机、洒水车），保证现场防尘使用，在用设备外观必须干净美观。</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喷淋系统设置。塔式起重机安装高压喷淋系统，覆盖整个施工区域，每天不少于4次喷淋作业；外脚手架在首层悬挑周围或者10米高度设置喷淋系统，每隔5米设置一个喷头；道路安装喷淋系统定时洒水减少扬尘。</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（13）施工后期道路排水工程、绿化工程，施工时围挡不得拆除。挖土整平施工时必须进行湿式作业。裸土必须覆盖，渣土及时清运。</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（14）根据《安徽省重污染天气应急预案》启动Ⅲ级（黄色）预警以上或气象预报风速达到五级以上时，不得进行土方挖填和转运、拆除、道路路面鼓风机吹灰等易产生扬尘的作业。</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（15）建筑施工现场的施工总承包单位和工程监理单位要定期进行扬尘污染防治专项检查，并形成书面记录。对不能有效整改的项目，工程监理单位有向建设行政主管部门报告的义务。</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16</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现场封闭管理百分之百</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施工现场硬质围挡应连续设置，城区主要路段工地围挡高度不低于2.5m，一般路段的工地不低于1.8m，做到坚固、平稳、整洁、美观。在建工程外立面应用安全网实现全封闭围护。</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17</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场区道路硬化百分之百</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主要通道、进出道路、材料加工区及办公生活区地面进行硬化处理。</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18</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渣土物料蓬盖百分之百</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施工现场内裸露的场地和集中堆放的土方应采取覆盖、固化或绿化等防尘措施。易产生扬尘的物料要篷盖。</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19</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洒水清扫保洁百分之百</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现场设专人负责卫生保洁，每天上午、下午各进行二次洒水降尘，遇到干旱和大风天气时，应增加洒水降尘次数，确保无浮土扬尘。开挖、回填等土方作业时，要辅以洒水压尘等措施。工程竣工后，施工现场的临设、围挡、垃圾等必须及时清理完毕，清理时必须采取有效的降尘措施。</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20</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物料密闭运输百分之百</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易产生扬尘的建筑材料、渣土应采取密闭搬运、存储或采用防尘布苫盖等防尘措施。严禁熔融沥青、焚烧垃圾等有毒有害物质，禁止无牌无证车辆进入施工现场。</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出入车辆清洗百分之百</w:t>
            </w:r>
          </w:p>
          <w:p>
            <w:pPr>
              <w:spacing w:line="360" w:lineRule="auto"/>
              <w:ind w:firstLine="480" w:firstLineChars="200"/>
              <w:rPr>
                <w:rFonts w:hint="default" w:ascii="Times New Roman" w:hAnsi="Times New Roman" w:eastAsia="宋体" w:cs="Times New Roman"/>
                <w:i w:val="0"/>
                <w:caps w:val="0"/>
                <w:color w:val="auto"/>
                <w:spacing w:val="0"/>
                <w:sz w:val="28"/>
                <w:szCs w:val="28"/>
                <w:u w:val="none"/>
              </w:rPr>
            </w:pPr>
            <w:r>
              <w:rPr>
                <w:rFonts w:hint="default" w:ascii="Times New Roman" w:hAnsi="Times New Roman" w:cs="Times New Roman"/>
                <w:color w:val="auto"/>
                <w:sz w:val="24"/>
                <w:szCs w:val="24"/>
              </w:rPr>
              <w:t>施工现场出入口处设置自动车辆冲洗装置和沉淀池，运输车辆底盘和车轮冲洗干净后方可驶离施工现场。</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2、废水</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本项目建设期间产生的废水主要为施工人员生活废水。施工人员产生的生活废水利用当地已有设施处理。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3、噪声</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工程施工噪声源主要包括：工程开挖、构筑物砌筑、场地清理和修理等使用施工机械的固定声源噪声以及施工运输车辆的流动噪声声源。经建筑工程施工工地噪声源强类比调查分析，确定拟建工程的噪声影响主要来源于施工现场（场址区内）的声源噪声。施工期主要工程项目有地基平整、压实、基础开挖、商业用房及其它辅助与公用设施的建设、装修等。在施工过程中，设备产生的噪声可能对作业人员和场址周围环境造成一定影响，噪声源的声压级一般在80～90dB(A)左右。施工方应在施工期采取有效的噪声控制措施：</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①在设备选型时尽量采用低噪声设备，采用围栏进行施工。</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②合理安排施工时间，高噪声设备禁止在夜间(22:00-6:00)进行施工，尤其是要严格控制施工机械噪声值在大于85dB(A)的作业。</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③合理布局施工现场。施工时应将高噪声设备布置在场区中央，同时尽可能避免多台高噪声设备同时作业。</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④加强管理，尽量减少人为噪声（如钢管、模板等构件的装卸、搬运等）。</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由于本项目施工工期较短，负面影响只是暂时性的，在采取隔声降噪措施和严格管理下，场界噪声能达到国家《建筑施工场界环境噪声排放标准》（GB12523</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2011）的规定，因此在采取以上措施后，施工噪声对周围环境产生的影响较小。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4、固体废物</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施工期产生的固体废物主要有施工场地产生的建筑垃圾和施工人员产生的生活垃圾。施工产生的建筑垃圾应集中堆放，由施工单位运至市政指定建筑废渣专用堆放场，以免影响施工和环境卫生；施工人员产生的生活垃圾应全部及时交由环卫部门进行处置。</w:t>
            </w:r>
          </w:p>
          <w:p>
            <w:pPr>
              <w:spacing w:line="360" w:lineRule="auto"/>
              <w:ind w:firstLine="480" w:firstLineChars="200"/>
              <w:rPr>
                <w:rFonts w:ascii="宋体" w:hAnsi="宋体" w:cs="宋体"/>
              </w:rPr>
            </w:pPr>
          </w:p>
          <w:p>
            <w:pPr>
              <w:spacing w:line="360" w:lineRule="auto"/>
              <w:rPr>
                <w:szCs w:val="32"/>
                <w:lang w:bidi="ar"/>
              </w:rPr>
            </w:pPr>
          </w:p>
          <w:p>
            <w:pPr>
              <w:spacing w:line="360" w:lineRule="auto"/>
              <w:rPr>
                <w:szCs w:val="32"/>
                <w:lang w:bidi="ar"/>
              </w:rPr>
            </w:pPr>
          </w:p>
          <w:p>
            <w:pPr>
              <w:adjustRightInd w:val="0"/>
              <w:snapToGrid w:val="0"/>
              <w:spacing w:line="360" w:lineRule="auto"/>
              <w:rPr>
                <w:rFonts w:hint="eastAsia"/>
                <w:szCs w:val="32"/>
                <w:lang w:val="en-US" w:eastAsia="zh-CN" w:bidi="ar"/>
              </w:rPr>
            </w:pPr>
          </w:p>
          <w:p>
            <w:pPr>
              <w:adjustRightInd w:val="0"/>
              <w:snapToGrid w:val="0"/>
              <w:spacing w:line="360" w:lineRule="auto"/>
              <w:rPr>
                <w:rFonts w:hint="eastAsia"/>
                <w:szCs w:val="32"/>
                <w:lang w:val="en-US" w:eastAsia="zh-CN" w:bidi="ar"/>
              </w:rPr>
            </w:pPr>
          </w:p>
          <w:p>
            <w:pPr>
              <w:adjustRightInd w:val="0"/>
              <w:snapToGrid w:val="0"/>
              <w:spacing w:line="360" w:lineRule="auto"/>
              <w:rPr>
                <w:rFonts w:hint="eastAsia"/>
                <w:szCs w:val="32"/>
                <w:lang w:val="en-US" w:eastAsia="zh-CN" w:bidi="ar"/>
              </w:rPr>
            </w:pPr>
          </w:p>
          <w:p>
            <w:pPr>
              <w:adjustRightInd w:val="0"/>
              <w:snapToGrid w:val="0"/>
              <w:spacing w:line="360" w:lineRule="auto"/>
              <w:rPr>
                <w:rFonts w:hint="eastAsia"/>
                <w:szCs w:val="32"/>
                <w:lang w:val="en-US" w:eastAsia="zh-CN" w:bidi="ar"/>
              </w:rPr>
            </w:pPr>
          </w:p>
          <w:p>
            <w:pPr>
              <w:adjustRightInd w:val="0"/>
              <w:snapToGrid w:val="0"/>
              <w:spacing w:line="360" w:lineRule="auto"/>
              <w:rPr>
                <w:rFonts w:hint="eastAsia"/>
                <w:szCs w:val="32"/>
                <w:lang w:val="en-US" w:eastAsia="zh-CN" w:bidi="ar"/>
              </w:rPr>
            </w:pPr>
          </w:p>
          <w:p>
            <w:pPr>
              <w:adjustRightInd w:val="0"/>
              <w:snapToGrid w:val="0"/>
              <w:spacing w:line="360" w:lineRule="auto"/>
              <w:rPr>
                <w:rFonts w:hint="eastAsia"/>
                <w:szCs w:val="32"/>
                <w:lang w:val="en-US" w:eastAsia="zh-CN" w:bidi="ar"/>
              </w:rPr>
            </w:pPr>
          </w:p>
          <w:p>
            <w:pPr>
              <w:adjustRightInd w:val="0"/>
              <w:snapToGrid w:val="0"/>
              <w:spacing w:line="360" w:lineRule="auto"/>
              <w:rPr>
                <w:rFonts w:hint="eastAsia"/>
                <w:szCs w:val="32"/>
                <w:lang w:val="en-US" w:eastAsia="zh-CN" w:bidi="ar"/>
              </w:rPr>
            </w:pPr>
          </w:p>
          <w:p>
            <w:pPr>
              <w:adjustRightInd w:val="0"/>
              <w:snapToGrid w:val="0"/>
              <w:spacing w:line="360" w:lineRule="auto"/>
              <w:rPr>
                <w:rFonts w:hint="eastAsia"/>
                <w:szCs w:val="32"/>
                <w:lang w:val="en-US" w:eastAsia="zh-CN" w:bidi="ar"/>
              </w:rPr>
            </w:pPr>
          </w:p>
          <w:p>
            <w:pPr>
              <w:adjustRightInd w:val="0"/>
              <w:snapToGrid w:val="0"/>
              <w:spacing w:line="360" w:lineRule="auto"/>
              <w:rPr>
                <w:rFonts w:hint="default" w:eastAsia="宋体"/>
                <w:szCs w:val="32"/>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52" w:hRule="atLeast"/>
          <w:jc w:val="center"/>
        </w:trPr>
        <w:tc>
          <w:tcPr>
            <w:tcW w:w="834" w:type="dxa"/>
            <w:tcMar>
              <w:left w:w="28" w:type="dxa"/>
              <w:right w:w="28" w:type="dxa"/>
            </w:tcMar>
            <w:vAlign w:val="center"/>
          </w:tcPr>
          <w:p>
            <w:pPr>
              <w:adjustRightInd w:val="0"/>
              <w:snapToGrid w:val="0"/>
              <w:jc w:val="center"/>
              <w:rPr>
                <w:bCs/>
              </w:rPr>
            </w:pPr>
            <w:r>
              <w:rPr>
                <w:bCs/>
              </w:rPr>
              <w:t>运营期环境影响和保护措施</w:t>
            </w:r>
          </w:p>
        </w:tc>
        <w:tc>
          <w:tcPr>
            <w:tcW w:w="8210" w:type="dxa"/>
          </w:tcPr>
          <w:p>
            <w:pPr>
              <w:spacing w:line="360" w:lineRule="auto"/>
              <w:rPr>
                <w:rFonts w:ascii="Times New Roman" w:hAnsi="Times New Roman" w:cs="Times New Roman"/>
                <w:b/>
                <w:bCs/>
                <w:color w:val="000000"/>
                <w:sz w:val="24"/>
              </w:rPr>
            </w:pPr>
            <w:r>
              <w:rPr>
                <w:rFonts w:hint="eastAsia" w:cs="Times New Roman"/>
                <w:b/>
                <w:bCs/>
                <w:color w:val="000000"/>
                <w:sz w:val="24"/>
                <w:lang w:val="en-US" w:eastAsia="zh-CN"/>
              </w:rPr>
              <w:t>1</w:t>
            </w:r>
            <w:r>
              <w:rPr>
                <w:rFonts w:ascii="Times New Roman" w:hAnsi="Times New Roman" w:cs="Times New Roman"/>
                <w:b/>
                <w:bCs/>
                <w:color w:val="000000"/>
                <w:sz w:val="24"/>
              </w:rPr>
              <w:t>、废气</w:t>
            </w:r>
          </w:p>
          <w:p>
            <w:pPr>
              <w:tabs>
                <w:tab w:val="left" w:pos="1275"/>
              </w:tabs>
              <w:spacing w:line="360" w:lineRule="auto"/>
              <w:ind w:firstLine="480" w:firstLineChars="200"/>
              <w:rPr>
                <w:rFonts w:hint="eastAsia" w:ascii="Times New Roman" w:hAnsi="Times New Roman" w:cs="Times New Roman"/>
                <w:b/>
                <w:spacing w:val="-10"/>
                <w:sz w:val="24"/>
                <w:lang w:val="en-US" w:eastAsia="zh-CN"/>
              </w:rPr>
            </w:pPr>
            <w:r>
              <w:rPr>
                <w:rFonts w:ascii="Times New Roman" w:hAnsi="Times New Roman" w:cs="Times New Roman"/>
                <w:color w:val="000000"/>
                <w:sz w:val="24"/>
              </w:rPr>
              <w:t>本项目运营期废气主要是生活产生的食堂油烟，</w:t>
            </w:r>
            <w:r>
              <w:rPr>
                <w:rFonts w:ascii="Times New Roman" w:hAnsi="Times New Roman" w:cs="Times New Roman"/>
                <w:bCs/>
                <w:color w:val="000000"/>
                <w:sz w:val="24"/>
              </w:rPr>
              <w:t>筒仓呼吸粉尘、搅拌粉尘、原料堆场粉尘、运输车辆起尘等。</w:t>
            </w:r>
          </w:p>
          <w:p>
            <w:pPr>
              <w:numPr>
                <w:ilvl w:val="0"/>
                <w:numId w:val="0"/>
              </w:numPr>
              <w:spacing w:line="360" w:lineRule="auto"/>
              <w:ind w:firstLine="442" w:firstLineChars="200"/>
              <w:rPr>
                <w:rFonts w:ascii="Times New Roman" w:hAnsi="Times New Roman" w:cs="Times New Roman"/>
                <w:b/>
                <w:spacing w:val="-10"/>
                <w:sz w:val="24"/>
              </w:rPr>
            </w:pPr>
            <w:r>
              <w:rPr>
                <w:rFonts w:ascii="Times New Roman" w:hAnsi="Times New Roman" w:cs="Times New Roman"/>
                <w:b/>
                <w:spacing w:val="-10"/>
                <w:sz w:val="24"/>
              </w:rPr>
              <w:t>1</w:t>
            </w:r>
            <w:r>
              <w:rPr>
                <w:rFonts w:hint="eastAsia" w:cs="Times New Roman"/>
                <w:b/>
                <w:spacing w:val="-10"/>
                <w:sz w:val="24"/>
                <w:lang w:eastAsia="zh-CN"/>
              </w:rPr>
              <w:t>）</w:t>
            </w:r>
            <w:r>
              <w:rPr>
                <w:rFonts w:ascii="Times New Roman" w:hAnsi="Times New Roman" w:cs="Times New Roman"/>
                <w:b/>
                <w:spacing w:val="-10"/>
                <w:sz w:val="24"/>
              </w:rPr>
              <w:t>无组织废气</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①搅拌</w:t>
            </w:r>
            <w:r>
              <w:rPr>
                <w:rFonts w:hint="eastAsia" w:cs="Times New Roman"/>
                <w:sz w:val="24"/>
                <w:lang w:val="en-US" w:eastAsia="zh-CN"/>
              </w:rPr>
              <w:t>机搅拌</w:t>
            </w:r>
            <w:r>
              <w:rPr>
                <w:rFonts w:ascii="Times New Roman" w:hAnsi="Times New Roman" w:cs="Times New Roman"/>
                <w:sz w:val="24"/>
              </w:rPr>
              <w:t>产生的粉尘：粉料、砂料、添加剂、水通过输送机等按照配方设定分别通过称量斗称量后进入混合机充分混合搅拌，搅拌后即成为成品混凝土。皮带输送为密闭输送，且配置收尘设施。混合搅拌过程中会产生粉尘，粉尘经搅拌机配套脉冲式除尘器处理后经搅拌机顶部排放，粉尘产生系数参考《</w:t>
            </w:r>
            <w:r>
              <w:rPr>
                <w:rFonts w:hint="eastAsia" w:ascii="Times New Roman" w:hAnsi="Times New Roman" w:cs="Times New Roman"/>
                <w:sz w:val="24"/>
              </w:rPr>
              <w:t>排放源统计调查产排污核算方法</w:t>
            </w:r>
            <w:r>
              <w:rPr>
                <w:rFonts w:ascii="Times New Roman" w:hAnsi="Times New Roman" w:cs="Times New Roman"/>
                <w:sz w:val="24"/>
              </w:rPr>
              <w:t>》“表3021 水泥制品制造（含 3022 砼结构构件、3029 其他水泥类似制品制造）行业”中“混凝土制品”中的“物料混合搅拌”工艺排污系数为0.1</w:t>
            </w:r>
            <w:r>
              <w:rPr>
                <w:rFonts w:hint="eastAsia" w:cs="Times New Roman"/>
                <w:sz w:val="24"/>
                <w:lang w:val="en-US" w:eastAsia="zh-CN"/>
              </w:rPr>
              <w:t>3</w:t>
            </w:r>
            <w:r>
              <w:rPr>
                <w:rFonts w:ascii="Times New Roman" w:hAnsi="Times New Roman" w:cs="Times New Roman"/>
                <w:sz w:val="24"/>
              </w:rPr>
              <w:t>千克/吨-产品。搅拌机配套除尘器处理效率约为99.</w:t>
            </w:r>
            <w:r>
              <w:rPr>
                <w:rFonts w:hint="eastAsia" w:cs="Times New Roman"/>
                <w:sz w:val="24"/>
                <w:lang w:val="en-US" w:eastAsia="zh-CN"/>
              </w:rPr>
              <w:t>75</w:t>
            </w:r>
            <w:r>
              <w:rPr>
                <w:rFonts w:ascii="Times New Roman" w:hAnsi="Times New Roman" w:cs="Times New Roman"/>
                <w:sz w:val="24"/>
              </w:rPr>
              <w:t>%</w:t>
            </w:r>
            <w:r>
              <w:rPr>
                <w:rFonts w:hint="eastAsia" w:cs="Times New Roman"/>
                <w:sz w:val="24"/>
                <w:lang w:eastAsia="zh-CN"/>
              </w:rPr>
              <w:t>，</w:t>
            </w:r>
            <w:r>
              <w:rPr>
                <w:rFonts w:hint="eastAsia" w:cs="Times New Roman"/>
                <w:sz w:val="24"/>
                <w:lang w:val="en-US" w:eastAsia="zh-CN"/>
              </w:rPr>
              <w:t>年工作时间7440h</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000000"/>
                <w:sz w:val="24"/>
                <w:lang w:eastAsia="zh-CN"/>
              </w:rPr>
            </w:pPr>
            <w:r>
              <w:rPr>
                <w:rFonts w:ascii="Times New Roman" w:hAnsi="Times New Roman" w:cs="Times New Roman"/>
                <w:sz w:val="24"/>
              </w:rPr>
              <w:t>项目年产</w:t>
            </w:r>
            <w:r>
              <w:rPr>
                <w:rFonts w:hint="eastAsia" w:cs="Times New Roman"/>
                <w:sz w:val="24"/>
                <w:lang w:val="en-US" w:eastAsia="zh-CN"/>
              </w:rPr>
              <w:t>70</w:t>
            </w:r>
            <w:r>
              <w:rPr>
                <w:rFonts w:ascii="Times New Roman" w:hAnsi="Times New Roman" w:cs="Times New Roman"/>
                <w:sz w:val="24"/>
              </w:rPr>
              <w:t>万立方</w:t>
            </w:r>
            <w:r>
              <w:rPr>
                <w:rFonts w:hint="eastAsia" w:cs="Times New Roman"/>
                <w:sz w:val="24"/>
                <w:lang w:val="en-US" w:eastAsia="zh-CN"/>
              </w:rPr>
              <w:t>混凝土</w:t>
            </w:r>
            <w:r>
              <w:rPr>
                <w:rFonts w:ascii="Times New Roman" w:hAnsi="Times New Roman" w:cs="Times New Roman"/>
                <w:sz w:val="24"/>
              </w:rPr>
              <w:t>，年产混</w:t>
            </w:r>
            <w:r>
              <w:rPr>
                <w:rFonts w:ascii="Times New Roman" w:hAnsi="Times New Roman" w:cs="Times New Roman"/>
                <w:color w:val="000000"/>
                <w:sz w:val="24"/>
              </w:rPr>
              <w:t>凝土量约为</w:t>
            </w:r>
            <w:r>
              <w:rPr>
                <w:rFonts w:hint="eastAsia" w:cs="Times New Roman"/>
                <w:color w:val="000000"/>
                <w:sz w:val="24"/>
                <w:lang w:val="en-US" w:eastAsia="zh-CN"/>
              </w:rPr>
              <w:t>180</w:t>
            </w:r>
            <w:r>
              <w:rPr>
                <w:rFonts w:ascii="Times New Roman" w:hAnsi="Times New Roman" w:cs="Times New Roman"/>
                <w:color w:val="000000"/>
                <w:sz w:val="24"/>
              </w:rPr>
              <w:t>万吨</w:t>
            </w:r>
            <w:r>
              <w:rPr>
                <w:rStyle w:val="31"/>
                <w:rFonts w:hint="eastAsia"/>
                <w:color w:val="000000"/>
                <w:kern w:val="0"/>
                <w:sz w:val="24"/>
                <w:szCs w:val="24"/>
                <w:lang w:eastAsia="zh-CN"/>
              </w:rPr>
              <w:t>（</w:t>
            </w:r>
            <w:r>
              <w:rPr>
                <w:rStyle w:val="31"/>
                <w:rFonts w:hint="eastAsia"/>
                <w:color w:val="000000"/>
                <w:kern w:val="0"/>
                <w:sz w:val="24"/>
                <w:szCs w:val="24"/>
                <w:lang w:val="en-US" w:eastAsia="zh-CN"/>
              </w:rPr>
              <w:t>含工艺用水</w:t>
            </w:r>
            <w:r>
              <w:rPr>
                <w:rStyle w:val="31"/>
                <w:rFonts w:hint="eastAsia"/>
                <w:color w:val="000000"/>
                <w:kern w:val="0"/>
                <w:sz w:val="24"/>
                <w:szCs w:val="24"/>
                <w:lang w:eastAsia="zh-CN"/>
              </w:rPr>
              <w:t>）</w:t>
            </w:r>
            <w:r>
              <w:rPr>
                <w:rFonts w:hint="eastAsia" w:cs="Times New Roman"/>
                <w:b w:val="0"/>
                <w:bCs w:val="0"/>
                <w:i w:val="0"/>
                <w:iCs w:val="0"/>
                <w:color w:val="auto"/>
                <w:sz w:val="24"/>
                <w:szCs w:val="24"/>
                <w:lang w:val="en-US" w:eastAsia="zh-CN"/>
              </w:rPr>
              <w:t>，</w:t>
            </w:r>
            <w:r>
              <w:rPr>
                <w:rFonts w:hint="eastAsia" w:ascii="Times New Roman" w:hAnsi="Times New Roman" w:cs="Times New Roman"/>
                <w:sz w:val="24"/>
                <w:lang w:val="en-US" w:eastAsia="zh-CN"/>
              </w:rPr>
              <w:t>则</w:t>
            </w:r>
            <w:r>
              <w:rPr>
                <w:rFonts w:ascii="Times New Roman" w:hAnsi="Times New Roman" w:cs="Times New Roman"/>
                <w:color w:val="000000"/>
                <w:sz w:val="24"/>
              </w:rPr>
              <w:t>粉尘</w:t>
            </w:r>
            <w:r>
              <w:rPr>
                <w:rFonts w:hint="eastAsia" w:ascii="Times New Roman" w:hAnsi="Times New Roman" w:cs="Times New Roman"/>
                <w:color w:val="000000"/>
                <w:sz w:val="24"/>
                <w:lang w:val="en-US" w:eastAsia="zh-CN"/>
              </w:rPr>
              <w:t>产生</w:t>
            </w:r>
            <w:r>
              <w:rPr>
                <w:rFonts w:ascii="Times New Roman" w:hAnsi="Times New Roman" w:cs="Times New Roman"/>
                <w:color w:val="000000"/>
                <w:sz w:val="24"/>
              </w:rPr>
              <w:t>量为</w:t>
            </w:r>
            <w:r>
              <w:rPr>
                <w:rFonts w:hint="eastAsia" w:cs="Times New Roman"/>
                <w:color w:val="000000"/>
                <w:sz w:val="24"/>
                <w:lang w:val="en-US" w:eastAsia="zh-CN"/>
              </w:rPr>
              <w:t>234</w:t>
            </w:r>
            <w:r>
              <w:rPr>
                <w:rFonts w:ascii="Times New Roman" w:hAnsi="Times New Roman" w:cs="Times New Roman"/>
                <w:color w:val="000000"/>
                <w:sz w:val="24"/>
              </w:rPr>
              <w:t>t/a，经处理后</w:t>
            </w:r>
            <w:r>
              <w:rPr>
                <w:rFonts w:ascii="Times New Roman" w:hAnsi="Times New Roman" w:cs="Times New Roman"/>
                <w:b w:val="0"/>
                <w:bCs w:val="0"/>
                <w:color w:val="000000"/>
                <w:sz w:val="24"/>
              </w:rPr>
              <w:t>排放量为0</w:t>
            </w:r>
            <w:r>
              <w:rPr>
                <w:rFonts w:hint="eastAsia" w:cs="Times New Roman"/>
                <w:b w:val="0"/>
                <w:bCs w:val="0"/>
                <w:color w:val="000000"/>
                <w:sz w:val="24"/>
                <w:lang w:val="en-US" w:eastAsia="zh-CN"/>
              </w:rPr>
              <w:t>.585</w:t>
            </w:r>
            <w:r>
              <w:rPr>
                <w:rFonts w:ascii="Times New Roman" w:hAnsi="Times New Roman" w:cs="Times New Roman"/>
                <w:b w:val="0"/>
                <w:bCs w:val="0"/>
                <w:color w:val="000000"/>
                <w:sz w:val="24"/>
              </w:rPr>
              <w:t>t/a。</w:t>
            </w:r>
            <w:r>
              <w:rPr>
                <w:rFonts w:hint="eastAsia" w:ascii="Times New Roman" w:hAnsi="Times New Roman" w:cs="Times New Roman"/>
                <w:color w:val="000000"/>
                <w:sz w:val="24"/>
                <w:lang w:val="en-US" w:eastAsia="zh-CN"/>
              </w:rPr>
              <w:t>排放速率为</w:t>
            </w:r>
            <w:r>
              <w:rPr>
                <w:rFonts w:hint="eastAsia" w:cs="Times New Roman"/>
                <w:color w:val="000000"/>
                <w:sz w:val="24"/>
                <w:lang w:val="en-US" w:eastAsia="zh-CN"/>
              </w:rPr>
              <w:t>0.079</w:t>
            </w:r>
            <w:r>
              <w:rPr>
                <w:rFonts w:ascii="Times New Roman" w:hAnsi="Times New Roman" w:cs="Times New Roman"/>
                <w:bCs/>
                <w:color w:val="000000"/>
                <w:sz w:val="24"/>
              </w:rPr>
              <w:t>kg/h</w:t>
            </w:r>
            <w:r>
              <w:rPr>
                <w:rFonts w:hint="eastAsia" w:cs="Times New Roman"/>
                <w:bCs/>
                <w:color w:val="000000"/>
                <w:sz w:val="24"/>
                <w:lang w:eastAsia="zh-CN"/>
              </w:rPr>
              <w:t>。</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项目搅拌过程均在密闭厂房内进行，故废气已无组织形式排放计。</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②筒仓输送、装卸、呼吸孔等过程产生的粉尘：项目</w:t>
            </w:r>
            <w:r>
              <w:rPr>
                <w:rFonts w:hint="eastAsia" w:cs="Times New Roman"/>
                <w:sz w:val="24"/>
                <w:lang w:val="en-US" w:eastAsia="zh-CN"/>
              </w:rPr>
              <w:t>矿粉、</w:t>
            </w:r>
            <w:r>
              <w:rPr>
                <w:rFonts w:ascii="Times New Roman" w:hAnsi="Times New Roman" w:cs="Times New Roman"/>
                <w:sz w:val="24"/>
              </w:rPr>
              <w:t>水泥、粉煤灰均为筒仓储藏，同时采用全封闭进仓方式，用运输罐车通过气泵吹入筒仓，然后通过密闭管道输送至搅拌站内，筒仓设置除尘设施，产生的粉尘经脉冲式仓顶除尘器处理后经仓顶排放。粉尘产生系数参考《</w:t>
            </w:r>
            <w:r>
              <w:rPr>
                <w:rFonts w:hint="eastAsia" w:ascii="Times New Roman" w:hAnsi="Times New Roman" w:cs="Times New Roman"/>
                <w:sz w:val="24"/>
              </w:rPr>
              <w:t>排放源统计调查产排污核算方法</w:t>
            </w:r>
            <w:r>
              <w:rPr>
                <w:rFonts w:ascii="Times New Roman" w:hAnsi="Times New Roman" w:cs="Times New Roman"/>
                <w:sz w:val="24"/>
              </w:rPr>
              <w:t>》“表3021 水泥制品制造（含 3022 砼结构构件、3029 其他水泥类似制品制造）行业”中“混凝土制品”中的“物料输送储存”工艺排污系数为0.1</w:t>
            </w:r>
            <w:r>
              <w:rPr>
                <w:rFonts w:hint="eastAsia" w:cs="Times New Roman"/>
                <w:sz w:val="24"/>
                <w:lang w:val="en-US" w:eastAsia="zh-CN"/>
              </w:rPr>
              <w:t>2</w:t>
            </w:r>
            <w:r>
              <w:rPr>
                <w:rFonts w:ascii="Times New Roman" w:hAnsi="Times New Roman" w:cs="Times New Roman"/>
                <w:sz w:val="24"/>
              </w:rPr>
              <w:t>千克/吨-产品。筒仓配套除尘器处理效率约为99.</w:t>
            </w:r>
            <w:r>
              <w:rPr>
                <w:rFonts w:hint="eastAsia" w:cs="Times New Roman"/>
                <w:sz w:val="24"/>
                <w:lang w:val="en-US" w:eastAsia="zh-CN"/>
              </w:rPr>
              <w:t>75</w:t>
            </w:r>
            <w:r>
              <w:rPr>
                <w:rFonts w:ascii="Times New Roman" w:hAnsi="Times New Roman" w:cs="Times New Roman"/>
                <w:sz w:val="24"/>
              </w:rPr>
              <w:t>%，项目粉尘经处理后以无组织形式在搅拌楼车间内排放，搅拌楼车间为密闭厂房。项目车间骨料下料处</w:t>
            </w:r>
            <w:r>
              <w:rPr>
                <w:rFonts w:ascii="Times New Roman" w:hAnsi="Times New Roman" w:cs="Times New Roman"/>
                <w:bCs/>
                <w:color w:val="000000"/>
                <w:sz w:val="24"/>
              </w:rPr>
              <w:t>安装喷雾洒水降尘设备，降低生产车间粉尘的排放量</w:t>
            </w:r>
            <w:r>
              <w:rPr>
                <w:rFonts w:ascii="Times New Roman" w:hAnsi="Times New Roman" w:cs="Times New Roman"/>
                <w:sz w:val="24"/>
              </w:rPr>
              <w:t>。</w:t>
            </w:r>
          </w:p>
          <w:p>
            <w:pPr>
              <w:adjustRightInd w:val="0"/>
              <w:snapToGrid w:val="0"/>
              <w:spacing w:line="360" w:lineRule="auto"/>
              <w:ind w:firstLine="480" w:firstLineChars="200"/>
              <w:rPr>
                <w:rFonts w:ascii="Times New Roman" w:hAnsi="Times New Roman" w:cs="Times New Roman"/>
                <w:bCs/>
                <w:color w:val="000000"/>
                <w:sz w:val="24"/>
              </w:rPr>
            </w:pPr>
            <w:r>
              <w:rPr>
                <w:rFonts w:ascii="Times New Roman" w:hAnsi="Times New Roman" w:cs="Times New Roman"/>
                <w:sz w:val="24"/>
              </w:rPr>
              <w:t>项目年产</w:t>
            </w:r>
            <w:r>
              <w:rPr>
                <w:rFonts w:hint="eastAsia" w:cs="Times New Roman"/>
                <w:sz w:val="24"/>
                <w:lang w:val="en-US" w:eastAsia="zh-CN"/>
              </w:rPr>
              <w:t>70</w:t>
            </w:r>
            <w:r>
              <w:rPr>
                <w:rFonts w:ascii="Times New Roman" w:hAnsi="Times New Roman" w:cs="Times New Roman"/>
                <w:sz w:val="24"/>
              </w:rPr>
              <w:t>万立方</w:t>
            </w:r>
            <w:r>
              <w:rPr>
                <w:rFonts w:hint="eastAsia" w:cs="Times New Roman"/>
                <w:sz w:val="24"/>
                <w:lang w:val="en-US" w:eastAsia="zh-CN"/>
              </w:rPr>
              <w:t>混凝土</w:t>
            </w:r>
            <w:r>
              <w:rPr>
                <w:rFonts w:ascii="Times New Roman" w:hAnsi="Times New Roman" w:cs="Times New Roman"/>
                <w:sz w:val="24"/>
              </w:rPr>
              <w:t>，年产混</w:t>
            </w:r>
            <w:r>
              <w:rPr>
                <w:rFonts w:ascii="Times New Roman" w:hAnsi="Times New Roman" w:cs="Times New Roman"/>
                <w:color w:val="000000"/>
                <w:sz w:val="24"/>
              </w:rPr>
              <w:t>凝土量约为</w:t>
            </w:r>
            <w:r>
              <w:rPr>
                <w:rFonts w:hint="eastAsia" w:cs="Times New Roman"/>
                <w:color w:val="000000"/>
                <w:sz w:val="24"/>
                <w:lang w:val="en-US" w:eastAsia="zh-CN"/>
              </w:rPr>
              <w:t>180</w:t>
            </w:r>
            <w:r>
              <w:rPr>
                <w:rFonts w:ascii="Times New Roman" w:hAnsi="Times New Roman" w:cs="Times New Roman"/>
                <w:color w:val="000000"/>
                <w:sz w:val="24"/>
              </w:rPr>
              <w:t>万吨</w:t>
            </w:r>
            <w:r>
              <w:rPr>
                <w:rStyle w:val="31"/>
                <w:rFonts w:hint="eastAsia"/>
                <w:color w:val="000000"/>
                <w:kern w:val="0"/>
                <w:sz w:val="24"/>
                <w:szCs w:val="24"/>
                <w:lang w:eastAsia="zh-CN"/>
              </w:rPr>
              <w:t>（</w:t>
            </w:r>
            <w:r>
              <w:rPr>
                <w:rStyle w:val="31"/>
                <w:rFonts w:hint="eastAsia"/>
                <w:color w:val="000000"/>
                <w:kern w:val="0"/>
                <w:sz w:val="24"/>
                <w:szCs w:val="24"/>
                <w:lang w:val="en-US" w:eastAsia="zh-CN"/>
              </w:rPr>
              <w:t>含工艺用水</w:t>
            </w:r>
            <w:r>
              <w:rPr>
                <w:rStyle w:val="31"/>
                <w:rFonts w:hint="eastAsia"/>
                <w:color w:val="000000"/>
                <w:kern w:val="0"/>
                <w:sz w:val="24"/>
                <w:szCs w:val="24"/>
                <w:lang w:eastAsia="zh-CN"/>
              </w:rPr>
              <w:t>）</w:t>
            </w:r>
            <w:r>
              <w:rPr>
                <w:rFonts w:ascii="Times New Roman" w:hAnsi="Times New Roman" w:cs="Times New Roman"/>
                <w:color w:val="000000"/>
                <w:sz w:val="24"/>
              </w:rPr>
              <w:t>，混凝土生产线产生的粉尘量为</w:t>
            </w:r>
            <w:r>
              <w:rPr>
                <w:rFonts w:hint="eastAsia" w:cs="Times New Roman"/>
                <w:color w:val="000000"/>
                <w:sz w:val="24"/>
                <w:lang w:val="en-US" w:eastAsia="zh-CN"/>
              </w:rPr>
              <w:t>216</w:t>
            </w:r>
            <w:r>
              <w:rPr>
                <w:rFonts w:ascii="Times New Roman" w:hAnsi="Times New Roman" w:cs="Times New Roman"/>
                <w:color w:val="000000"/>
                <w:sz w:val="24"/>
              </w:rPr>
              <w:t>t/a，经处理后排放量为0.</w:t>
            </w:r>
            <w:r>
              <w:rPr>
                <w:rFonts w:hint="eastAsia" w:cs="Times New Roman"/>
                <w:color w:val="000000"/>
                <w:sz w:val="24"/>
                <w:lang w:val="en-US" w:eastAsia="zh-CN"/>
              </w:rPr>
              <w:t>54</w:t>
            </w:r>
            <w:r>
              <w:rPr>
                <w:rFonts w:ascii="Times New Roman" w:hAnsi="Times New Roman" w:cs="Times New Roman"/>
                <w:color w:val="000000"/>
                <w:sz w:val="24"/>
              </w:rPr>
              <w:t>t/a。</w:t>
            </w:r>
            <w:r>
              <w:rPr>
                <w:rFonts w:ascii="Times New Roman" w:hAnsi="Times New Roman" w:cs="Times New Roman"/>
                <w:bCs/>
                <w:color w:val="000000"/>
                <w:sz w:val="24"/>
              </w:rPr>
              <w:t>本项目</w:t>
            </w:r>
            <w:r>
              <w:rPr>
                <w:rFonts w:hint="eastAsia" w:cs="Times New Roman"/>
                <w:bCs/>
                <w:color w:val="000000"/>
                <w:sz w:val="24"/>
                <w:lang w:val="en-US" w:eastAsia="zh-CN"/>
              </w:rPr>
              <w:t>筒仓呼吸</w:t>
            </w:r>
            <w:r>
              <w:rPr>
                <w:rFonts w:ascii="Times New Roman" w:hAnsi="Times New Roman" w:cs="Times New Roman"/>
                <w:bCs/>
                <w:color w:val="000000"/>
                <w:sz w:val="24"/>
              </w:rPr>
              <w:t>时间按照全年8760h/a计，则排放速率约为0.</w:t>
            </w:r>
            <w:r>
              <w:rPr>
                <w:rFonts w:hint="eastAsia" w:cs="Times New Roman"/>
                <w:bCs/>
                <w:color w:val="000000"/>
                <w:sz w:val="24"/>
                <w:lang w:val="en-US" w:eastAsia="zh-CN"/>
              </w:rPr>
              <w:t>062</w:t>
            </w:r>
            <w:r>
              <w:rPr>
                <w:rFonts w:ascii="Times New Roman" w:hAnsi="Times New Roman" w:cs="Times New Roman"/>
                <w:bCs/>
                <w:color w:val="000000"/>
                <w:sz w:val="24"/>
              </w:rPr>
              <w:t>kg/h。</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项目生产工艺以及生产车间均采取密闭方式，为减少地面、设备积尘等问题，环评建议建设单位应对密闭车间采取定期清扫的措施。</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③原料堆场产生的粉尘</w:t>
            </w:r>
          </w:p>
          <w:p>
            <w:pPr>
              <w:adjustRightInd w:val="0"/>
              <w:snapToGrid w:val="0"/>
              <w:spacing w:line="360" w:lineRule="auto"/>
              <w:ind w:firstLine="480" w:firstLineChars="200"/>
              <w:rPr>
                <w:rFonts w:ascii="Times New Roman" w:hAnsi="Times New Roman" w:cs="Times New Roman"/>
                <w:bCs/>
                <w:color w:val="000000"/>
                <w:sz w:val="24"/>
              </w:rPr>
            </w:pPr>
            <w:r>
              <w:rPr>
                <w:rFonts w:ascii="Times New Roman" w:hAnsi="Times New Roman" w:cs="Times New Roman"/>
                <w:bCs/>
                <w:sz w:val="24"/>
              </w:rPr>
              <w:t>根据有关调研资料分析，堆场主要的大气环境问题是粒径较小的砂屑在风力作用下引起，会对下风向大气环境造成污染，堆场粉尘产生跟原料干湿程度、粒径大小、环境等有密切关系，随机性较强，本项目主要堆放石子，粒径在0~40mm之间，根据《逸散性工业粉尘控制技术》，在原料储存、运输、卸料等工序中粉尘的产生系数为0.1565kg/t原料。本项目原料仓库采用封闭式结构，可较大程度的减少原料储存风蚀产生的粉尘；此外，建设单位拟配置洒水车对原料运输、卸料等工序进行洒水抑尘，原料仓库设置喷淋管道进行抑尘。经以上措施处理后，可使该部分粉尘排放量减99%左右，则本项目的物料运输、储存和装卸粉尘排放量约为0.001565kg/t原料，</w:t>
            </w:r>
            <w:r>
              <w:rPr>
                <w:rFonts w:ascii="Times New Roman" w:hAnsi="Times New Roman" w:cs="Times New Roman"/>
                <w:bCs/>
                <w:color w:val="000000"/>
                <w:sz w:val="24"/>
              </w:rPr>
              <w:t>本项目使用</w:t>
            </w:r>
            <w:r>
              <w:rPr>
                <w:rFonts w:hint="eastAsia" w:cs="Times New Roman"/>
                <w:bCs/>
                <w:color w:val="000000"/>
                <w:sz w:val="24"/>
                <w:lang w:val="en-US" w:eastAsia="zh-CN"/>
              </w:rPr>
              <w:t>机制</w:t>
            </w:r>
            <w:r>
              <w:rPr>
                <w:rFonts w:ascii="Times New Roman" w:hAnsi="Times New Roman" w:cs="Times New Roman"/>
                <w:bCs/>
                <w:color w:val="000000"/>
                <w:sz w:val="24"/>
              </w:rPr>
              <w:t>砂、</w:t>
            </w:r>
            <w:r>
              <w:rPr>
                <w:rFonts w:hint="eastAsia" w:cs="Times New Roman"/>
                <w:bCs/>
                <w:color w:val="000000"/>
                <w:sz w:val="24"/>
                <w:lang w:val="en-US" w:eastAsia="zh-CN"/>
              </w:rPr>
              <w:t>细砂、</w:t>
            </w:r>
            <w:r>
              <w:rPr>
                <w:rFonts w:ascii="Times New Roman" w:hAnsi="Times New Roman" w:cs="Times New Roman"/>
                <w:bCs/>
                <w:color w:val="000000"/>
                <w:sz w:val="24"/>
              </w:rPr>
              <w:t>石子总量约为</w:t>
            </w:r>
            <w:r>
              <w:rPr>
                <w:rFonts w:hint="eastAsia" w:cs="Times New Roman"/>
                <w:bCs/>
                <w:color w:val="000000"/>
                <w:sz w:val="24"/>
                <w:lang w:val="en-US" w:eastAsia="zh-CN"/>
              </w:rPr>
              <w:t>136.5</w:t>
            </w:r>
            <w:r>
              <w:rPr>
                <w:rFonts w:ascii="Times New Roman" w:hAnsi="Times New Roman" w:cs="Times New Roman"/>
                <w:bCs/>
                <w:color w:val="000000"/>
                <w:sz w:val="24"/>
              </w:rPr>
              <w:t>万t/a，则无组织粉尘排放量约为</w:t>
            </w:r>
            <w:r>
              <w:rPr>
                <w:rFonts w:hint="eastAsia" w:cs="Times New Roman"/>
                <w:bCs/>
                <w:color w:val="000000"/>
                <w:sz w:val="24"/>
                <w:lang w:val="en-US" w:eastAsia="zh-CN"/>
              </w:rPr>
              <w:t>2.136</w:t>
            </w:r>
            <w:r>
              <w:rPr>
                <w:rFonts w:ascii="Times New Roman" w:hAnsi="Times New Roman" w:cs="Times New Roman"/>
                <w:bCs/>
                <w:color w:val="000000"/>
                <w:sz w:val="24"/>
              </w:rPr>
              <w:t>t/a，本项目物料贮存时间按照全年8760h/a计，则排放速率约为0.</w:t>
            </w:r>
            <w:r>
              <w:rPr>
                <w:rFonts w:hint="eastAsia" w:cs="Times New Roman"/>
                <w:bCs/>
                <w:color w:val="000000"/>
                <w:sz w:val="24"/>
                <w:lang w:val="en-US" w:eastAsia="zh-CN"/>
              </w:rPr>
              <w:t>244</w:t>
            </w:r>
            <w:r>
              <w:rPr>
                <w:rFonts w:ascii="Times New Roman" w:hAnsi="Times New Roman" w:cs="Times New Roman"/>
                <w:bCs/>
                <w:color w:val="000000"/>
                <w:sz w:val="24"/>
              </w:rPr>
              <w:t>kg/h。</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④运输车辆起尘</w:t>
            </w:r>
          </w:p>
          <w:p>
            <w:pPr>
              <w:adjustRightInd w:val="0"/>
              <w:snapToGrid w:val="0"/>
              <w:spacing w:line="360" w:lineRule="auto"/>
              <w:ind w:firstLine="480" w:firstLineChars="200"/>
              <w:rPr>
                <w:rFonts w:ascii="Times New Roman" w:hAnsi="Times New Roman" w:cs="Times New Roman"/>
                <w:bCs/>
                <w:spacing w:val="-10"/>
                <w:sz w:val="24"/>
              </w:rPr>
            </w:pPr>
            <w:r>
              <w:rPr>
                <w:rFonts w:ascii="Times New Roman" w:hAnsi="Times New Roman" w:cs="Times New Roman"/>
                <w:bCs/>
                <w:sz w:val="24"/>
              </w:rPr>
              <w:t>车辆行驶产生的扬尘，在道路完全干燥的条件下，可按照下列经验公式计算：</w:t>
            </w:r>
          </w:p>
          <w:p>
            <w:pPr>
              <w:adjustRightInd w:val="0"/>
              <w:snapToGrid w:val="0"/>
              <w:spacing w:line="360" w:lineRule="auto"/>
              <w:jc w:val="center"/>
              <w:rPr>
                <w:rFonts w:ascii="Times New Roman" w:hAnsi="Times New Roman" w:cs="Times New Roman"/>
                <w:bCs/>
                <w:spacing w:val="-10"/>
                <w:sz w:val="24"/>
              </w:rPr>
            </w:pPr>
            <w:r>
              <w:rPr>
                <w:rFonts w:ascii="Times New Roman" w:hAnsi="Times New Roman" w:cs="Times New Roman"/>
              </w:rPr>
              <w:drawing>
                <wp:inline distT="0" distB="0" distL="114300" distR="114300">
                  <wp:extent cx="3509645" cy="1259205"/>
                  <wp:effectExtent l="0" t="0" r="14605" b="171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rcRect r="25006"/>
                          <a:stretch>
                            <a:fillRect/>
                          </a:stretch>
                        </pic:blipFill>
                        <pic:spPr>
                          <a:xfrm>
                            <a:off x="0" y="0"/>
                            <a:ext cx="3509645" cy="1259205"/>
                          </a:xfrm>
                          <a:prstGeom prst="rect">
                            <a:avLst/>
                          </a:prstGeom>
                          <a:noFill/>
                          <a:ln>
                            <a:noFill/>
                          </a:ln>
                        </pic:spPr>
                      </pic:pic>
                    </a:graphicData>
                  </a:graphic>
                </wp:inline>
              </w:drawing>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本项目车辆在厂区行驶距离按200m计，平均每天发空车、重载各约</w:t>
            </w:r>
            <w:r>
              <w:rPr>
                <w:rFonts w:hint="eastAsia" w:cs="Times New Roman"/>
                <w:bCs/>
                <w:color w:val="auto"/>
                <w:sz w:val="24"/>
                <w:lang w:val="en-US" w:eastAsia="zh-CN"/>
              </w:rPr>
              <w:t>155</w:t>
            </w:r>
            <w:r>
              <w:rPr>
                <w:rFonts w:ascii="Times New Roman" w:hAnsi="Times New Roman" w:cs="Times New Roman"/>
                <w:bCs/>
                <w:sz w:val="24"/>
              </w:rPr>
              <w:t>辆·次，空车重约10.0t，重车重约30.0t，以10km/h行驶，本环评对道路路况以0.2kg/m</w:t>
            </w:r>
            <w:r>
              <w:rPr>
                <w:rFonts w:ascii="Times New Roman" w:hAnsi="Times New Roman" w:cs="Times New Roman"/>
                <w:bCs/>
                <w:sz w:val="24"/>
                <w:vertAlign w:val="superscript"/>
              </w:rPr>
              <w:t>2</w:t>
            </w:r>
            <w:r>
              <w:rPr>
                <w:rFonts w:ascii="Times New Roman" w:hAnsi="Times New Roman" w:cs="Times New Roman"/>
                <w:bCs/>
                <w:sz w:val="24"/>
              </w:rPr>
              <w:t>计，则经计算，项目每日空车扬尘量为5.27kg/d（1.74t/a），重车扬尘量为13.64kg/d（4.5t/a）。因此，车辆运输过程扬尘量合计为6.24t/a。根据本项目的情况，要求项目建设单位对厂区内地面定期派专人进行路面清扫、洒水，在厂区进出口设置一座洗车台，车辆进出均需经洗车台清洗，以减少道路扬尘，经采取降尘措施后，汽车动力起尘量减少90%，则项目汽车扬尘会减少至0.624t/a。</w:t>
            </w:r>
          </w:p>
          <w:p>
            <w:pPr>
              <w:adjustRightInd w:val="0"/>
              <w:snapToGrid w:val="0"/>
              <w:spacing w:line="360" w:lineRule="auto"/>
              <w:ind w:left="480" w:leftChars="200"/>
              <w:rPr>
                <w:rFonts w:ascii="Times New Roman" w:hAnsi="Times New Roman" w:cs="Times New Roman"/>
                <w:b/>
                <w:spacing w:val="-10"/>
                <w:sz w:val="24"/>
              </w:rPr>
            </w:pPr>
            <w:r>
              <w:rPr>
                <w:rFonts w:ascii="Times New Roman" w:hAnsi="Times New Roman" w:cs="Times New Roman"/>
                <w:b/>
                <w:spacing w:val="-10"/>
                <w:sz w:val="24"/>
              </w:rPr>
              <w:t>2、食堂油烟</w:t>
            </w:r>
          </w:p>
          <w:p>
            <w:pPr>
              <w:adjustRightInd w:val="0"/>
              <w:snapToGrid w:val="0"/>
              <w:spacing w:line="360" w:lineRule="auto"/>
              <w:ind w:firstLine="480"/>
              <w:jc w:val="left"/>
              <w:rPr>
                <w:rFonts w:ascii="Times New Roman" w:hAnsi="Times New Roman" w:cs="Times New Roman"/>
                <w:bCs/>
                <w:sz w:val="24"/>
              </w:rPr>
            </w:pPr>
            <w:r>
              <w:rPr>
                <w:rFonts w:ascii="Times New Roman" w:hAnsi="Times New Roman" w:cs="Times New Roman"/>
                <w:sz w:val="24"/>
              </w:rPr>
              <w:t>本项目按照</w:t>
            </w:r>
            <w:r>
              <w:rPr>
                <w:rFonts w:hint="eastAsia" w:cs="Times New Roman"/>
                <w:sz w:val="24"/>
                <w:lang w:val="en-US" w:eastAsia="zh-CN"/>
              </w:rPr>
              <w:t>80</w:t>
            </w:r>
            <w:r>
              <w:rPr>
                <w:rFonts w:ascii="Times New Roman" w:hAnsi="Times New Roman" w:cs="Times New Roman"/>
                <w:sz w:val="24"/>
              </w:rPr>
              <w:t>人用餐计，食堂油烟可按食用油消耗系数计算。一般食堂食用油消耗系数为30g/人·天，则食用油消耗量为0.</w:t>
            </w:r>
            <w:r>
              <w:rPr>
                <w:rFonts w:hint="eastAsia" w:cs="Times New Roman"/>
                <w:sz w:val="24"/>
                <w:lang w:val="en-US" w:eastAsia="zh-CN"/>
              </w:rPr>
              <w:t>744</w:t>
            </w:r>
            <w:r>
              <w:rPr>
                <w:rFonts w:ascii="Times New Roman" w:hAnsi="Times New Roman" w:cs="Times New Roman"/>
                <w:sz w:val="24"/>
              </w:rPr>
              <w:t>t/a，食用油约3%在烹饪过程中散发出来，食堂油烟的产生量为0.0</w:t>
            </w:r>
            <w:r>
              <w:rPr>
                <w:rFonts w:hint="eastAsia" w:cs="Times New Roman"/>
                <w:sz w:val="24"/>
                <w:lang w:val="en-US" w:eastAsia="zh-CN"/>
              </w:rPr>
              <w:t>22</w:t>
            </w:r>
            <w:r>
              <w:rPr>
                <w:rFonts w:ascii="Times New Roman" w:hAnsi="Times New Roman" w:cs="Times New Roman"/>
                <w:sz w:val="24"/>
              </w:rPr>
              <w:t>t/a。</w:t>
            </w:r>
            <w:r>
              <w:rPr>
                <w:rFonts w:ascii="Times New Roman" w:hAnsi="Times New Roman" w:cs="Times New Roman"/>
                <w:bCs/>
                <w:sz w:val="24"/>
              </w:rPr>
              <w:t>建设单位加装油烟净化器，系统风量为</w:t>
            </w:r>
            <w:r>
              <w:rPr>
                <w:rFonts w:hint="eastAsia" w:cs="Times New Roman"/>
                <w:bCs/>
                <w:sz w:val="24"/>
                <w:lang w:val="en-US" w:eastAsia="zh-CN"/>
              </w:rPr>
              <w:t>4</w:t>
            </w:r>
            <w:r>
              <w:rPr>
                <w:rFonts w:ascii="Times New Roman" w:hAnsi="Times New Roman" w:cs="Times New Roman"/>
                <w:bCs/>
                <w:sz w:val="24"/>
              </w:rPr>
              <w:t>000m</w:t>
            </w:r>
            <w:r>
              <w:rPr>
                <w:rFonts w:ascii="Times New Roman" w:hAnsi="Times New Roman" w:cs="Times New Roman"/>
                <w:bCs/>
                <w:sz w:val="24"/>
                <w:vertAlign w:val="superscript"/>
              </w:rPr>
              <w:t>3</w:t>
            </w:r>
            <w:r>
              <w:rPr>
                <w:rFonts w:ascii="Times New Roman" w:hAnsi="Times New Roman" w:cs="Times New Roman"/>
                <w:bCs/>
                <w:sz w:val="24"/>
              </w:rPr>
              <w:t>/h，净化效率达到60%以上（本项目按60％计算），运行时间按4h/d计算，油烟产生浓度为</w:t>
            </w:r>
            <w:r>
              <w:rPr>
                <w:rFonts w:hint="eastAsia" w:cs="Times New Roman"/>
                <w:bCs/>
                <w:sz w:val="24"/>
                <w:lang w:val="en-US" w:eastAsia="zh-CN"/>
              </w:rPr>
              <w:t>4.435</w:t>
            </w:r>
            <w:r>
              <w:rPr>
                <w:rFonts w:ascii="Times New Roman" w:hAnsi="Times New Roman" w:cs="Times New Roman"/>
                <w:bCs/>
                <w:sz w:val="24"/>
              </w:rPr>
              <w:t>mg/m</w:t>
            </w:r>
            <w:r>
              <w:rPr>
                <w:rFonts w:ascii="Times New Roman" w:hAnsi="Times New Roman" w:cs="Times New Roman"/>
                <w:bCs/>
                <w:sz w:val="24"/>
                <w:vertAlign w:val="superscript"/>
              </w:rPr>
              <w:t>3</w:t>
            </w:r>
            <w:r>
              <w:rPr>
                <w:rFonts w:ascii="Times New Roman" w:hAnsi="Times New Roman" w:cs="Times New Roman"/>
                <w:bCs/>
                <w:sz w:val="24"/>
              </w:rPr>
              <w:t>，油烟产生速率为0.01</w:t>
            </w:r>
            <w:r>
              <w:rPr>
                <w:rFonts w:hint="eastAsia" w:cs="Times New Roman"/>
                <w:bCs/>
                <w:sz w:val="24"/>
                <w:lang w:val="en-US" w:eastAsia="zh-CN"/>
              </w:rPr>
              <w:t>8</w:t>
            </w:r>
            <w:r>
              <w:rPr>
                <w:rFonts w:ascii="Times New Roman" w:hAnsi="Times New Roman" w:cs="Times New Roman"/>
                <w:bCs/>
                <w:sz w:val="24"/>
              </w:rPr>
              <w:t>kg/h；油烟排放量约为0.00</w:t>
            </w:r>
            <w:r>
              <w:rPr>
                <w:rFonts w:hint="eastAsia" w:cs="Times New Roman"/>
                <w:bCs/>
                <w:sz w:val="24"/>
                <w:lang w:val="en-US" w:eastAsia="zh-CN"/>
              </w:rPr>
              <w:t>88</w:t>
            </w:r>
            <w:r>
              <w:rPr>
                <w:rFonts w:ascii="Times New Roman" w:hAnsi="Times New Roman" w:cs="Times New Roman"/>
                <w:bCs/>
                <w:sz w:val="24"/>
              </w:rPr>
              <w:t>t/a，油烟排放速率0.00</w:t>
            </w:r>
            <w:r>
              <w:rPr>
                <w:rFonts w:hint="eastAsia" w:cs="Times New Roman"/>
                <w:bCs/>
                <w:sz w:val="24"/>
                <w:lang w:val="en-US" w:eastAsia="zh-CN"/>
              </w:rPr>
              <w:t>7</w:t>
            </w:r>
            <w:r>
              <w:rPr>
                <w:rFonts w:ascii="Times New Roman" w:hAnsi="Times New Roman" w:cs="Times New Roman"/>
                <w:bCs/>
                <w:sz w:val="24"/>
              </w:rPr>
              <w:t>kg/h，排放浓度为</w:t>
            </w:r>
            <w:r>
              <w:rPr>
                <w:rFonts w:hint="eastAsia" w:cs="Times New Roman"/>
                <w:bCs/>
                <w:sz w:val="24"/>
                <w:lang w:val="en-US" w:eastAsia="zh-CN"/>
              </w:rPr>
              <w:t>1.774</w:t>
            </w:r>
            <w:r>
              <w:rPr>
                <w:rFonts w:ascii="Times New Roman" w:hAnsi="Times New Roman" w:cs="Times New Roman"/>
                <w:bCs/>
                <w:sz w:val="24"/>
              </w:rPr>
              <w:t>mg/m</w:t>
            </w:r>
            <w:r>
              <w:rPr>
                <w:rFonts w:ascii="Times New Roman" w:hAnsi="Times New Roman" w:cs="Times New Roman"/>
                <w:bCs/>
                <w:sz w:val="24"/>
                <w:vertAlign w:val="superscript"/>
              </w:rPr>
              <w:t>3</w:t>
            </w:r>
            <w:r>
              <w:rPr>
                <w:rFonts w:ascii="Times New Roman" w:hAnsi="Times New Roman" w:cs="Times New Roman"/>
                <w:bCs/>
                <w:sz w:val="24"/>
              </w:rPr>
              <w:t>，油烟排放浓度小于2.0mg/m</w:t>
            </w:r>
            <w:r>
              <w:rPr>
                <w:rFonts w:ascii="Times New Roman" w:hAnsi="Times New Roman" w:cs="Times New Roman"/>
                <w:bCs/>
                <w:sz w:val="24"/>
                <w:vertAlign w:val="superscript"/>
              </w:rPr>
              <w:t>3</w:t>
            </w:r>
            <w:r>
              <w:rPr>
                <w:rFonts w:ascii="Times New Roman" w:hAnsi="Times New Roman" w:cs="Times New Roman"/>
                <w:bCs/>
                <w:sz w:val="24"/>
              </w:rPr>
              <w:t>，满足《饮食业油烟排放标准（试行）》（GB18483-2001）不大于2.0mg/m</w:t>
            </w:r>
            <w:r>
              <w:rPr>
                <w:rFonts w:ascii="Times New Roman" w:hAnsi="Times New Roman" w:cs="Times New Roman"/>
                <w:bCs/>
                <w:sz w:val="24"/>
                <w:vertAlign w:val="superscript"/>
              </w:rPr>
              <w:t>3</w:t>
            </w:r>
            <w:r>
              <w:rPr>
                <w:rFonts w:ascii="Times New Roman" w:hAnsi="Times New Roman" w:cs="Times New Roman"/>
                <w:bCs/>
                <w:sz w:val="24"/>
              </w:rPr>
              <w:t>的要求。</w:t>
            </w:r>
          </w:p>
          <w:p>
            <w:pPr>
              <w:jc w:val="center"/>
              <w:rPr>
                <w:rFonts w:ascii="Times New Roman" w:hAnsi="Times New Roman" w:cs="Times New Roman"/>
                <w:b/>
                <w:bCs/>
                <w:sz w:val="24"/>
              </w:rPr>
            </w:pPr>
            <w:r>
              <w:rPr>
                <w:rFonts w:ascii="Times New Roman" w:hAnsi="Times New Roman" w:cs="Times New Roman"/>
                <w:b/>
                <w:bCs/>
                <w:sz w:val="24"/>
              </w:rPr>
              <w:t>表4</w:t>
            </w:r>
            <w:r>
              <w:rPr>
                <w:rFonts w:hint="eastAsia" w:cs="Times New Roman"/>
                <w:b/>
                <w:bCs/>
                <w:sz w:val="24"/>
                <w:lang w:val="en-US" w:eastAsia="zh-CN"/>
              </w:rPr>
              <w:t>.</w:t>
            </w:r>
            <w:r>
              <w:rPr>
                <w:rFonts w:ascii="Times New Roman" w:hAnsi="Times New Roman" w:cs="Times New Roman"/>
                <w:b/>
                <w:bCs/>
                <w:sz w:val="24"/>
              </w:rPr>
              <w:t>1  食堂油烟产排污情况一览表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23"/>
              <w:gridCol w:w="932"/>
              <w:gridCol w:w="865"/>
              <w:gridCol w:w="957"/>
              <w:gridCol w:w="916"/>
              <w:gridCol w:w="959"/>
              <w:gridCol w:w="811"/>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01" w:type="dxa"/>
                  <w:vMerge w:val="restart"/>
                  <w:noWrap w:val="0"/>
                  <w:vAlign w:val="center"/>
                </w:tcPr>
                <w:p>
                  <w:pPr>
                    <w:jc w:val="center"/>
                    <w:rPr>
                      <w:rFonts w:ascii="Times New Roman" w:hAnsi="Times New Roman" w:cs="Times New Roman"/>
                      <w:b/>
                      <w:sz w:val="21"/>
                      <w:szCs w:val="21"/>
                    </w:rPr>
                  </w:pPr>
                  <w:r>
                    <w:rPr>
                      <w:rFonts w:ascii="Times New Roman" w:hAnsi="Times New Roman" w:cs="Times New Roman"/>
                      <w:b/>
                      <w:sz w:val="21"/>
                      <w:szCs w:val="21"/>
                    </w:rPr>
                    <w:t>名称</w:t>
                  </w:r>
                </w:p>
              </w:tc>
              <w:tc>
                <w:tcPr>
                  <w:tcW w:w="819" w:type="dxa"/>
                  <w:vMerge w:val="restart"/>
                  <w:noWrap w:val="0"/>
                  <w:vAlign w:val="center"/>
                </w:tcPr>
                <w:p>
                  <w:pPr>
                    <w:jc w:val="center"/>
                    <w:rPr>
                      <w:rFonts w:ascii="Times New Roman" w:hAnsi="Times New Roman" w:cs="Times New Roman"/>
                      <w:b/>
                      <w:sz w:val="21"/>
                      <w:szCs w:val="21"/>
                    </w:rPr>
                  </w:pPr>
                  <w:r>
                    <w:rPr>
                      <w:rFonts w:ascii="Times New Roman" w:hAnsi="Times New Roman" w:cs="Times New Roman"/>
                      <w:b/>
                      <w:sz w:val="21"/>
                      <w:szCs w:val="21"/>
                    </w:rPr>
                    <w:t>污染物</w:t>
                  </w:r>
                </w:p>
              </w:tc>
              <w:tc>
                <w:tcPr>
                  <w:tcW w:w="926" w:type="dxa"/>
                  <w:vMerge w:val="restart"/>
                  <w:noWrap w:val="0"/>
                  <w:vAlign w:val="center"/>
                </w:tcPr>
                <w:p>
                  <w:pPr>
                    <w:jc w:val="center"/>
                    <w:rPr>
                      <w:rFonts w:ascii="Times New Roman" w:hAnsi="Times New Roman" w:cs="Times New Roman"/>
                      <w:b/>
                      <w:sz w:val="21"/>
                      <w:szCs w:val="21"/>
                    </w:rPr>
                  </w:pPr>
                  <w:r>
                    <w:rPr>
                      <w:rFonts w:ascii="Times New Roman" w:hAnsi="Times New Roman" w:cs="Times New Roman"/>
                      <w:b/>
                      <w:sz w:val="21"/>
                      <w:szCs w:val="21"/>
                    </w:rPr>
                    <w:t>排气筒编号</w:t>
                  </w:r>
                </w:p>
              </w:tc>
              <w:tc>
                <w:tcPr>
                  <w:tcW w:w="860" w:type="dxa"/>
                  <w:vMerge w:val="restart"/>
                  <w:noWrap w:val="0"/>
                  <w:vAlign w:val="center"/>
                </w:tcPr>
                <w:p>
                  <w:pPr>
                    <w:jc w:val="center"/>
                    <w:rPr>
                      <w:rFonts w:ascii="Times New Roman" w:hAnsi="Times New Roman" w:cs="Times New Roman"/>
                      <w:b/>
                      <w:sz w:val="21"/>
                      <w:szCs w:val="21"/>
                    </w:rPr>
                  </w:pPr>
                  <w:r>
                    <w:rPr>
                      <w:rFonts w:ascii="Times New Roman" w:hAnsi="Times New Roman" w:cs="Times New Roman"/>
                      <w:b/>
                      <w:sz w:val="21"/>
                      <w:szCs w:val="21"/>
                    </w:rPr>
                    <w:t>废气量m</w:t>
                  </w:r>
                  <w:r>
                    <w:rPr>
                      <w:rFonts w:ascii="Times New Roman" w:hAnsi="Times New Roman" w:cs="Times New Roman"/>
                      <w:b/>
                      <w:sz w:val="21"/>
                      <w:szCs w:val="21"/>
                      <w:vertAlign w:val="superscript"/>
                    </w:rPr>
                    <w:t>3</w:t>
                  </w:r>
                  <w:r>
                    <w:rPr>
                      <w:rFonts w:ascii="Times New Roman" w:hAnsi="Times New Roman" w:cs="Times New Roman"/>
                      <w:b/>
                      <w:sz w:val="21"/>
                      <w:szCs w:val="21"/>
                    </w:rPr>
                    <w:t>/h</w:t>
                  </w:r>
                </w:p>
              </w:tc>
              <w:tc>
                <w:tcPr>
                  <w:tcW w:w="1861" w:type="dxa"/>
                  <w:gridSpan w:val="2"/>
                  <w:noWrap w:val="0"/>
                  <w:vAlign w:val="center"/>
                </w:tcPr>
                <w:p>
                  <w:pPr>
                    <w:jc w:val="center"/>
                    <w:rPr>
                      <w:rFonts w:ascii="Times New Roman" w:hAnsi="Times New Roman" w:cs="Times New Roman"/>
                      <w:b/>
                      <w:sz w:val="21"/>
                      <w:szCs w:val="21"/>
                    </w:rPr>
                  </w:pPr>
                  <w:r>
                    <w:rPr>
                      <w:rFonts w:ascii="Times New Roman" w:hAnsi="Times New Roman" w:cs="Times New Roman"/>
                      <w:b/>
                      <w:sz w:val="21"/>
                      <w:szCs w:val="21"/>
                    </w:rPr>
                    <w:t>产生情况</w:t>
                  </w:r>
                </w:p>
              </w:tc>
              <w:tc>
                <w:tcPr>
                  <w:tcW w:w="2669" w:type="dxa"/>
                  <w:gridSpan w:val="3"/>
                  <w:noWrap w:val="0"/>
                  <w:vAlign w:val="center"/>
                </w:tcPr>
                <w:p>
                  <w:pPr>
                    <w:jc w:val="center"/>
                    <w:rPr>
                      <w:rFonts w:ascii="Times New Roman" w:hAnsi="Times New Roman" w:cs="Times New Roman"/>
                      <w:b/>
                      <w:sz w:val="21"/>
                      <w:szCs w:val="21"/>
                    </w:rPr>
                  </w:pPr>
                  <w:r>
                    <w:rPr>
                      <w:rFonts w:ascii="Times New Roman" w:hAnsi="Times New Roman" w:cs="Times New Roman"/>
                      <w:b/>
                      <w:sz w:val="21"/>
                      <w:szCs w:val="21"/>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01" w:type="dxa"/>
                  <w:vMerge w:val="continue"/>
                  <w:noWrap w:val="0"/>
                  <w:vAlign w:val="center"/>
                </w:tcPr>
                <w:p>
                  <w:pPr>
                    <w:jc w:val="center"/>
                    <w:rPr>
                      <w:rFonts w:ascii="Times New Roman" w:hAnsi="Times New Roman" w:cs="Times New Roman"/>
                      <w:b/>
                      <w:sz w:val="21"/>
                      <w:szCs w:val="21"/>
                    </w:rPr>
                  </w:pPr>
                </w:p>
              </w:tc>
              <w:tc>
                <w:tcPr>
                  <w:tcW w:w="819" w:type="dxa"/>
                  <w:vMerge w:val="continue"/>
                  <w:noWrap w:val="0"/>
                  <w:vAlign w:val="center"/>
                </w:tcPr>
                <w:p>
                  <w:pPr>
                    <w:jc w:val="center"/>
                    <w:rPr>
                      <w:rFonts w:ascii="Times New Roman" w:hAnsi="Times New Roman" w:cs="Times New Roman"/>
                      <w:b/>
                      <w:sz w:val="21"/>
                      <w:szCs w:val="21"/>
                    </w:rPr>
                  </w:pPr>
                </w:p>
              </w:tc>
              <w:tc>
                <w:tcPr>
                  <w:tcW w:w="926" w:type="dxa"/>
                  <w:vMerge w:val="continue"/>
                  <w:noWrap w:val="0"/>
                  <w:vAlign w:val="center"/>
                </w:tcPr>
                <w:p>
                  <w:pPr>
                    <w:jc w:val="center"/>
                    <w:rPr>
                      <w:rFonts w:ascii="Times New Roman" w:hAnsi="Times New Roman" w:cs="Times New Roman"/>
                      <w:b/>
                      <w:sz w:val="21"/>
                      <w:szCs w:val="21"/>
                    </w:rPr>
                  </w:pPr>
                </w:p>
              </w:tc>
              <w:tc>
                <w:tcPr>
                  <w:tcW w:w="860" w:type="dxa"/>
                  <w:vMerge w:val="continue"/>
                  <w:noWrap w:val="0"/>
                  <w:vAlign w:val="center"/>
                </w:tcPr>
                <w:p>
                  <w:pPr>
                    <w:jc w:val="center"/>
                    <w:rPr>
                      <w:rFonts w:ascii="Times New Roman" w:hAnsi="Times New Roman" w:cs="Times New Roman"/>
                      <w:b/>
                      <w:sz w:val="21"/>
                      <w:szCs w:val="21"/>
                    </w:rPr>
                  </w:pPr>
                </w:p>
              </w:tc>
              <w:tc>
                <w:tcPr>
                  <w:tcW w:w="951" w:type="dxa"/>
                  <w:noWrap w:val="0"/>
                  <w:vAlign w:val="center"/>
                </w:tcPr>
                <w:p>
                  <w:pPr>
                    <w:jc w:val="center"/>
                    <w:rPr>
                      <w:rFonts w:ascii="Times New Roman" w:hAnsi="Times New Roman" w:cs="Times New Roman"/>
                      <w:b/>
                      <w:sz w:val="21"/>
                      <w:szCs w:val="21"/>
                    </w:rPr>
                  </w:pPr>
                  <w:r>
                    <w:rPr>
                      <w:rFonts w:ascii="Times New Roman" w:hAnsi="Times New Roman" w:cs="Times New Roman"/>
                      <w:b/>
                      <w:sz w:val="21"/>
                      <w:szCs w:val="21"/>
                    </w:rPr>
                    <w:t>产生量t/a</w:t>
                  </w:r>
                </w:p>
              </w:tc>
              <w:tc>
                <w:tcPr>
                  <w:tcW w:w="910" w:type="dxa"/>
                  <w:noWrap w:val="0"/>
                  <w:vAlign w:val="center"/>
                </w:tcPr>
                <w:p>
                  <w:pPr>
                    <w:jc w:val="center"/>
                    <w:rPr>
                      <w:rFonts w:ascii="Times New Roman" w:hAnsi="Times New Roman" w:cs="Times New Roman"/>
                      <w:b/>
                      <w:sz w:val="21"/>
                      <w:szCs w:val="21"/>
                    </w:rPr>
                  </w:pPr>
                  <w:r>
                    <w:rPr>
                      <w:rFonts w:ascii="Times New Roman" w:hAnsi="Times New Roman" w:cs="Times New Roman"/>
                      <w:b/>
                      <w:sz w:val="21"/>
                      <w:szCs w:val="21"/>
                    </w:rPr>
                    <w:t>浓度mg/m</w:t>
                  </w:r>
                  <w:r>
                    <w:rPr>
                      <w:rFonts w:ascii="Times New Roman" w:hAnsi="Times New Roman" w:cs="Times New Roman"/>
                      <w:b/>
                      <w:sz w:val="21"/>
                      <w:szCs w:val="21"/>
                      <w:vertAlign w:val="superscript"/>
                    </w:rPr>
                    <w:t>3</w:t>
                  </w:r>
                </w:p>
              </w:tc>
              <w:tc>
                <w:tcPr>
                  <w:tcW w:w="953" w:type="dxa"/>
                  <w:noWrap w:val="0"/>
                  <w:vAlign w:val="center"/>
                </w:tcPr>
                <w:p>
                  <w:pPr>
                    <w:jc w:val="center"/>
                    <w:rPr>
                      <w:rFonts w:ascii="Times New Roman" w:hAnsi="Times New Roman" w:cs="Times New Roman"/>
                      <w:b/>
                      <w:sz w:val="21"/>
                      <w:szCs w:val="21"/>
                    </w:rPr>
                  </w:pPr>
                  <w:r>
                    <w:rPr>
                      <w:rFonts w:ascii="Times New Roman" w:hAnsi="Times New Roman" w:cs="Times New Roman"/>
                      <w:b/>
                      <w:sz w:val="21"/>
                      <w:szCs w:val="21"/>
                    </w:rPr>
                    <w:t>排放量t/a</w:t>
                  </w:r>
                </w:p>
              </w:tc>
              <w:tc>
                <w:tcPr>
                  <w:tcW w:w="806" w:type="dxa"/>
                  <w:noWrap w:val="0"/>
                  <w:vAlign w:val="center"/>
                </w:tcPr>
                <w:p>
                  <w:pPr>
                    <w:jc w:val="center"/>
                    <w:rPr>
                      <w:rFonts w:ascii="Times New Roman" w:hAnsi="Times New Roman" w:cs="Times New Roman"/>
                      <w:b/>
                      <w:sz w:val="21"/>
                      <w:szCs w:val="21"/>
                    </w:rPr>
                  </w:pPr>
                  <w:r>
                    <w:rPr>
                      <w:rFonts w:ascii="Times New Roman" w:hAnsi="Times New Roman" w:cs="Times New Roman"/>
                      <w:b/>
                      <w:sz w:val="21"/>
                      <w:szCs w:val="21"/>
                    </w:rPr>
                    <w:t>速率kg/h</w:t>
                  </w:r>
                </w:p>
              </w:tc>
              <w:tc>
                <w:tcPr>
                  <w:tcW w:w="910" w:type="dxa"/>
                  <w:noWrap w:val="0"/>
                  <w:vAlign w:val="center"/>
                </w:tcPr>
                <w:p>
                  <w:pPr>
                    <w:jc w:val="center"/>
                    <w:rPr>
                      <w:rFonts w:ascii="Times New Roman" w:hAnsi="Times New Roman" w:cs="Times New Roman"/>
                      <w:b/>
                      <w:sz w:val="21"/>
                      <w:szCs w:val="21"/>
                    </w:rPr>
                  </w:pPr>
                  <w:r>
                    <w:rPr>
                      <w:rFonts w:ascii="Times New Roman" w:hAnsi="Times New Roman" w:cs="Times New Roman"/>
                      <w:b/>
                      <w:sz w:val="21"/>
                      <w:szCs w:val="21"/>
                    </w:rPr>
                    <w:t>浓度mg/m</w:t>
                  </w:r>
                  <w:r>
                    <w:rPr>
                      <w:rFonts w:ascii="Times New Roman" w:hAnsi="Times New Roman" w:cs="Times New Roman"/>
                      <w:b/>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1"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食堂</w:t>
                  </w:r>
                </w:p>
              </w:tc>
              <w:tc>
                <w:tcPr>
                  <w:tcW w:w="819"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食堂油烟</w:t>
                  </w:r>
                </w:p>
              </w:tc>
              <w:tc>
                <w:tcPr>
                  <w:tcW w:w="926"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860" w:type="dxa"/>
                  <w:noWrap w:val="0"/>
                  <w:vAlign w:val="center"/>
                </w:tcPr>
                <w:p>
                  <w:pPr>
                    <w:jc w:val="center"/>
                    <w:rPr>
                      <w:rFonts w:ascii="Times New Roman" w:hAnsi="Times New Roman" w:cs="Times New Roman"/>
                      <w:sz w:val="21"/>
                      <w:szCs w:val="21"/>
                    </w:rPr>
                  </w:pPr>
                  <w:r>
                    <w:rPr>
                      <w:rFonts w:hint="eastAsia" w:cs="Times New Roman"/>
                      <w:sz w:val="21"/>
                      <w:szCs w:val="21"/>
                      <w:lang w:val="en-US" w:eastAsia="zh-CN"/>
                    </w:rPr>
                    <w:t>4</w:t>
                  </w:r>
                  <w:r>
                    <w:rPr>
                      <w:rFonts w:ascii="Times New Roman" w:hAnsi="Times New Roman" w:cs="Times New Roman"/>
                      <w:sz w:val="21"/>
                      <w:szCs w:val="21"/>
                    </w:rPr>
                    <w:t>000</w:t>
                  </w:r>
                </w:p>
              </w:tc>
              <w:tc>
                <w:tcPr>
                  <w:tcW w:w="951" w:type="dxa"/>
                  <w:noWrap w:val="0"/>
                  <w:vAlign w:val="center"/>
                </w:tcPr>
                <w:p>
                  <w:pPr>
                    <w:jc w:val="center"/>
                    <w:rPr>
                      <w:rFonts w:hint="default" w:ascii="Times New Roman" w:hAnsi="Times New Roman" w:eastAsia="宋体" w:cs="Times New Roman"/>
                      <w:sz w:val="21"/>
                      <w:szCs w:val="21"/>
                      <w:lang w:val="en-US" w:eastAsia="zh-CN"/>
                    </w:rPr>
                  </w:pPr>
                  <w:r>
                    <w:rPr>
                      <w:rFonts w:ascii="Times New Roman" w:hAnsi="Times New Roman" w:cs="Times New Roman"/>
                      <w:sz w:val="21"/>
                      <w:szCs w:val="21"/>
                    </w:rPr>
                    <w:t>0.0</w:t>
                  </w:r>
                  <w:r>
                    <w:rPr>
                      <w:rFonts w:hint="eastAsia" w:cs="Times New Roman"/>
                      <w:sz w:val="21"/>
                      <w:szCs w:val="21"/>
                      <w:lang w:val="en-US" w:eastAsia="zh-CN"/>
                    </w:rPr>
                    <w:t>22</w:t>
                  </w:r>
                </w:p>
              </w:tc>
              <w:tc>
                <w:tcPr>
                  <w:tcW w:w="910" w:type="dxa"/>
                  <w:noWrap w:val="0"/>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4.435</w:t>
                  </w:r>
                </w:p>
              </w:tc>
              <w:tc>
                <w:tcPr>
                  <w:tcW w:w="953" w:type="dxa"/>
                  <w:noWrap w:val="0"/>
                  <w:vAlign w:val="center"/>
                </w:tcPr>
                <w:p>
                  <w:pPr>
                    <w:jc w:val="center"/>
                    <w:rPr>
                      <w:rFonts w:hint="default" w:ascii="Times New Roman" w:hAnsi="Times New Roman" w:eastAsia="宋体" w:cs="Times New Roman"/>
                      <w:sz w:val="21"/>
                      <w:szCs w:val="21"/>
                      <w:lang w:val="en-US" w:eastAsia="zh-CN"/>
                    </w:rPr>
                  </w:pPr>
                  <w:r>
                    <w:rPr>
                      <w:rFonts w:ascii="Times New Roman" w:hAnsi="Times New Roman" w:cs="Times New Roman"/>
                      <w:sz w:val="21"/>
                      <w:szCs w:val="21"/>
                    </w:rPr>
                    <w:t>0.00</w:t>
                  </w:r>
                  <w:r>
                    <w:rPr>
                      <w:rFonts w:hint="eastAsia" w:cs="Times New Roman"/>
                      <w:sz w:val="21"/>
                      <w:szCs w:val="21"/>
                      <w:lang w:val="en-US" w:eastAsia="zh-CN"/>
                    </w:rPr>
                    <w:t>88</w:t>
                  </w:r>
                </w:p>
              </w:tc>
              <w:tc>
                <w:tcPr>
                  <w:tcW w:w="806" w:type="dxa"/>
                  <w:noWrap w:val="0"/>
                  <w:vAlign w:val="center"/>
                </w:tcPr>
                <w:p>
                  <w:pPr>
                    <w:jc w:val="center"/>
                    <w:rPr>
                      <w:rFonts w:hint="eastAsia" w:ascii="Times New Roman" w:hAnsi="Times New Roman" w:eastAsia="宋体" w:cs="Times New Roman"/>
                      <w:sz w:val="21"/>
                      <w:szCs w:val="21"/>
                      <w:lang w:val="en-US" w:eastAsia="zh-CN"/>
                    </w:rPr>
                  </w:pPr>
                  <w:r>
                    <w:rPr>
                      <w:rFonts w:ascii="Times New Roman" w:hAnsi="Times New Roman" w:cs="Times New Roman"/>
                      <w:sz w:val="21"/>
                      <w:szCs w:val="21"/>
                    </w:rPr>
                    <w:t>0.00</w:t>
                  </w:r>
                  <w:r>
                    <w:rPr>
                      <w:rFonts w:hint="eastAsia" w:cs="Times New Roman"/>
                      <w:sz w:val="21"/>
                      <w:szCs w:val="21"/>
                      <w:lang w:val="en-US" w:eastAsia="zh-CN"/>
                    </w:rPr>
                    <w:t>7</w:t>
                  </w:r>
                </w:p>
              </w:tc>
              <w:tc>
                <w:tcPr>
                  <w:tcW w:w="910" w:type="dxa"/>
                  <w:noWrap w:val="0"/>
                  <w:vAlign w:val="center"/>
                </w:tcPr>
                <w:p>
                  <w:pPr>
                    <w:jc w:val="center"/>
                    <w:rPr>
                      <w:rFonts w:hint="default" w:ascii="Times New Roman" w:hAnsi="Times New Roman" w:eastAsia="宋体" w:cs="Times New Roman"/>
                      <w:sz w:val="21"/>
                      <w:szCs w:val="21"/>
                      <w:lang w:val="en-US" w:eastAsia="zh-CN"/>
                    </w:rPr>
                  </w:pPr>
                  <w:r>
                    <w:rPr>
                      <w:rFonts w:ascii="Times New Roman" w:hAnsi="Times New Roman" w:cs="Times New Roman"/>
                      <w:sz w:val="21"/>
                      <w:szCs w:val="21"/>
                    </w:rPr>
                    <w:t>1.</w:t>
                  </w:r>
                  <w:r>
                    <w:rPr>
                      <w:rFonts w:hint="eastAsia" w:cs="Times New Roman"/>
                      <w:sz w:val="21"/>
                      <w:szCs w:val="21"/>
                      <w:lang w:val="en-US" w:eastAsia="zh-CN"/>
                    </w:rPr>
                    <w:t>774</w:t>
                  </w:r>
                </w:p>
              </w:tc>
            </w:tr>
          </w:tbl>
          <w:p>
            <w:pPr>
              <w:jc w:val="center"/>
              <w:rPr>
                <w:rFonts w:ascii="Times New Roman" w:hAnsi="Times New Roman" w:cs="Times New Roman"/>
                <w:b/>
                <w:bCs/>
                <w:sz w:val="24"/>
              </w:rPr>
            </w:pPr>
          </w:p>
          <w:p>
            <w:pPr>
              <w:jc w:val="center"/>
              <w:rPr>
                <w:rFonts w:ascii="Times New Roman" w:hAnsi="Times New Roman" w:cs="Times New Roman"/>
                <w:b/>
                <w:bCs/>
                <w:sz w:val="24"/>
              </w:rPr>
            </w:pPr>
            <w:r>
              <w:rPr>
                <w:rFonts w:ascii="Times New Roman" w:hAnsi="Times New Roman" w:cs="Times New Roman"/>
                <w:b/>
                <w:bCs/>
                <w:sz w:val="24"/>
              </w:rPr>
              <w:t>表4</w:t>
            </w:r>
            <w:r>
              <w:rPr>
                <w:rFonts w:hint="eastAsia" w:cs="Times New Roman"/>
                <w:b/>
                <w:bCs/>
                <w:sz w:val="24"/>
                <w:lang w:val="en-US" w:eastAsia="zh-CN"/>
              </w:rPr>
              <w:t>.</w:t>
            </w:r>
            <w:r>
              <w:rPr>
                <w:rFonts w:ascii="Times New Roman" w:hAnsi="Times New Roman" w:cs="Times New Roman"/>
                <w:b/>
                <w:bCs/>
                <w:sz w:val="24"/>
              </w:rPr>
              <w:t>2</w:t>
            </w:r>
            <w:r>
              <w:rPr>
                <w:rFonts w:hint="eastAsia" w:cs="Times New Roman"/>
                <w:b/>
                <w:bCs/>
                <w:sz w:val="24"/>
                <w:lang w:val="en-US" w:eastAsia="zh-CN"/>
              </w:rPr>
              <w:t xml:space="preserve"> </w:t>
            </w:r>
            <w:r>
              <w:rPr>
                <w:rFonts w:ascii="Times New Roman" w:hAnsi="Times New Roman" w:cs="Times New Roman"/>
                <w:b/>
                <w:bCs/>
                <w:sz w:val="24"/>
              </w:rPr>
              <w:t xml:space="preserve"> 无组织产排污情况一览表</w:t>
            </w:r>
          </w:p>
          <w:tbl>
            <w:tblPr>
              <w:tblStyle w:val="2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5"/>
              <w:gridCol w:w="1572"/>
              <w:gridCol w:w="1904"/>
              <w:gridCol w:w="1768"/>
              <w:gridCol w:w="2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9" w:type="pct"/>
                  <w:noWrap w:val="0"/>
                  <w:vAlign w:val="center"/>
                </w:tcPr>
                <w:p>
                  <w:pPr>
                    <w:jc w:val="center"/>
                    <w:outlineLvl w:val="0"/>
                    <w:rPr>
                      <w:rFonts w:ascii="Times New Roman" w:hAnsi="Times New Roman" w:cs="Times New Roman"/>
                      <w:b/>
                      <w:bCs/>
                      <w:sz w:val="21"/>
                      <w:szCs w:val="21"/>
                    </w:rPr>
                  </w:pPr>
                  <w:r>
                    <w:rPr>
                      <w:rFonts w:ascii="Times New Roman" w:hAnsi="Times New Roman" w:cs="Times New Roman"/>
                      <w:b/>
                      <w:bCs/>
                      <w:sz w:val="21"/>
                      <w:szCs w:val="21"/>
                    </w:rPr>
                    <w:t>序号</w:t>
                  </w:r>
                </w:p>
              </w:tc>
              <w:tc>
                <w:tcPr>
                  <w:tcW w:w="984" w:type="pct"/>
                  <w:noWrap w:val="0"/>
                  <w:vAlign w:val="center"/>
                </w:tcPr>
                <w:p>
                  <w:pPr>
                    <w:jc w:val="center"/>
                    <w:outlineLvl w:val="0"/>
                    <w:rPr>
                      <w:rFonts w:ascii="Times New Roman" w:hAnsi="Times New Roman" w:cs="Times New Roman"/>
                      <w:b/>
                      <w:bCs/>
                      <w:sz w:val="21"/>
                      <w:szCs w:val="21"/>
                    </w:rPr>
                  </w:pPr>
                  <w:r>
                    <w:rPr>
                      <w:rFonts w:ascii="Times New Roman" w:hAnsi="Times New Roman" w:cs="Times New Roman"/>
                      <w:b/>
                      <w:bCs/>
                      <w:sz w:val="21"/>
                      <w:szCs w:val="21"/>
                    </w:rPr>
                    <w:t>污染物</w:t>
                  </w:r>
                </w:p>
              </w:tc>
              <w:tc>
                <w:tcPr>
                  <w:tcW w:w="1192" w:type="pct"/>
                  <w:noWrap w:val="0"/>
                  <w:vAlign w:val="center"/>
                </w:tcPr>
                <w:p>
                  <w:pPr>
                    <w:jc w:val="center"/>
                    <w:outlineLvl w:val="0"/>
                    <w:rPr>
                      <w:rFonts w:ascii="Times New Roman" w:hAnsi="Times New Roman" w:cs="Times New Roman"/>
                      <w:b/>
                      <w:bCs/>
                      <w:sz w:val="21"/>
                      <w:szCs w:val="21"/>
                    </w:rPr>
                  </w:pPr>
                  <w:r>
                    <w:rPr>
                      <w:rFonts w:ascii="Times New Roman" w:hAnsi="Times New Roman" w:cs="Times New Roman"/>
                      <w:b/>
                      <w:bCs/>
                      <w:sz w:val="21"/>
                      <w:szCs w:val="21"/>
                    </w:rPr>
                    <w:t>污染源</w:t>
                  </w:r>
                </w:p>
                <w:p>
                  <w:pPr>
                    <w:jc w:val="center"/>
                    <w:outlineLvl w:val="0"/>
                    <w:rPr>
                      <w:rFonts w:ascii="Times New Roman" w:hAnsi="Times New Roman" w:cs="Times New Roman"/>
                      <w:b/>
                      <w:bCs/>
                      <w:sz w:val="21"/>
                      <w:szCs w:val="21"/>
                    </w:rPr>
                  </w:pPr>
                  <w:r>
                    <w:rPr>
                      <w:rFonts w:ascii="Times New Roman" w:hAnsi="Times New Roman" w:cs="Times New Roman"/>
                      <w:b/>
                      <w:bCs/>
                      <w:sz w:val="21"/>
                      <w:szCs w:val="21"/>
                    </w:rPr>
                    <w:t>位置</w:t>
                  </w:r>
                </w:p>
              </w:tc>
              <w:tc>
                <w:tcPr>
                  <w:tcW w:w="1107" w:type="pct"/>
                  <w:noWrap w:val="0"/>
                  <w:vAlign w:val="center"/>
                </w:tcPr>
                <w:p>
                  <w:pPr>
                    <w:jc w:val="center"/>
                    <w:outlineLvl w:val="0"/>
                    <w:rPr>
                      <w:rFonts w:ascii="Times New Roman" w:hAnsi="Times New Roman" w:cs="Times New Roman"/>
                      <w:b/>
                      <w:bCs/>
                      <w:sz w:val="21"/>
                      <w:szCs w:val="21"/>
                    </w:rPr>
                  </w:pPr>
                  <w:r>
                    <w:rPr>
                      <w:rFonts w:ascii="Times New Roman" w:hAnsi="Times New Roman" w:cs="Times New Roman"/>
                      <w:b/>
                      <w:bCs/>
                      <w:sz w:val="21"/>
                      <w:szCs w:val="21"/>
                    </w:rPr>
                    <w:t>污染物排放量（t/a）</w:t>
                  </w:r>
                </w:p>
              </w:tc>
              <w:tc>
                <w:tcPr>
                  <w:tcW w:w="1284" w:type="pct"/>
                  <w:noWrap w:val="0"/>
                  <w:vAlign w:val="center"/>
                </w:tcPr>
                <w:p>
                  <w:pPr>
                    <w:jc w:val="center"/>
                    <w:outlineLvl w:val="0"/>
                    <w:rPr>
                      <w:rFonts w:ascii="Times New Roman" w:hAnsi="Times New Roman" w:cs="Times New Roman"/>
                      <w:b/>
                      <w:bCs/>
                      <w:sz w:val="21"/>
                      <w:szCs w:val="21"/>
                    </w:rPr>
                  </w:pPr>
                  <w:r>
                    <w:rPr>
                      <w:rFonts w:ascii="Times New Roman" w:hAnsi="Times New Roman" w:cs="Times New Roman"/>
                      <w:b/>
                      <w:bCs/>
                      <w:sz w:val="21"/>
                      <w:szCs w:val="21"/>
                    </w:rPr>
                    <w:t>污染物排放速率（kg/h）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9" w:type="pct"/>
                  <w:noWrap w:val="0"/>
                  <w:vAlign w:val="center"/>
                </w:tcPr>
                <w:p>
                  <w:pPr>
                    <w:jc w:val="center"/>
                    <w:outlineLvl w:val="0"/>
                    <w:rPr>
                      <w:rFonts w:ascii="Times New Roman" w:hAnsi="Times New Roman" w:cs="Times New Roman"/>
                      <w:sz w:val="21"/>
                      <w:szCs w:val="21"/>
                    </w:rPr>
                  </w:pPr>
                  <w:r>
                    <w:rPr>
                      <w:rFonts w:ascii="Times New Roman" w:hAnsi="Times New Roman" w:cs="Times New Roman"/>
                      <w:sz w:val="21"/>
                      <w:szCs w:val="21"/>
                    </w:rPr>
                    <w:t>1</w:t>
                  </w:r>
                </w:p>
              </w:tc>
              <w:tc>
                <w:tcPr>
                  <w:tcW w:w="984" w:type="pct"/>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粉尘</w:t>
                  </w:r>
                </w:p>
              </w:tc>
              <w:tc>
                <w:tcPr>
                  <w:tcW w:w="1192" w:type="pct"/>
                  <w:noWrap w:val="0"/>
                  <w:vAlign w:val="center"/>
                </w:tcPr>
                <w:p>
                  <w:pPr>
                    <w:jc w:val="center"/>
                    <w:outlineLvl w:val="0"/>
                    <w:rPr>
                      <w:rFonts w:ascii="Times New Roman" w:hAnsi="Times New Roman" w:cs="Times New Roman"/>
                      <w:sz w:val="21"/>
                      <w:szCs w:val="21"/>
                    </w:rPr>
                  </w:pPr>
                  <w:r>
                    <w:rPr>
                      <w:rFonts w:ascii="Times New Roman" w:hAnsi="Times New Roman" w:cs="Times New Roman"/>
                      <w:sz w:val="21"/>
                      <w:szCs w:val="21"/>
                    </w:rPr>
                    <w:t>厂界</w:t>
                  </w:r>
                </w:p>
              </w:tc>
              <w:tc>
                <w:tcPr>
                  <w:tcW w:w="1838" w:type="dxa"/>
                  <w:noWrap w:val="0"/>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3.885</w:t>
                  </w:r>
                </w:p>
              </w:tc>
              <w:tc>
                <w:tcPr>
                  <w:tcW w:w="2131" w:type="dxa"/>
                  <w:noWrap w:val="0"/>
                  <w:vAlign w:val="center"/>
                </w:tcPr>
                <w:p>
                  <w:pPr>
                    <w:jc w:val="center"/>
                    <w:outlineLvl w:val="0"/>
                    <w:rPr>
                      <w:rFonts w:hint="default" w:ascii="Times New Roman" w:hAnsi="Times New Roman" w:eastAsia="宋体" w:cs="Times New Roman"/>
                      <w:sz w:val="21"/>
                      <w:szCs w:val="21"/>
                      <w:lang w:val="en-US" w:eastAsia="zh-CN"/>
                    </w:rPr>
                  </w:pPr>
                  <w:r>
                    <w:rPr>
                      <w:rFonts w:hint="eastAsia" w:cs="Times New Roman"/>
                      <w:sz w:val="21"/>
                      <w:szCs w:val="21"/>
                      <w:lang w:val="en-US" w:eastAsia="zh-CN"/>
                    </w:rPr>
                    <w:t>0.443</w:t>
                  </w:r>
                </w:p>
              </w:tc>
            </w:tr>
          </w:tbl>
          <w:p>
            <w:pPr>
              <w:jc w:val="center"/>
              <w:rPr>
                <w:rFonts w:ascii="Times New Roman" w:hAnsi="Times New Roman" w:cs="Times New Roman"/>
                <w:b/>
                <w:bCs/>
                <w:sz w:val="24"/>
              </w:rPr>
            </w:pPr>
          </w:p>
          <w:p>
            <w:pPr>
              <w:jc w:val="center"/>
              <w:rPr>
                <w:rFonts w:ascii="Times New Roman" w:hAnsi="Times New Roman" w:cs="Times New Roman"/>
                <w:b/>
                <w:bCs/>
                <w:sz w:val="24"/>
              </w:rPr>
            </w:pPr>
            <w:r>
              <w:rPr>
                <w:rFonts w:ascii="Times New Roman" w:hAnsi="Times New Roman" w:cs="Times New Roman"/>
                <w:b/>
                <w:bCs/>
                <w:sz w:val="24"/>
              </w:rPr>
              <w:t>表4</w:t>
            </w:r>
            <w:r>
              <w:rPr>
                <w:rFonts w:hint="eastAsia" w:cs="Times New Roman"/>
                <w:b/>
                <w:bCs/>
                <w:sz w:val="24"/>
                <w:lang w:val="en-US" w:eastAsia="zh-CN"/>
              </w:rPr>
              <w:t>.</w:t>
            </w:r>
            <w:r>
              <w:rPr>
                <w:rFonts w:ascii="Times New Roman" w:hAnsi="Times New Roman" w:cs="Times New Roman"/>
                <w:b/>
                <w:bCs/>
                <w:sz w:val="24"/>
              </w:rPr>
              <w:t xml:space="preserve">3 </w:t>
            </w:r>
            <w:r>
              <w:rPr>
                <w:rFonts w:hint="eastAsia" w:cs="Times New Roman"/>
                <w:b/>
                <w:bCs/>
                <w:sz w:val="24"/>
                <w:lang w:val="en-US" w:eastAsia="zh-CN"/>
              </w:rPr>
              <w:t xml:space="preserve"> </w:t>
            </w:r>
            <w:r>
              <w:rPr>
                <w:rFonts w:ascii="Times New Roman" w:hAnsi="Times New Roman" w:cs="Times New Roman"/>
                <w:b/>
                <w:bCs/>
                <w:sz w:val="24"/>
              </w:rPr>
              <w:t>产排污环节、废气污染物对应排放口类型一览表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905"/>
              <w:gridCol w:w="773"/>
              <w:gridCol w:w="942"/>
              <w:gridCol w:w="866"/>
              <w:gridCol w:w="1037"/>
              <w:gridCol w:w="953"/>
              <w:gridCol w:w="922"/>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Merge w:val="restart"/>
                  <w:noWrap w:val="0"/>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产污环节</w:t>
                  </w:r>
                </w:p>
              </w:tc>
              <w:tc>
                <w:tcPr>
                  <w:tcW w:w="900" w:type="dxa"/>
                  <w:vMerge w:val="restart"/>
                  <w:noWrap w:val="0"/>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污染物种类</w:t>
                  </w:r>
                </w:p>
              </w:tc>
              <w:tc>
                <w:tcPr>
                  <w:tcW w:w="768" w:type="dxa"/>
                  <w:vMerge w:val="restart"/>
                  <w:noWrap w:val="0"/>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排放形式</w:t>
                  </w:r>
                </w:p>
              </w:tc>
              <w:tc>
                <w:tcPr>
                  <w:tcW w:w="3775" w:type="dxa"/>
                  <w:gridSpan w:val="4"/>
                  <w:noWrap w:val="0"/>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治理设施</w:t>
                  </w:r>
                </w:p>
              </w:tc>
              <w:tc>
                <w:tcPr>
                  <w:tcW w:w="916" w:type="dxa"/>
                  <w:vMerge w:val="restart"/>
                  <w:noWrap w:val="0"/>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排放口编号</w:t>
                  </w:r>
                </w:p>
              </w:tc>
              <w:tc>
                <w:tcPr>
                  <w:tcW w:w="903" w:type="dxa"/>
                  <w:vMerge w:val="restart"/>
                  <w:noWrap w:val="0"/>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Merge w:val="continue"/>
                  <w:noWrap w:val="0"/>
                  <w:vAlign w:val="center"/>
                </w:tcPr>
                <w:p>
                  <w:pPr>
                    <w:jc w:val="center"/>
                    <w:rPr>
                      <w:rFonts w:ascii="Times New Roman" w:hAnsi="Times New Roman" w:cs="Times New Roman"/>
                      <w:sz w:val="21"/>
                      <w:szCs w:val="21"/>
                    </w:rPr>
                  </w:pPr>
                </w:p>
              </w:tc>
              <w:tc>
                <w:tcPr>
                  <w:tcW w:w="900" w:type="dxa"/>
                  <w:vMerge w:val="continue"/>
                  <w:noWrap w:val="0"/>
                  <w:vAlign w:val="center"/>
                </w:tcPr>
                <w:p>
                  <w:pPr>
                    <w:jc w:val="center"/>
                    <w:rPr>
                      <w:rFonts w:ascii="Times New Roman" w:hAnsi="Times New Roman" w:cs="Times New Roman"/>
                      <w:sz w:val="21"/>
                      <w:szCs w:val="21"/>
                    </w:rPr>
                  </w:pPr>
                </w:p>
              </w:tc>
              <w:tc>
                <w:tcPr>
                  <w:tcW w:w="768" w:type="dxa"/>
                  <w:vMerge w:val="continue"/>
                  <w:noWrap w:val="0"/>
                  <w:vAlign w:val="center"/>
                </w:tcPr>
                <w:p>
                  <w:pPr>
                    <w:jc w:val="center"/>
                    <w:rPr>
                      <w:rFonts w:ascii="Times New Roman" w:hAnsi="Times New Roman" w:cs="Times New Roman"/>
                      <w:sz w:val="21"/>
                      <w:szCs w:val="21"/>
                    </w:rPr>
                  </w:pPr>
                </w:p>
              </w:tc>
              <w:tc>
                <w:tcPr>
                  <w:tcW w:w="936" w:type="dxa"/>
                  <w:noWrap w:val="0"/>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治理工艺</w:t>
                  </w:r>
                </w:p>
              </w:tc>
              <w:tc>
                <w:tcPr>
                  <w:tcW w:w="861" w:type="dxa"/>
                  <w:noWrap w:val="0"/>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收集效率</w:t>
                  </w:r>
                </w:p>
              </w:tc>
              <w:tc>
                <w:tcPr>
                  <w:tcW w:w="1031" w:type="dxa"/>
                  <w:noWrap w:val="0"/>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处理效率</w:t>
                  </w:r>
                </w:p>
              </w:tc>
              <w:tc>
                <w:tcPr>
                  <w:tcW w:w="947" w:type="dxa"/>
                  <w:noWrap w:val="0"/>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是否可行</w:t>
                  </w:r>
                </w:p>
              </w:tc>
              <w:tc>
                <w:tcPr>
                  <w:tcW w:w="916" w:type="dxa"/>
                  <w:vMerge w:val="continue"/>
                  <w:noWrap w:val="0"/>
                  <w:vAlign w:val="center"/>
                </w:tcPr>
                <w:p>
                  <w:pPr>
                    <w:jc w:val="center"/>
                    <w:rPr>
                      <w:rFonts w:ascii="Times New Roman" w:hAnsi="Times New Roman" w:cs="Times New Roman"/>
                      <w:sz w:val="21"/>
                      <w:szCs w:val="21"/>
                    </w:rPr>
                  </w:pPr>
                </w:p>
              </w:tc>
              <w:tc>
                <w:tcPr>
                  <w:tcW w:w="903" w:type="dxa"/>
                  <w:vMerge w:val="continue"/>
                  <w:noWrap w:val="0"/>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混合搅拌</w:t>
                  </w:r>
                </w:p>
              </w:tc>
              <w:tc>
                <w:tcPr>
                  <w:tcW w:w="900"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粉尘</w:t>
                  </w:r>
                </w:p>
              </w:tc>
              <w:tc>
                <w:tcPr>
                  <w:tcW w:w="768"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无组织</w:t>
                  </w:r>
                </w:p>
              </w:tc>
              <w:tc>
                <w:tcPr>
                  <w:tcW w:w="936"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布袋除尘器</w:t>
                  </w:r>
                </w:p>
              </w:tc>
              <w:tc>
                <w:tcPr>
                  <w:tcW w:w="861"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100%</w:t>
                  </w:r>
                </w:p>
              </w:tc>
              <w:tc>
                <w:tcPr>
                  <w:tcW w:w="1031"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99.</w:t>
                  </w:r>
                  <w:r>
                    <w:rPr>
                      <w:rFonts w:hint="eastAsia" w:cs="Times New Roman"/>
                      <w:sz w:val="21"/>
                      <w:szCs w:val="21"/>
                      <w:lang w:val="en-US" w:eastAsia="zh-CN"/>
                    </w:rPr>
                    <w:t>75</w:t>
                  </w:r>
                  <w:r>
                    <w:rPr>
                      <w:rFonts w:ascii="Times New Roman" w:hAnsi="Times New Roman" w:cs="Times New Roman"/>
                      <w:sz w:val="21"/>
                      <w:szCs w:val="21"/>
                    </w:rPr>
                    <w:t>%</w:t>
                  </w:r>
                </w:p>
              </w:tc>
              <w:tc>
                <w:tcPr>
                  <w:tcW w:w="947"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是</w:t>
                  </w:r>
                </w:p>
              </w:tc>
              <w:tc>
                <w:tcPr>
                  <w:tcW w:w="916"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903"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筒仓</w:t>
                  </w:r>
                </w:p>
              </w:tc>
              <w:tc>
                <w:tcPr>
                  <w:tcW w:w="900"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粉尘</w:t>
                  </w:r>
                </w:p>
              </w:tc>
              <w:tc>
                <w:tcPr>
                  <w:tcW w:w="768"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无组织</w:t>
                  </w:r>
                </w:p>
              </w:tc>
              <w:tc>
                <w:tcPr>
                  <w:tcW w:w="936"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布袋除尘器</w:t>
                  </w:r>
                </w:p>
              </w:tc>
              <w:tc>
                <w:tcPr>
                  <w:tcW w:w="861"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100%</w:t>
                  </w:r>
                </w:p>
              </w:tc>
              <w:tc>
                <w:tcPr>
                  <w:tcW w:w="1031"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99.</w:t>
                  </w:r>
                  <w:r>
                    <w:rPr>
                      <w:rFonts w:hint="eastAsia" w:cs="Times New Roman"/>
                      <w:sz w:val="21"/>
                      <w:szCs w:val="21"/>
                      <w:lang w:val="en-US" w:eastAsia="zh-CN"/>
                    </w:rPr>
                    <w:t>75</w:t>
                  </w:r>
                  <w:r>
                    <w:rPr>
                      <w:rFonts w:ascii="Times New Roman" w:hAnsi="Times New Roman" w:cs="Times New Roman"/>
                      <w:sz w:val="21"/>
                      <w:szCs w:val="21"/>
                    </w:rPr>
                    <w:t>%</w:t>
                  </w:r>
                </w:p>
              </w:tc>
              <w:tc>
                <w:tcPr>
                  <w:tcW w:w="947"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是</w:t>
                  </w:r>
                </w:p>
              </w:tc>
              <w:tc>
                <w:tcPr>
                  <w:tcW w:w="916"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903"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原料堆场</w:t>
                  </w:r>
                </w:p>
              </w:tc>
              <w:tc>
                <w:tcPr>
                  <w:tcW w:w="900"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粉尘</w:t>
                  </w:r>
                </w:p>
              </w:tc>
              <w:tc>
                <w:tcPr>
                  <w:tcW w:w="768"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无组织</w:t>
                  </w:r>
                </w:p>
              </w:tc>
              <w:tc>
                <w:tcPr>
                  <w:tcW w:w="936"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洒水抑尘</w:t>
                  </w:r>
                </w:p>
              </w:tc>
              <w:tc>
                <w:tcPr>
                  <w:tcW w:w="861"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1031"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947"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916"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903"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汽车运输起尘</w:t>
                  </w:r>
                </w:p>
              </w:tc>
              <w:tc>
                <w:tcPr>
                  <w:tcW w:w="900"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粉尘</w:t>
                  </w:r>
                </w:p>
              </w:tc>
              <w:tc>
                <w:tcPr>
                  <w:tcW w:w="768"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无组织</w:t>
                  </w:r>
                </w:p>
              </w:tc>
              <w:tc>
                <w:tcPr>
                  <w:tcW w:w="936"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洒水抑尘</w:t>
                  </w:r>
                </w:p>
              </w:tc>
              <w:tc>
                <w:tcPr>
                  <w:tcW w:w="861"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1031"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947"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916"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903"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食堂</w:t>
                  </w:r>
                </w:p>
              </w:tc>
              <w:tc>
                <w:tcPr>
                  <w:tcW w:w="900"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食堂油烟</w:t>
                  </w:r>
                </w:p>
              </w:tc>
              <w:tc>
                <w:tcPr>
                  <w:tcW w:w="768"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936"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油烟净化器</w:t>
                  </w:r>
                </w:p>
              </w:tc>
              <w:tc>
                <w:tcPr>
                  <w:tcW w:w="861"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1031"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60%</w:t>
                  </w:r>
                </w:p>
              </w:tc>
              <w:tc>
                <w:tcPr>
                  <w:tcW w:w="947"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是</w:t>
                  </w:r>
                </w:p>
              </w:tc>
              <w:tc>
                <w:tcPr>
                  <w:tcW w:w="916"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903"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r>
          </w:tbl>
          <w:p>
            <w:pPr>
              <w:autoSpaceDE w:val="0"/>
              <w:autoSpaceDN w:val="0"/>
              <w:adjustRightInd w:val="0"/>
              <w:spacing w:line="360" w:lineRule="auto"/>
              <w:ind w:firstLine="480" w:firstLineChars="200"/>
              <w:rPr>
                <w:rFonts w:ascii="Times New Roman" w:hAnsi="Times New Roman" w:cs="Times New Roman"/>
                <w:b/>
                <w:bCs/>
                <w:color w:val="000000"/>
                <w:kern w:val="0"/>
                <w:sz w:val="24"/>
                <w:lang w:bidi="ar"/>
              </w:rPr>
            </w:pPr>
            <w:r>
              <w:rPr>
                <w:rFonts w:ascii="Times New Roman" w:hAnsi="Times New Roman" w:cs="Times New Roman"/>
                <w:sz w:val="24"/>
              </w:rPr>
              <w:t>根据《固定污染源排污许可分类管理名录</w:t>
            </w:r>
            <w:r>
              <w:rPr>
                <w:rFonts w:hint="eastAsia" w:cs="Times New Roman"/>
                <w:sz w:val="24"/>
                <w:lang w:eastAsia="zh-CN"/>
              </w:rPr>
              <w:t>（</w:t>
            </w:r>
            <w:r>
              <w:rPr>
                <w:rFonts w:ascii="Times New Roman" w:hAnsi="Times New Roman" w:cs="Times New Roman"/>
                <w:sz w:val="24"/>
              </w:rPr>
              <w:t>2019年版</w:t>
            </w:r>
            <w:r>
              <w:rPr>
                <w:rFonts w:hint="eastAsia" w:cs="Times New Roman"/>
                <w:sz w:val="24"/>
                <w:lang w:eastAsia="zh-CN"/>
              </w:rPr>
              <w:t>）</w:t>
            </w:r>
            <w:r>
              <w:rPr>
                <w:rFonts w:ascii="Times New Roman" w:hAnsi="Times New Roman" w:cs="Times New Roman"/>
                <w:sz w:val="24"/>
              </w:rPr>
              <w:t>》，本项目为登记管理，无相应排污许可技术规范，本项目监测计划</w:t>
            </w:r>
            <w:r>
              <w:rPr>
                <w:rFonts w:ascii="Times New Roman" w:hAnsi="Times New Roman" w:cs="Times New Roman"/>
                <w:color w:val="000000"/>
                <w:kern w:val="0"/>
                <w:sz w:val="24"/>
                <w:lang w:bidi="ar"/>
              </w:rPr>
              <w:t>根据《排污单位自行监测技术指南 总则》（HJ819-2017）中相关要求，项目在投入运行后，需定期对项目污染源开展监测活动，具体如下所示。</w:t>
            </w:r>
          </w:p>
          <w:p>
            <w:pPr>
              <w:autoSpaceDE w:val="0"/>
              <w:autoSpaceDN w:val="0"/>
              <w:adjustRightInd w:val="0"/>
              <w:jc w:val="center"/>
              <w:rPr>
                <w:rFonts w:ascii="Times New Roman" w:hAnsi="Times New Roman" w:cs="Times New Roman"/>
                <w:b/>
                <w:bCs/>
                <w:color w:val="000000"/>
                <w:kern w:val="0"/>
                <w:sz w:val="24"/>
              </w:rPr>
            </w:pPr>
            <w:r>
              <w:rPr>
                <w:rFonts w:ascii="Times New Roman" w:hAnsi="Times New Roman" w:cs="Times New Roman"/>
                <w:b/>
                <w:bCs/>
                <w:color w:val="000000"/>
                <w:kern w:val="0"/>
                <w:sz w:val="24"/>
                <w:lang w:bidi="ar"/>
              </w:rPr>
              <w:t>表4</w:t>
            </w:r>
            <w:r>
              <w:rPr>
                <w:rFonts w:hint="eastAsia" w:cs="Times New Roman"/>
                <w:b/>
                <w:bCs/>
                <w:color w:val="000000"/>
                <w:kern w:val="0"/>
                <w:sz w:val="24"/>
                <w:lang w:val="en-US" w:eastAsia="zh-CN" w:bidi="ar"/>
              </w:rPr>
              <w:t>.</w:t>
            </w:r>
            <w:r>
              <w:rPr>
                <w:rFonts w:ascii="Times New Roman" w:hAnsi="Times New Roman" w:cs="Times New Roman"/>
                <w:b/>
                <w:bCs/>
                <w:color w:val="000000"/>
                <w:kern w:val="0"/>
                <w:sz w:val="24"/>
                <w:lang w:bidi="ar"/>
              </w:rPr>
              <w:t xml:space="preserve">4 </w:t>
            </w:r>
            <w:r>
              <w:rPr>
                <w:rFonts w:hint="eastAsia" w:cs="Times New Roman"/>
                <w:b/>
                <w:bCs/>
                <w:color w:val="000000"/>
                <w:kern w:val="0"/>
                <w:sz w:val="24"/>
                <w:lang w:val="en-US" w:eastAsia="zh-CN" w:bidi="ar"/>
              </w:rPr>
              <w:t xml:space="preserve"> </w:t>
            </w:r>
            <w:r>
              <w:rPr>
                <w:rFonts w:ascii="Times New Roman" w:hAnsi="Times New Roman" w:cs="Times New Roman"/>
                <w:b/>
                <w:bCs/>
                <w:color w:val="000000"/>
                <w:kern w:val="0"/>
                <w:sz w:val="24"/>
                <w:lang w:bidi="ar"/>
              </w:rPr>
              <w:t>废气监测计划表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227"/>
              <w:gridCol w:w="1360"/>
              <w:gridCol w:w="1267"/>
              <w:gridCol w:w="180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 w:type="dxa"/>
                  <w:noWrap w:val="0"/>
                  <w:vAlign w:val="center"/>
                </w:tcPr>
                <w:p>
                  <w:pPr>
                    <w:pStyle w:val="60"/>
                    <w:spacing w:line="240" w:lineRule="auto"/>
                    <w:rPr>
                      <w:rFonts w:ascii="Times New Roman" w:hAnsi="Times New Roman" w:cs="Times New Roman"/>
                      <w:b/>
                      <w:bCs/>
                      <w:color w:val="000000"/>
                      <w:sz w:val="21"/>
                      <w:szCs w:val="21"/>
                    </w:rPr>
                  </w:pPr>
                  <w:r>
                    <w:rPr>
                      <w:rFonts w:ascii="Times New Roman" w:hAnsi="Times New Roman" w:cs="Times New Roman"/>
                      <w:b/>
                      <w:bCs/>
                      <w:color w:val="000000"/>
                      <w:sz w:val="21"/>
                      <w:szCs w:val="21"/>
                    </w:rPr>
                    <w:t>监测点位置</w:t>
                  </w:r>
                </w:p>
              </w:tc>
              <w:tc>
                <w:tcPr>
                  <w:tcW w:w="1219" w:type="dxa"/>
                  <w:noWrap w:val="0"/>
                  <w:vAlign w:val="center"/>
                </w:tcPr>
                <w:p>
                  <w:pPr>
                    <w:pStyle w:val="60"/>
                    <w:spacing w:line="240" w:lineRule="auto"/>
                    <w:rPr>
                      <w:rFonts w:ascii="Times New Roman" w:hAnsi="Times New Roman" w:cs="Times New Roman"/>
                      <w:b/>
                      <w:bCs/>
                      <w:color w:val="000000"/>
                      <w:sz w:val="21"/>
                      <w:szCs w:val="21"/>
                    </w:rPr>
                  </w:pPr>
                  <w:r>
                    <w:rPr>
                      <w:rFonts w:ascii="Times New Roman" w:hAnsi="Times New Roman" w:cs="Times New Roman"/>
                      <w:b/>
                      <w:bCs/>
                      <w:color w:val="000000"/>
                      <w:sz w:val="21"/>
                      <w:szCs w:val="21"/>
                    </w:rPr>
                    <w:t>监测内容</w:t>
                  </w:r>
                </w:p>
              </w:tc>
              <w:tc>
                <w:tcPr>
                  <w:tcW w:w="1351" w:type="dxa"/>
                  <w:noWrap w:val="0"/>
                  <w:vAlign w:val="center"/>
                </w:tcPr>
                <w:p>
                  <w:pPr>
                    <w:pStyle w:val="60"/>
                    <w:spacing w:line="240" w:lineRule="auto"/>
                    <w:rPr>
                      <w:rFonts w:ascii="Times New Roman" w:hAnsi="Times New Roman" w:cs="Times New Roman"/>
                      <w:b/>
                      <w:bCs/>
                      <w:color w:val="000000"/>
                      <w:sz w:val="21"/>
                      <w:szCs w:val="21"/>
                    </w:rPr>
                  </w:pPr>
                  <w:r>
                    <w:rPr>
                      <w:rFonts w:ascii="Times New Roman" w:hAnsi="Times New Roman" w:cs="Times New Roman"/>
                      <w:b/>
                      <w:bCs/>
                      <w:color w:val="000000"/>
                      <w:sz w:val="21"/>
                      <w:szCs w:val="21"/>
                    </w:rPr>
                    <w:t>监测指标</w:t>
                  </w:r>
                </w:p>
              </w:tc>
              <w:tc>
                <w:tcPr>
                  <w:tcW w:w="1258" w:type="dxa"/>
                  <w:noWrap w:val="0"/>
                  <w:vAlign w:val="center"/>
                </w:tcPr>
                <w:p>
                  <w:pPr>
                    <w:pStyle w:val="60"/>
                    <w:spacing w:line="240" w:lineRule="auto"/>
                    <w:rPr>
                      <w:rFonts w:ascii="Times New Roman" w:hAnsi="Times New Roman" w:cs="Times New Roman"/>
                      <w:b/>
                      <w:bCs/>
                      <w:color w:val="000000"/>
                      <w:sz w:val="21"/>
                      <w:szCs w:val="21"/>
                    </w:rPr>
                  </w:pPr>
                  <w:r>
                    <w:rPr>
                      <w:rFonts w:ascii="Times New Roman" w:hAnsi="Times New Roman" w:cs="Times New Roman"/>
                      <w:b/>
                      <w:bCs/>
                      <w:color w:val="000000"/>
                      <w:sz w:val="21"/>
                      <w:szCs w:val="21"/>
                    </w:rPr>
                    <w:t>监测方式</w:t>
                  </w:r>
                </w:p>
              </w:tc>
              <w:tc>
                <w:tcPr>
                  <w:tcW w:w="1792" w:type="dxa"/>
                  <w:noWrap w:val="0"/>
                  <w:vAlign w:val="center"/>
                </w:tcPr>
                <w:p>
                  <w:pPr>
                    <w:pStyle w:val="60"/>
                    <w:spacing w:line="240" w:lineRule="auto"/>
                    <w:rPr>
                      <w:rFonts w:ascii="Times New Roman" w:hAnsi="Times New Roman" w:cs="Times New Roman"/>
                      <w:b/>
                      <w:bCs/>
                      <w:color w:val="000000"/>
                      <w:sz w:val="21"/>
                      <w:szCs w:val="21"/>
                    </w:rPr>
                  </w:pPr>
                  <w:r>
                    <w:rPr>
                      <w:rFonts w:ascii="Times New Roman" w:hAnsi="Times New Roman" w:cs="Times New Roman"/>
                      <w:b/>
                      <w:bCs/>
                      <w:color w:val="000000"/>
                      <w:sz w:val="21"/>
                      <w:szCs w:val="21"/>
                    </w:rPr>
                    <w:t>监测采样方法及个数</w:t>
                  </w:r>
                </w:p>
              </w:tc>
              <w:tc>
                <w:tcPr>
                  <w:tcW w:w="1409" w:type="dxa"/>
                  <w:noWrap w:val="0"/>
                  <w:vAlign w:val="center"/>
                </w:tcPr>
                <w:p>
                  <w:pPr>
                    <w:pStyle w:val="60"/>
                    <w:spacing w:line="240" w:lineRule="auto"/>
                    <w:rPr>
                      <w:rFonts w:ascii="Times New Roman" w:hAnsi="Times New Roman" w:cs="Times New Roman"/>
                      <w:b/>
                      <w:bCs/>
                      <w:color w:val="000000"/>
                      <w:sz w:val="21"/>
                      <w:szCs w:val="21"/>
                    </w:rPr>
                  </w:pPr>
                  <w:r>
                    <w:rPr>
                      <w:rFonts w:ascii="Times New Roman" w:hAnsi="Times New Roman" w:cs="Times New Roman"/>
                      <w:b/>
                      <w:bCs/>
                      <w:color w:val="000000"/>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 w:type="dxa"/>
                  <w:noWrap w:val="0"/>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厂界</w:t>
                  </w:r>
                </w:p>
              </w:tc>
              <w:tc>
                <w:tcPr>
                  <w:tcW w:w="1219" w:type="dxa"/>
                  <w:noWrap w:val="0"/>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温度，湿度，气压，风速，风向</w:t>
                  </w:r>
                </w:p>
              </w:tc>
              <w:tc>
                <w:tcPr>
                  <w:tcW w:w="1351" w:type="dxa"/>
                  <w:noWrap w:val="0"/>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颗粒物</w:t>
                  </w:r>
                </w:p>
              </w:tc>
              <w:tc>
                <w:tcPr>
                  <w:tcW w:w="1258" w:type="dxa"/>
                  <w:noWrap w:val="0"/>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手工监测</w:t>
                  </w:r>
                </w:p>
              </w:tc>
              <w:tc>
                <w:tcPr>
                  <w:tcW w:w="1792" w:type="dxa"/>
                  <w:noWrap w:val="0"/>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连续采样</w:t>
                  </w:r>
                </w:p>
              </w:tc>
              <w:tc>
                <w:tcPr>
                  <w:tcW w:w="1409" w:type="dxa"/>
                  <w:noWrap w:val="0"/>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每年一次</w:t>
                  </w:r>
                </w:p>
              </w:tc>
            </w:tr>
          </w:tbl>
          <w:p>
            <w:pPr>
              <w:numPr>
                <w:ilvl w:val="0"/>
                <w:numId w:val="0"/>
              </w:numPr>
              <w:spacing w:line="360" w:lineRule="auto"/>
              <w:rPr>
                <w:rFonts w:hint="eastAsia" w:ascii="Times New Roman" w:hAnsi="Times New Roman" w:cs="Times New Roman"/>
                <w:b/>
                <w:spacing w:val="-1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textAlignment w:val="auto"/>
              <w:rPr>
                <w:rFonts w:hint="default" w:ascii="Times New Roman" w:hAnsi="Times New Roman" w:cs="Times New Roman"/>
                <w:b/>
                <w:spacing w:val="-10"/>
                <w:sz w:val="24"/>
                <w:lang w:val="en-US" w:eastAsia="zh-CN"/>
              </w:rPr>
            </w:pPr>
            <w:r>
              <w:rPr>
                <w:rFonts w:hint="eastAsia" w:cs="Times New Roman"/>
                <w:b/>
                <w:spacing w:val="-10"/>
                <w:sz w:val="24"/>
                <w:lang w:val="en-US" w:eastAsia="zh-CN"/>
              </w:rPr>
              <w:t>2）</w:t>
            </w:r>
            <w:r>
              <w:rPr>
                <w:rFonts w:hint="eastAsia" w:ascii="Times New Roman" w:hAnsi="Times New Roman" w:cs="Times New Roman"/>
                <w:b/>
                <w:spacing w:val="-10"/>
                <w:sz w:val="24"/>
                <w:lang w:val="en-US" w:eastAsia="zh-CN"/>
              </w:rPr>
              <w:t>废气处理措施可行性分析</w:t>
            </w:r>
          </w:p>
          <w:p>
            <w:pPr>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kern w:val="0"/>
                <w:sz w:val="24"/>
              </w:rPr>
              <w:t>本项目废气主要为颗粒物，</w:t>
            </w:r>
            <w:r>
              <w:rPr>
                <w:rFonts w:ascii="Times New Roman" w:hAnsi="Times New Roman" w:cs="Times New Roman"/>
                <w:color w:val="000000"/>
                <w:sz w:val="24"/>
              </w:rPr>
              <w:t>搅拌、筒仓</w:t>
            </w:r>
            <w:r>
              <w:rPr>
                <w:rFonts w:ascii="Times New Roman" w:hAnsi="Times New Roman" w:cs="Times New Roman"/>
                <w:sz w:val="24"/>
              </w:rPr>
              <w:t>输送、装卸、呼吸孔等过程产生的</w:t>
            </w:r>
            <w:r>
              <w:rPr>
                <w:rFonts w:ascii="Times New Roman" w:hAnsi="Times New Roman" w:cs="Times New Roman"/>
                <w:color w:val="000000"/>
                <w:sz w:val="24"/>
              </w:rPr>
              <w:t>颗粒物经设备自带布袋除尘器处理后以无组织形式排放至封闭厂房内；原料堆场、汽车运输起尘经洒水抑尘等措施处理后以无组织形式排放。</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根据《固定污染源排污许可分类管理名录</w:t>
            </w:r>
            <w:r>
              <w:rPr>
                <w:rFonts w:hint="eastAsia" w:cs="Times New Roman"/>
                <w:sz w:val="24"/>
                <w:lang w:eastAsia="zh-CN"/>
              </w:rPr>
              <w:t>（</w:t>
            </w:r>
            <w:r>
              <w:rPr>
                <w:rFonts w:ascii="Times New Roman" w:hAnsi="Times New Roman" w:cs="Times New Roman"/>
                <w:sz w:val="24"/>
              </w:rPr>
              <w:t>2019年版</w:t>
            </w:r>
            <w:r>
              <w:rPr>
                <w:rFonts w:hint="eastAsia" w:cs="Times New Roman"/>
                <w:sz w:val="24"/>
                <w:lang w:eastAsia="zh-CN"/>
              </w:rPr>
              <w:t>）</w:t>
            </w:r>
            <w:r>
              <w:rPr>
                <w:rFonts w:ascii="Times New Roman" w:hAnsi="Times New Roman" w:cs="Times New Roman"/>
                <w:sz w:val="24"/>
              </w:rPr>
              <w:t>》，本项目管理类别为登记管理，无相应排污许可技术规范，项目末端治理技术参照《排污许可证申请与核发技术规范 陶瓷砖瓦工业》中的可行性技术袋式除尘器。</w:t>
            </w:r>
          </w:p>
          <w:p>
            <w:pPr>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经工程分析可知，颗粒物排放浓度能满足</w:t>
            </w:r>
            <w:r>
              <w:rPr>
                <w:rFonts w:ascii="Times New Roman" w:hAnsi="Times New Roman" w:cs="Times New Roman"/>
                <w:sz w:val="24"/>
              </w:rPr>
              <w:t>安徽省《水泥工业大气污染物排放标准》（DB34/3576-2020）中无组织粉尘排放浓度限值</w:t>
            </w:r>
            <w:r>
              <w:rPr>
                <w:rFonts w:ascii="Times New Roman" w:hAnsi="Times New Roman" w:cs="Times New Roman"/>
                <w:color w:val="000000"/>
                <w:sz w:val="24"/>
              </w:rPr>
              <w:t>，达标排放。</w:t>
            </w:r>
          </w:p>
          <w:p>
            <w:pPr>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布袋除尘器原理：利用纤维织物的过滤作用对含尘气体进行过滤，当含尘气体进入布袋除尘器，颗粒大、比重大的粉尘，由于重力的作用沉降下来，落入灰斗，含有较细小粉尘的气体在通过滤料时，粉尘被阻留，使气体得到净化。一般新滤料的除尘效率是不够高的。滤料使用一段时间后，由于筛滤、碰撞、滞留、扩散、静电等效应，滤袋表面积聚了一层粉尘，这层粉尘称为初层，在此以后的运动过程中，初层成了滤料的主要过滤层，依靠初层的作用，网孔较大的滤料也能获得较高的过滤效率。随着粉尘在滤料表面的积聚，除尘器的效率和阻力都相应的增加，当滤料两侧的压力差很大时，会把有些已附着在滤料上的细小尘粒挤压过去，使除尘器效率下降。另外，除尘器的阻力过高会使除尘系统的风量显著下降。因此，除尘器的阻力达到一定数值后，要及时清灰。布袋除尘装置运行成本符合企业预算，故粉尘采用布袋除尘装置处理可行。</w:t>
            </w:r>
          </w:p>
          <w:p>
            <w:pPr>
              <w:spacing w:line="360" w:lineRule="auto"/>
              <w:ind w:firstLine="480" w:firstLineChars="200"/>
              <w:rPr>
                <w:rFonts w:ascii="Times New Roman" w:hAnsi="Times New Roman" w:cs="Times New Roman"/>
                <w:color w:val="000000"/>
                <w:kern w:val="0"/>
                <w:sz w:val="24"/>
              </w:rPr>
            </w:pPr>
            <w:r>
              <w:rPr>
                <w:rFonts w:ascii="Times New Roman" w:hAnsi="Times New Roman" w:cs="Times New Roman"/>
                <w:color w:val="000000"/>
                <w:kern w:val="0"/>
                <w:sz w:val="24"/>
              </w:rPr>
              <w:t>因此，本项目废气处理措施方案可行。</w:t>
            </w:r>
          </w:p>
          <w:p>
            <w:pPr>
              <w:spacing w:line="360" w:lineRule="auto"/>
              <w:ind w:firstLine="480" w:firstLineChars="200"/>
              <w:rPr>
                <w:rFonts w:hint="default" w:eastAsia="宋体"/>
                <w:b w:val="0"/>
                <w:bCs/>
                <w:spacing w:val="-10"/>
                <w:lang w:val="en-US" w:eastAsia="zh-CN"/>
              </w:rPr>
            </w:pPr>
            <w:r>
              <w:rPr>
                <w:rFonts w:ascii="Times New Roman" w:hAnsi="Times New Roman" w:cs="Times New Roman"/>
                <w:color w:val="000000"/>
                <w:kern w:val="0"/>
                <w:sz w:val="24"/>
              </w:rPr>
              <w:t>综上所述，本项目营运期产生的废气在采取相应环保治理措施处理后满足安徽省《水泥工业大气污染物排放标准》（DB34/3576-2020）中排放限值标准要求及无组织粉尘排放浓度限值，对周围环境空气的污染影响较小。</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b/>
                <w:spacing w:val="-10"/>
              </w:rPr>
            </w:pPr>
            <w:r>
              <w:rPr>
                <w:b/>
                <w:spacing w:val="-10"/>
              </w:rPr>
              <w:t>2</w:t>
            </w:r>
            <w:r>
              <w:rPr>
                <w:rFonts w:hint="eastAsia" w:ascii="宋体" w:hAnsi="宋体" w:cs="宋体"/>
                <w:b/>
                <w:spacing w:val="-10"/>
              </w:rPr>
              <w:t>、废（污）水</w:t>
            </w:r>
          </w:p>
          <w:p>
            <w:pPr>
              <w:spacing w:line="360" w:lineRule="auto"/>
              <w:ind w:firstLine="480" w:firstLineChars="200"/>
              <w:jc w:val="left"/>
              <w:rPr>
                <w:rFonts w:ascii="Times New Roman" w:hAnsi="Times New Roman" w:cs="Times New Roman"/>
                <w:sz w:val="24"/>
              </w:rPr>
            </w:pPr>
            <w:r>
              <w:rPr>
                <w:rFonts w:hint="eastAsia" w:ascii="Times New Roman" w:hAnsi="Times New Roman" w:cs="Times New Roman"/>
                <w:sz w:val="24"/>
              </w:rPr>
              <w:t>项目用水主要包含生产用水和生活用水，其中生产用水包括工艺用水，搅拌机清洗用水、车辆清洗用水、作业区清洗用水、厂区喷淋降尘用水等。生活污水经隔油池、化粪池处理后定期清掏不外排；生产废水经厂区沉淀池沉淀处理后循环利用不外排。</w:t>
            </w:r>
            <w:r>
              <w:rPr>
                <w:rFonts w:hint="eastAsia" w:cs="Times New Roman"/>
                <w:sz w:val="24"/>
                <w:lang w:val="en-US" w:eastAsia="zh-CN"/>
              </w:rPr>
              <w:t>项目初期雨水经收集后汇入沉淀池用于车辆冲洗等。</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（1）项目用水及废水产生情况</w:t>
            </w:r>
          </w:p>
          <w:p>
            <w:pPr>
              <w:spacing w:line="360" w:lineRule="auto"/>
              <w:ind w:firstLine="480" w:firstLineChars="200"/>
              <w:rPr>
                <w:rFonts w:ascii="Times New Roman" w:hAnsi="Times New Roman" w:cs="Times New Roman"/>
                <w:bCs/>
                <w:sz w:val="24"/>
              </w:rPr>
            </w:pPr>
            <w:r>
              <w:rPr>
                <w:rFonts w:ascii="Times New Roman" w:hAnsi="Times New Roman" w:cs="Times New Roman"/>
                <w:sz w:val="24"/>
              </w:rPr>
              <w:t>①员工生活用水及生活污水：项目计划劳动人员</w:t>
            </w:r>
            <w:r>
              <w:rPr>
                <w:rFonts w:hint="eastAsia" w:ascii="Times New Roman" w:hAnsi="Times New Roman" w:cs="Times New Roman"/>
                <w:sz w:val="24"/>
                <w:lang w:val="en-US" w:eastAsia="zh-CN"/>
              </w:rPr>
              <w:t>8</w:t>
            </w:r>
            <w:r>
              <w:rPr>
                <w:rFonts w:ascii="Times New Roman" w:hAnsi="Times New Roman" w:cs="Times New Roman"/>
                <w:sz w:val="24"/>
              </w:rPr>
              <w:t>0人，年工作3</w:t>
            </w:r>
            <w:r>
              <w:rPr>
                <w:rFonts w:hint="eastAsia" w:cs="Times New Roman"/>
                <w:sz w:val="24"/>
                <w:lang w:val="en-US" w:eastAsia="zh-CN"/>
              </w:rPr>
              <w:t>1</w:t>
            </w:r>
            <w:r>
              <w:rPr>
                <w:rFonts w:ascii="Times New Roman" w:hAnsi="Times New Roman" w:cs="Times New Roman"/>
                <w:sz w:val="24"/>
              </w:rPr>
              <w:t>0天，厂区提供食宿，根据《安徽行业用水定额》（DB34/T 679-2019），员工用水定额按</w:t>
            </w:r>
            <w:r>
              <w:rPr>
                <w:rFonts w:hint="eastAsia" w:ascii="Times New Roman" w:hAnsi="Times New Roman" w:cs="Times New Roman"/>
                <w:sz w:val="24"/>
                <w:lang w:val="en-US" w:eastAsia="zh-CN"/>
              </w:rPr>
              <w:t>110</w:t>
            </w:r>
            <w:r>
              <w:rPr>
                <w:rFonts w:ascii="Times New Roman" w:hAnsi="Times New Roman" w:cs="Times New Roman"/>
                <w:sz w:val="24"/>
              </w:rPr>
              <w:t>L/人·d计，生活用水量为</w:t>
            </w:r>
            <w:r>
              <w:rPr>
                <w:rFonts w:hint="eastAsia" w:ascii="Times New Roman" w:hAnsi="Times New Roman" w:cs="Times New Roman"/>
                <w:sz w:val="24"/>
                <w:lang w:val="en-US" w:eastAsia="zh-CN"/>
              </w:rPr>
              <w:t>8.8</w:t>
            </w:r>
            <w:r>
              <w:rPr>
                <w:rFonts w:ascii="Times New Roman" w:hAnsi="Times New Roman" w:cs="Times New Roman"/>
                <w:sz w:val="24"/>
              </w:rPr>
              <w:t>t/d（</w:t>
            </w:r>
            <w:r>
              <w:rPr>
                <w:rFonts w:hint="eastAsia" w:ascii="Times New Roman" w:hAnsi="Times New Roman" w:cs="Times New Roman"/>
                <w:sz w:val="24"/>
                <w:lang w:val="en-US" w:eastAsia="zh-CN"/>
              </w:rPr>
              <w:t>2</w:t>
            </w:r>
            <w:r>
              <w:rPr>
                <w:rFonts w:hint="eastAsia" w:cs="Times New Roman"/>
                <w:sz w:val="24"/>
                <w:lang w:val="en-US" w:eastAsia="zh-CN"/>
              </w:rPr>
              <w:t>728</w:t>
            </w:r>
            <w:r>
              <w:rPr>
                <w:rFonts w:ascii="Times New Roman" w:hAnsi="Times New Roman" w:cs="Times New Roman"/>
                <w:sz w:val="24"/>
              </w:rPr>
              <w:t>t/a）</w:t>
            </w:r>
            <w:r>
              <w:rPr>
                <w:rFonts w:ascii="Times New Roman" w:hAnsi="Times New Roman" w:cs="Times New Roman"/>
                <w:bCs/>
                <w:sz w:val="24"/>
              </w:rPr>
              <w:t>，废水产生系数取80%，则生活污水产生量为</w:t>
            </w:r>
            <w:r>
              <w:rPr>
                <w:rFonts w:hint="eastAsia" w:ascii="Times New Roman" w:hAnsi="Times New Roman" w:cs="Times New Roman"/>
                <w:bCs/>
                <w:sz w:val="24"/>
                <w:lang w:val="en-US" w:eastAsia="zh-CN"/>
              </w:rPr>
              <w:t>7.0</w:t>
            </w:r>
            <w:r>
              <w:rPr>
                <w:rFonts w:ascii="Times New Roman" w:hAnsi="Times New Roman" w:cs="Times New Roman"/>
                <w:bCs/>
                <w:sz w:val="24"/>
              </w:rPr>
              <w:t>4t/d（</w:t>
            </w:r>
            <w:r>
              <w:rPr>
                <w:rFonts w:hint="eastAsia" w:ascii="Times New Roman" w:hAnsi="Times New Roman" w:cs="Times New Roman"/>
                <w:bCs/>
                <w:sz w:val="24"/>
                <w:lang w:val="en-US" w:eastAsia="zh-CN"/>
              </w:rPr>
              <w:t>2</w:t>
            </w:r>
            <w:r>
              <w:rPr>
                <w:rFonts w:hint="eastAsia" w:cs="Times New Roman"/>
                <w:bCs/>
                <w:sz w:val="24"/>
                <w:lang w:val="en-US" w:eastAsia="zh-CN"/>
              </w:rPr>
              <w:t>182.4</w:t>
            </w:r>
            <w:r>
              <w:rPr>
                <w:rFonts w:ascii="Times New Roman" w:hAnsi="Times New Roman" w:cs="Times New Roman"/>
                <w:bCs/>
                <w:sz w:val="24"/>
              </w:rPr>
              <w:t>t/a）。</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生活污水经</w:t>
            </w:r>
            <w:r>
              <w:rPr>
                <w:rFonts w:hint="eastAsia" w:ascii="Times New Roman" w:hAnsi="Times New Roman" w:cs="Times New Roman"/>
                <w:sz w:val="24"/>
                <w:lang w:val="en-US" w:eastAsia="zh-CN"/>
              </w:rPr>
              <w:t>隔油池、</w:t>
            </w:r>
            <w:r>
              <w:rPr>
                <w:rFonts w:ascii="Times New Roman" w:hAnsi="Times New Roman" w:cs="Times New Roman"/>
                <w:sz w:val="24"/>
              </w:rPr>
              <w:t>化粪池处理后定期清掏</w:t>
            </w:r>
            <w:r>
              <w:rPr>
                <w:rFonts w:hint="eastAsia" w:ascii="Times New Roman" w:hAnsi="Times New Roman" w:cs="Times New Roman"/>
                <w:sz w:val="24"/>
                <w:lang w:val="en-US" w:eastAsia="zh-CN"/>
              </w:rPr>
              <w:t>外运</w:t>
            </w:r>
            <w:r>
              <w:rPr>
                <w:rFonts w:ascii="Times New Roman" w:hAnsi="Times New Roman" w:cs="Times New Roman"/>
                <w:sz w:val="24"/>
              </w:rPr>
              <w:t>，不外排。</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②生产用水：本项目生产用水为生产</w:t>
            </w:r>
            <w:r>
              <w:rPr>
                <w:rFonts w:hint="eastAsia" w:ascii="Times New Roman" w:hAnsi="Times New Roman" w:cs="Times New Roman"/>
                <w:sz w:val="24"/>
                <w:lang w:val="en-US" w:eastAsia="zh-CN"/>
              </w:rPr>
              <w:t>70</w:t>
            </w:r>
            <w:r>
              <w:rPr>
                <w:rFonts w:ascii="Times New Roman" w:hAnsi="Times New Roman" w:cs="Times New Roman"/>
                <w:sz w:val="24"/>
              </w:rPr>
              <w:t>万m</w:t>
            </w:r>
            <w:r>
              <w:rPr>
                <w:rFonts w:ascii="Times New Roman" w:hAnsi="Times New Roman" w:cs="Times New Roman"/>
                <w:sz w:val="24"/>
                <w:vertAlign w:val="superscript"/>
              </w:rPr>
              <w:t>3</w:t>
            </w:r>
            <w:r>
              <w:rPr>
                <w:rFonts w:ascii="Times New Roman" w:hAnsi="Times New Roman" w:cs="Times New Roman"/>
                <w:sz w:val="24"/>
              </w:rPr>
              <w:t>/a商品混凝土，生产过程工艺用水主要为配料用水，工艺用水消耗按照混凝土1</w:t>
            </w:r>
            <w:r>
              <w:rPr>
                <w:rFonts w:hint="eastAsia" w:ascii="Times New Roman" w:hAnsi="Times New Roman" w:cs="Times New Roman"/>
                <w:sz w:val="24"/>
                <w:lang w:val="en-US" w:eastAsia="zh-CN"/>
              </w:rPr>
              <w:t>1</w:t>
            </w:r>
            <w:r>
              <w:rPr>
                <w:rFonts w:ascii="Times New Roman" w:hAnsi="Times New Roman" w:cs="Times New Roman"/>
                <w:sz w:val="24"/>
              </w:rPr>
              <w:t>0kg/m</w:t>
            </w:r>
            <w:r>
              <w:rPr>
                <w:rFonts w:ascii="Times New Roman" w:hAnsi="Times New Roman" w:cs="Times New Roman"/>
                <w:sz w:val="24"/>
                <w:vertAlign w:val="superscript"/>
              </w:rPr>
              <w:t>3</w:t>
            </w:r>
            <w:r>
              <w:rPr>
                <w:rFonts w:ascii="Times New Roman" w:hAnsi="Times New Roman" w:cs="Times New Roman"/>
                <w:sz w:val="24"/>
              </w:rPr>
              <w:t>，年工艺用水</w:t>
            </w:r>
            <w:r>
              <w:rPr>
                <w:rFonts w:hint="eastAsia" w:ascii="Times New Roman" w:hAnsi="Times New Roman" w:cs="Times New Roman"/>
                <w:sz w:val="24"/>
                <w:lang w:val="en-US" w:eastAsia="zh-CN"/>
              </w:rPr>
              <w:t>7.7</w:t>
            </w:r>
            <w:r>
              <w:rPr>
                <w:rFonts w:ascii="Times New Roman" w:hAnsi="Times New Roman" w:cs="Times New Roman"/>
                <w:sz w:val="24"/>
              </w:rPr>
              <w:t>万m</w:t>
            </w:r>
            <w:r>
              <w:rPr>
                <w:rFonts w:ascii="Times New Roman" w:hAnsi="Times New Roman" w:cs="Times New Roman"/>
                <w:sz w:val="24"/>
                <w:vertAlign w:val="superscript"/>
              </w:rPr>
              <w:t>3</w:t>
            </w:r>
            <w:r>
              <w:rPr>
                <w:rFonts w:ascii="Times New Roman" w:hAnsi="Times New Roman" w:cs="Times New Roman"/>
                <w:sz w:val="24"/>
              </w:rPr>
              <w:t>。工艺用水为一次性用水。</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③搅拌机清洗用水：搅拌机在暂停停止生产时必须清洗干净，按照搅拌机每天清洗一次，清洗用水按1m</w:t>
            </w:r>
            <w:r>
              <w:rPr>
                <w:rFonts w:ascii="Times New Roman" w:hAnsi="Times New Roman" w:cs="Times New Roman"/>
                <w:bCs/>
                <w:sz w:val="24"/>
                <w:vertAlign w:val="superscript"/>
              </w:rPr>
              <w:t>3</w:t>
            </w:r>
            <w:r>
              <w:rPr>
                <w:rFonts w:ascii="Times New Roman" w:hAnsi="Times New Roman" w:cs="Times New Roman"/>
                <w:bCs/>
                <w:sz w:val="24"/>
              </w:rPr>
              <w:t>/d计，年工作3</w:t>
            </w:r>
            <w:r>
              <w:rPr>
                <w:rFonts w:hint="eastAsia" w:ascii="Times New Roman" w:hAnsi="Times New Roman" w:cs="Times New Roman"/>
                <w:bCs/>
                <w:sz w:val="24"/>
                <w:lang w:val="en-US" w:eastAsia="zh-CN"/>
              </w:rPr>
              <w:t>0</w:t>
            </w:r>
            <w:r>
              <w:rPr>
                <w:rFonts w:ascii="Times New Roman" w:hAnsi="Times New Roman" w:cs="Times New Roman"/>
                <w:bCs/>
                <w:sz w:val="24"/>
              </w:rPr>
              <w:t>0d，则搅拌主机清洗用水量为3</w:t>
            </w:r>
            <w:r>
              <w:rPr>
                <w:rFonts w:hint="eastAsia" w:ascii="Times New Roman" w:hAnsi="Times New Roman" w:cs="Times New Roman"/>
                <w:bCs/>
                <w:sz w:val="24"/>
                <w:lang w:val="en-US" w:eastAsia="zh-CN"/>
              </w:rPr>
              <w:t>00</w:t>
            </w:r>
            <w:r>
              <w:rPr>
                <w:rFonts w:ascii="Times New Roman" w:hAnsi="Times New Roman" w:cs="Times New Roman"/>
                <w:bCs/>
                <w:sz w:val="24"/>
              </w:rPr>
              <w:t>m</w:t>
            </w:r>
            <w:r>
              <w:rPr>
                <w:rFonts w:ascii="Times New Roman" w:hAnsi="Times New Roman" w:cs="Times New Roman"/>
                <w:bCs/>
                <w:sz w:val="24"/>
                <w:vertAlign w:val="superscript"/>
              </w:rPr>
              <w:t>3</w:t>
            </w:r>
            <w:r>
              <w:rPr>
                <w:rFonts w:ascii="Times New Roman" w:hAnsi="Times New Roman" w:cs="Times New Roman"/>
                <w:bCs/>
                <w:sz w:val="24"/>
              </w:rPr>
              <w:t>/a。搅拌机清洗废水按照0.8计，则清洗废水产生量为2</w:t>
            </w:r>
            <w:r>
              <w:rPr>
                <w:rFonts w:hint="eastAsia" w:ascii="Times New Roman" w:hAnsi="Times New Roman" w:cs="Times New Roman"/>
                <w:bCs/>
                <w:sz w:val="24"/>
                <w:lang w:val="en-US" w:eastAsia="zh-CN"/>
              </w:rPr>
              <w:t>40</w:t>
            </w:r>
            <w:r>
              <w:rPr>
                <w:rFonts w:ascii="Times New Roman" w:hAnsi="Times New Roman" w:cs="Times New Roman"/>
                <w:bCs/>
                <w:sz w:val="24"/>
              </w:rPr>
              <w:t>m</w:t>
            </w:r>
            <w:r>
              <w:rPr>
                <w:rFonts w:ascii="Times New Roman" w:hAnsi="Times New Roman" w:cs="Times New Roman"/>
                <w:bCs/>
                <w:sz w:val="24"/>
                <w:vertAlign w:val="superscript"/>
              </w:rPr>
              <w:t>3</w:t>
            </w:r>
            <w:r>
              <w:rPr>
                <w:rFonts w:ascii="Times New Roman" w:hAnsi="Times New Roman" w:cs="Times New Roman"/>
                <w:bCs/>
                <w:sz w:val="24"/>
              </w:rPr>
              <w:t>/a。搅拌机清洗废水经厂区沉淀池沉淀后回用，不外排。则需定期补充新鲜水量为</w:t>
            </w:r>
            <w:r>
              <w:rPr>
                <w:rFonts w:hint="eastAsia" w:ascii="Times New Roman" w:hAnsi="Times New Roman" w:cs="Times New Roman"/>
                <w:bCs/>
                <w:sz w:val="24"/>
                <w:lang w:val="en-US" w:eastAsia="zh-CN"/>
              </w:rPr>
              <w:t>60</w:t>
            </w:r>
            <w:r>
              <w:rPr>
                <w:rFonts w:ascii="Times New Roman" w:hAnsi="Times New Roman" w:cs="Times New Roman"/>
                <w:bCs/>
                <w:sz w:val="24"/>
              </w:rPr>
              <w:t>t/a。</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④作业区地面冲洗用水：本项目生产车间面积为2</w:t>
            </w:r>
            <w:r>
              <w:rPr>
                <w:rFonts w:hint="eastAsia" w:ascii="Times New Roman" w:hAnsi="Times New Roman" w:cs="Times New Roman"/>
                <w:bCs/>
                <w:sz w:val="24"/>
                <w:lang w:val="en-US" w:eastAsia="zh-CN"/>
              </w:rPr>
              <w:t>0</w:t>
            </w:r>
            <w:r>
              <w:rPr>
                <w:rFonts w:ascii="Times New Roman" w:hAnsi="Times New Roman" w:cs="Times New Roman"/>
                <w:bCs/>
                <w:sz w:val="24"/>
              </w:rPr>
              <w:t>00m</w:t>
            </w:r>
            <w:r>
              <w:rPr>
                <w:rFonts w:ascii="Times New Roman" w:hAnsi="Times New Roman" w:cs="Times New Roman"/>
                <w:bCs/>
                <w:sz w:val="24"/>
                <w:vertAlign w:val="superscript"/>
              </w:rPr>
              <w:t>2</w:t>
            </w:r>
            <w:r>
              <w:rPr>
                <w:rFonts w:ascii="Times New Roman" w:hAnsi="Times New Roman" w:cs="Times New Roman"/>
                <w:bCs/>
                <w:sz w:val="24"/>
              </w:rPr>
              <w:t>，冲洗用水量按1.0m</w:t>
            </w:r>
            <w:r>
              <w:rPr>
                <w:rFonts w:ascii="Times New Roman" w:hAnsi="Times New Roman" w:cs="Times New Roman"/>
                <w:bCs/>
                <w:sz w:val="24"/>
                <w:vertAlign w:val="superscript"/>
              </w:rPr>
              <w:t>3</w:t>
            </w:r>
            <w:r>
              <w:rPr>
                <w:rFonts w:ascii="Times New Roman" w:hAnsi="Times New Roman" w:cs="Times New Roman"/>
                <w:bCs/>
                <w:sz w:val="24"/>
              </w:rPr>
              <w:t>/100m</w:t>
            </w:r>
            <w:r>
              <w:rPr>
                <w:rFonts w:ascii="Times New Roman" w:hAnsi="Times New Roman" w:cs="Times New Roman"/>
                <w:bCs/>
                <w:sz w:val="24"/>
                <w:vertAlign w:val="superscript"/>
              </w:rPr>
              <w:t>2</w:t>
            </w:r>
            <w:r>
              <w:rPr>
                <w:rFonts w:ascii="Times New Roman" w:hAnsi="Times New Roman" w:cs="Times New Roman"/>
                <w:bCs/>
                <w:sz w:val="24"/>
              </w:rPr>
              <w:t>·d计，则冲洗用水量为2</w:t>
            </w:r>
            <w:r>
              <w:rPr>
                <w:rFonts w:hint="eastAsia" w:ascii="Times New Roman" w:hAnsi="Times New Roman" w:cs="Times New Roman"/>
                <w:bCs/>
                <w:sz w:val="24"/>
                <w:lang w:val="en-US" w:eastAsia="zh-CN"/>
              </w:rPr>
              <w:t>0</w:t>
            </w:r>
            <w:r>
              <w:rPr>
                <w:rFonts w:ascii="Times New Roman" w:hAnsi="Times New Roman" w:cs="Times New Roman"/>
                <w:bCs/>
                <w:sz w:val="24"/>
              </w:rPr>
              <w:t>t/d（</w:t>
            </w:r>
            <w:r>
              <w:rPr>
                <w:rFonts w:hint="eastAsia" w:ascii="Times New Roman" w:hAnsi="Times New Roman" w:cs="Times New Roman"/>
                <w:bCs/>
                <w:sz w:val="24"/>
                <w:lang w:val="en-US" w:eastAsia="zh-CN"/>
              </w:rPr>
              <w:t>6000</w:t>
            </w:r>
            <w:r>
              <w:rPr>
                <w:rFonts w:ascii="Times New Roman" w:hAnsi="Times New Roman" w:cs="Times New Roman"/>
                <w:bCs/>
                <w:sz w:val="24"/>
              </w:rPr>
              <w:t>t/a），厂区设置沉淀池，冲洗用水经沉淀池沉淀后循环利用，不外排。损耗系数按20%计，则需定期补充新鲜水量为4t/d（</w:t>
            </w:r>
            <w:r>
              <w:rPr>
                <w:rFonts w:hint="eastAsia" w:ascii="Times New Roman" w:hAnsi="Times New Roman" w:cs="Times New Roman"/>
                <w:bCs/>
                <w:sz w:val="24"/>
                <w:lang w:val="en-US" w:eastAsia="zh-CN"/>
              </w:rPr>
              <w:t>1200</w:t>
            </w:r>
            <w:r>
              <w:rPr>
                <w:rFonts w:ascii="Times New Roman" w:hAnsi="Times New Roman" w:cs="Times New Roman"/>
                <w:bCs/>
                <w:sz w:val="24"/>
              </w:rPr>
              <w:t>t/a）。</w:t>
            </w:r>
          </w:p>
          <w:p>
            <w:pPr>
              <w:spacing w:line="360" w:lineRule="auto"/>
              <w:ind w:firstLine="480" w:firstLineChars="200"/>
              <w:rPr>
                <w:rFonts w:ascii="Times New Roman" w:hAnsi="Times New Roman" w:cs="Times New Roman"/>
                <w:bCs/>
                <w:color w:val="000000"/>
                <w:sz w:val="24"/>
              </w:rPr>
            </w:pPr>
            <w:r>
              <w:rPr>
                <w:rFonts w:ascii="Times New Roman" w:hAnsi="Times New Roman" w:cs="Times New Roman"/>
                <w:bCs/>
                <w:color w:val="000000"/>
                <w:sz w:val="24"/>
              </w:rPr>
              <w:t>⑤场区内喷淋除尘用水：建设单位在料仓、厂区内安装喷淋洒水降尘设备，降低厂区粉尘的排放量，用水量按5t/d计，则项目洒水降尘用水量为1</w:t>
            </w:r>
            <w:r>
              <w:rPr>
                <w:rFonts w:hint="eastAsia" w:ascii="Times New Roman" w:hAnsi="Times New Roman" w:cs="Times New Roman"/>
                <w:bCs/>
                <w:color w:val="000000"/>
                <w:sz w:val="24"/>
                <w:lang w:val="en-US" w:eastAsia="zh-CN"/>
              </w:rPr>
              <w:t>500</w:t>
            </w:r>
            <w:r>
              <w:rPr>
                <w:rFonts w:ascii="Times New Roman" w:hAnsi="Times New Roman" w:cs="Times New Roman"/>
                <w:bCs/>
                <w:color w:val="000000"/>
                <w:sz w:val="24"/>
              </w:rPr>
              <w:t>t/a。</w:t>
            </w:r>
            <w:r>
              <w:rPr>
                <w:rFonts w:ascii="Times New Roman" w:hAnsi="Times New Roman" w:cs="Times New Roman"/>
                <w:bCs/>
                <w:sz w:val="24"/>
              </w:rPr>
              <w:t>损耗系数按20%计，则需定期补充新鲜水量为1t/d（3</w:t>
            </w:r>
            <w:r>
              <w:rPr>
                <w:rFonts w:hint="eastAsia" w:ascii="Times New Roman" w:hAnsi="Times New Roman" w:cs="Times New Roman"/>
                <w:bCs/>
                <w:sz w:val="24"/>
                <w:lang w:val="en-US" w:eastAsia="zh-CN"/>
              </w:rPr>
              <w:t>0</w:t>
            </w:r>
            <w:r>
              <w:rPr>
                <w:rFonts w:ascii="Times New Roman" w:hAnsi="Times New Roman" w:cs="Times New Roman"/>
                <w:bCs/>
                <w:sz w:val="24"/>
              </w:rPr>
              <w:t>0t/a）。</w:t>
            </w:r>
          </w:p>
          <w:p>
            <w:pPr>
              <w:spacing w:line="360" w:lineRule="auto"/>
              <w:ind w:firstLine="480" w:firstLineChars="200"/>
              <w:rPr>
                <w:rFonts w:ascii="Times New Roman" w:hAnsi="Times New Roman" w:cs="Times New Roman"/>
                <w:sz w:val="24"/>
              </w:rPr>
            </w:pPr>
            <w:r>
              <w:rPr>
                <w:rFonts w:ascii="Times New Roman" w:hAnsi="Times New Roman" w:cs="Times New Roman"/>
                <w:bCs/>
                <w:sz w:val="24"/>
              </w:rPr>
              <w:t>⑥运输车辆清洗用水：项目每天约洗车15</w:t>
            </w:r>
            <w:r>
              <w:rPr>
                <w:rFonts w:hint="eastAsia" w:cs="Times New Roman"/>
                <w:bCs/>
                <w:sz w:val="24"/>
                <w:lang w:val="en-US" w:eastAsia="zh-CN"/>
              </w:rPr>
              <w:t>5</w:t>
            </w:r>
            <w:r>
              <w:rPr>
                <w:rFonts w:ascii="Times New Roman" w:hAnsi="Times New Roman" w:cs="Times New Roman"/>
                <w:bCs/>
                <w:sz w:val="24"/>
              </w:rPr>
              <w:t>车次，在厂区设置洗车台，每辆车运输完一次均需进行冲洗，运输车辆冲洗水量按0.5m</w:t>
            </w:r>
            <w:r>
              <w:rPr>
                <w:rFonts w:ascii="Times New Roman" w:hAnsi="Times New Roman" w:cs="Times New Roman"/>
                <w:bCs/>
                <w:sz w:val="24"/>
                <w:vertAlign w:val="superscript"/>
              </w:rPr>
              <w:t>3</w:t>
            </w:r>
            <w:r>
              <w:rPr>
                <w:rFonts w:ascii="Times New Roman" w:hAnsi="Times New Roman" w:cs="Times New Roman"/>
                <w:bCs/>
                <w:sz w:val="24"/>
              </w:rPr>
              <w:t>/辆·次，则运输车辆冲洗用水量为</w:t>
            </w:r>
            <w:r>
              <w:rPr>
                <w:rFonts w:hint="eastAsia" w:cs="Times New Roman"/>
                <w:bCs/>
                <w:sz w:val="24"/>
                <w:lang w:val="en-US" w:eastAsia="zh-CN"/>
              </w:rPr>
              <w:t>77.5</w:t>
            </w:r>
            <w:r>
              <w:rPr>
                <w:rFonts w:ascii="Times New Roman" w:hAnsi="Times New Roman" w:cs="Times New Roman"/>
                <w:bCs/>
                <w:sz w:val="24"/>
              </w:rPr>
              <w:t>t/d（2</w:t>
            </w:r>
            <w:r>
              <w:rPr>
                <w:rFonts w:hint="eastAsia" w:cs="Times New Roman"/>
                <w:bCs/>
                <w:sz w:val="24"/>
                <w:lang w:val="en-US" w:eastAsia="zh-CN"/>
              </w:rPr>
              <w:t>4025</w:t>
            </w:r>
            <w:r>
              <w:rPr>
                <w:rFonts w:ascii="Times New Roman" w:hAnsi="Times New Roman" w:cs="Times New Roman"/>
                <w:bCs/>
                <w:sz w:val="24"/>
              </w:rPr>
              <w:t>t/a），清洗用水经沉淀池沉淀后循环利用，不外排。损耗系数按10%计，则需定期补充新鲜水量为7.</w:t>
            </w:r>
            <w:r>
              <w:rPr>
                <w:rFonts w:hint="eastAsia" w:cs="Times New Roman"/>
                <w:bCs/>
                <w:sz w:val="24"/>
                <w:lang w:val="en-US" w:eastAsia="zh-CN"/>
              </w:rPr>
              <w:t>7</w:t>
            </w:r>
            <w:r>
              <w:rPr>
                <w:rFonts w:ascii="Times New Roman" w:hAnsi="Times New Roman" w:cs="Times New Roman"/>
                <w:bCs/>
                <w:sz w:val="24"/>
              </w:rPr>
              <w:t>5t/d（</w:t>
            </w:r>
            <w:r>
              <w:rPr>
                <w:rFonts w:hint="eastAsia" w:cs="Times New Roman"/>
                <w:bCs/>
                <w:sz w:val="24"/>
                <w:lang w:val="en-US" w:eastAsia="zh-CN"/>
              </w:rPr>
              <w:t>2402.5</w:t>
            </w:r>
            <w:r>
              <w:rPr>
                <w:rFonts w:ascii="Times New Roman" w:hAnsi="Times New Roman" w:cs="Times New Roman"/>
                <w:bCs/>
                <w:sz w:val="24"/>
              </w:rPr>
              <w:t>t/a）。</w:t>
            </w:r>
          </w:p>
          <w:p>
            <w:pPr>
              <w:spacing w:line="360" w:lineRule="auto"/>
              <w:jc w:val="center"/>
              <w:rPr>
                <w:rFonts w:hint="eastAsia"/>
                <w:b/>
                <w:bCs/>
                <w:color w:val="FF0000"/>
              </w:rPr>
            </w:pPr>
            <w:r>
              <w:rPr>
                <w:rFonts w:hint="eastAsia"/>
                <w:b/>
                <w:bCs/>
              </w:rPr>
              <w:drawing>
                <wp:inline distT="0" distB="0" distL="114300" distR="114300">
                  <wp:extent cx="5235575" cy="3930015"/>
                  <wp:effectExtent l="0" t="0" r="0" b="0"/>
                  <wp:docPr id="5" name="ECB019B1-382A-4266-B25C-5B523AA43C14-3" descr="C:/Users/Chris/AppData/Local/Temp/wps.NQmFue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3" descr="C:/Users/Chris/AppData/Local/Temp/wps.NQmFuewps"/>
                          <pic:cNvPicPr>
                            <a:picLocks noChangeAspect="1"/>
                          </pic:cNvPicPr>
                        </pic:nvPicPr>
                        <pic:blipFill>
                          <a:blip r:embed="rId11"/>
                          <a:stretch>
                            <a:fillRect/>
                          </a:stretch>
                        </pic:blipFill>
                        <pic:spPr>
                          <a:xfrm>
                            <a:off x="0" y="0"/>
                            <a:ext cx="5235575" cy="3930015"/>
                          </a:xfrm>
                          <a:prstGeom prst="rect">
                            <a:avLst/>
                          </a:prstGeom>
                        </pic:spPr>
                      </pic:pic>
                    </a:graphicData>
                  </a:graphic>
                </wp:inline>
              </w:drawing>
            </w:r>
          </w:p>
          <w:p>
            <w:pPr>
              <w:spacing w:line="360" w:lineRule="auto"/>
              <w:jc w:val="center"/>
              <w:rPr>
                <w:rFonts w:hint="eastAsia"/>
                <w:b/>
                <w:bCs/>
              </w:rPr>
            </w:pPr>
            <w:r>
              <w:rPr>
                <w:rFonts w:hint="eastAsia"/>
                <w:b/>
                <w:bCs/>
                <w:sz w:val="24"/>
                <w:szCs w:val="24"/>
              </w:rPr>
              <w:t>图4.</w:t>
            </w:r>
            <w:r>
              <w:rPr>
                <w:rFonts w:hint="eastAsia"/>
                <w:b/>
                <w:bCs/>
                <w:sz w:val="24"/>
                <w:szCs w:val="24"/>
                <w:lang w:val="en-US" w:eastAsia="zh-CN"/>
              </w:rPr>
              <w:t xml:space="preserve">1 </w:t>
            </w:r>
            <w:r>
              <w:rPr>
                <w:rFonts w:hint="eastAsia"/>
                <w:b/>
                <w:bCs/>
                <w:sz w:val="24"/>
                <w:szCs w:val="24"/>
              </w:rPr>
              <w:t>项目水平衡图  t/a</w:t>
            </w:r>
          </w:p>
          <w:p>
            <w:pPr>
              <w:adjustRightInd w:val="0"/>
              <w:snapToGrid w:val="0"/>
              <w:jc w:val="center"/>
              <w:rPr>
                <w:b/>
                <w:bCs/>
              </w:rPr>
            </w:pPr>
            <w:r>
              <w:rPr>
                <w:rFonts w:hint="eastAsia"/>
                <w:b/>
                <w:bCs/>
              </w:rPr>
              <w:t>表4.</w:t>
            </w:r>
            <w:r>
              <w:rPr>
                <w:rFonts w:hint="eastAsia"/>
                <w:b/>
                <w:bCs/>
                <w:lang w:val="en-US" w:eastAsia="zh-CN"/>
              </w:rPr>
              <w:t xml:space="preserve">5 </w:t>
            </w:r>
            <w:r>
              <w:rPr>
                <w:rFonts w:hint="eastAsia"/>
                <w:b/>
                <w:bCs/>
              </w:rPr>
              <w:t xml:space="preserve"> 废水类别、污染物种类、排放方式及污染治理设施一览表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70"/>
              <w:gridCol w:w="1145"/>
              <w:gridCol w:w="809"/>
              <w:gridCol w:w="1084"/>
              <w:gridCol w:w="1038"/>
              <w:gridCol w:w="1069"/>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vMerge w:val="restart"/>
                  <w:vAlign w:val="center"/>
                </w:tcPr>
                <w:p>
                  <w:pPr>
                    <w:jc w:val="center"/>
                    <w:rPr>
                      <w:b/>
                      <w:bCs/>
                      <w:sz w:val="21"/>
                      <w:szCs w:val="21"/>
                    </w:rPr>
                  </w:pPr>
                  <w:r>
                    <w:rPr>
                      <w:rFonts w:hint="eastAsia"/>
                      <w:b/>
                      <w:bCs/>
                      <w:sz w:val="21"/>
                      <w:szCs w:val="21"/>
                    </w:rPr>
                    <w:t>废水类别</w:t>
                  </w:r>
                </w:p>
              </w:tc>
              <w:tc>
                <w:tcPr>
                  <w:tcW w:w="1170" w:type="dxa"/>
                  <w:vMerge w:val="restart"/>
                  <w:vAlign w:val="center"/>
                </w:tcPr>
                <w:p>
                  <w:pPr>
                    <w:jc w:val="center"/>
                    <w:rPr>
                      <w:b/>
                      <w:bCs/>
                      <w:sz w:val="21"/>
                      <w:szCs w:val="21"/>
                    </w:rPr>
                  </w:pPr>
                  <w:r>
                    <w:rPr>
                      <w:rFonts w:hint="eastAsia"/>
                      <w:b/>
                      <w:bCs/>
                      <w:sz w:val="21"/>
                      <w:szCs w:val="21"/>
                    </w:rPr>
                    <w:t>污染物种类</w:t>
                  </w:r>
                </w:p>
              </w:tc>
              <w:tc>
                <w:tcPr>
                  <w:tcW w:w="1954" w:type="dxa"/>
                  <w:gridSpan w:val="2"/>
                  <w:vAlign w:val="center"/>
                </w:tcPr>
                <w:p>
                  <w:pPr>
                    <w:jc w:val="center"/>
                    <w:rPr>
                      <w:b/>
                      <w:bCs/>
                      <w:sz w:val="21"/>
                      <w:szCs w:val="21"/>
                    </w:rPr>
                  </w:pPr>
                  <w:r>
                    <w:rPr>
                      <w:rFonts w:hint="eastAsia"/>
                      <w:b/>
                      <w:bCs/>
                      <w:sz w:val="21"/>
                      <w:szCs w:val="21"/>
                    </w:rPr>
                    <w:t>污染治理工艺</w:t>
                  </w:r>
                </w:p>
              </w:tc>
              <w:tc>
                <w:tcPr>
                  <w:tcW w:w="1084" w:type="dxa"/>
                  <w:vMerge w:val="restart"/>
                  <w:vAlign w:val="center"/>
                </w:tcPr>
                <w:p>
                  <w:pPr>
                    <w:jc w:val="center"/>
                    <w:rPr>
                      <w:b/>
                      <w:bCs/>
                      <w:sz w:val="21"/>
                      <w:szCs w:val="21"/>
                    </w:rPr>
                  </w:pPr>
                  <w:r>
                    <w:rPr>
                      <w:rFonts w:hint="eastAsia"/>
                      <w:b/>
                      <w:bCs/>
                      <w:sz w:val="21"/>
                      <w:szCs w:val="21"/>
                    </w:rPr>
                    <w:t>排放去向</w:t>
                  </w:r>
                </w:p>
              </w:tc>
              <w:tc>
                <w:tcPr>
                  <w:tcW w:w="1038" w:type="dxa"/>
                  <w:vMerge w:val="restart"/>
                  <w:vAlign w:val="center"/>
                </w:tcPr>
                <w:p>
                  <w:pPr>
                    <w:jc w:val="center"/>
                    <w:rPr>
                      <w:b/>
                      <w:bCs/>
                      <w:sz w:val="21"/>
                      <w:szCs w:val="21"/>
                    </w:rPr>
                  </w:pPr>
                  <w:r>
                    <w:rPr>
                      <w:rFonts w:hint="eastAsia"/>
                      <w:b/>
                      <w:bCs/>
                      <w:sz w:val="21"/>
                      <w:szCs w:val="21"/>
                    </w:rPr>
                    <w:t>排放方式</w:t>
                  </w:r>
                </w:p>
              </w:tc>
              <w:tc>
                <w:tcPr>
                  <w:tcW w:w="1069" w:type="dxa"/>
                  <w:vMerge w:val="restart"/>
                  <w:vAlign w:val="center"/>
                </w:tcPr>
                <w:p>
                  <w:pPr>
                    <w:jc w:val="center"/>
                    <w:rPr>
                      <w:b/>
                      <w:bCs/>
                      <w:sz w:val="21"/>
                      <w:szCs w:val="21"/>
                    </w:rPr>
                  </w:pPr>
                  <w:r>
                    <w:rPr>
                      <w:rFonts w:hint="eastAsia"/>
                      <w:b/>
                      <w:bCs/>
                      <w:sz w:val="21"/>
                      <w:szCs w:val="21"/>
                    </w:rPr>
                    <w:t>排放口编号</w:t>
                  </w:r>
                </w:p>
              </w:tc>
              <w:tc>
                <w:tcPr>
                  <w:tcW w:w="1007" w:type="dxa"/>
                  <w:vMerge w:val="restart"/>
                  <w:vAlign w:val="center"/>
                </w:tcPr>
                <w:p>
                  <w:pPr>
                    <w:jc w:val="center"/>
                    <w:rPr>
                      <w:b/>
                      <w:bCs/>
                      <w:sz w:val="21"/>
                      <w:szCs w:val="21"/>
                    </w:rPr>
                  </w:pPr>
                  <w:r>
                    <w:rPr>
                      <w:rFonts w:hint="eastAsia"/>
                      <w:b/>
                      <w:bCs/>
                      <w:sz w:val="21"/>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vMerge w:val="continue"/>
                  <w:vAlign w:val="center"/>
                </w:tcPr>
                <w:p>
                  <w:pPr>
                    <w:jc w:val="center"/>
                    <w:rPr>
                      <w:b/>
                      <w:bCs/>
                      <w:sz w:val="21"/>
                      <w:szCs w:val="21"/>
                    </w:rPr>
                  </w:pPr>
                </w:p>
              </w:tc>
              <w:tc>
                <w:tcPr>
                  <w:tcW w:w="1170" w:type="dxa"/>
                  <w:vMerge w:val="continue"/>
                  <w:vAlign w:val="center"/>
                </w:tcPr>
                <w:p>
                  <w:pPr>
                    <w:jc w:val="center"/>
                    <w:rPr>
                      <w:b/>
                      <w:bCs/>
                      <w:sz w:val="21"/>
                      <w:szCs w:val="21"/>
                    </w:rPr>
                  </w:pPr>
                </w:p>
              </w:tc>
              <w:tc>
                <w:tcPr>
                  <w:tcW w:w="1145" w:type="dxa"/>
                  <w:vAlign w:val="center"/>
                </w:tcPr>
                <w:p>
                  <w:pPr>
                    <w:jc w:val="center"/>
                    <w:rPr>
                      <w:b/>
                      <w:bCs/>
                      <w:sz w:val="21"/>
                      <w:szCs w:val="21"/>
                    </w:rPr>
                  </w:pPr>
                  <w:r>
                    <w:rPr>
                      <w:rFonts w:hint="eastAsia"/>
                      <w:b/>
                      <w:bCs/>
                      <w:sz w:val="21"/>
                      <w:szCs w:val="21"/>
                    </w:rPr>
                    <w:t>治理工艺</w:t>
                  </w:r>
                </w:p>
              </w:tc>
              <w:tc>
                <w:tcPr>
                  <w:tcW w:w="809" w:type="dxa"/>
                  <w:vAlign w:val="center"/>
                </w:tcPr>
                <w:p>
                  <w:pPr>
                    <w:jc w:val="center"/>
                    <w:rPr>
                      <w:b/>
                      <w:bCs/>
                      <w:sz w:val="21"/>
                      <w:szCs w:val="21"/>
                    </w:rPr>
                  </w:pPr>
                  <w:r>
                    <w:rPr>
                      <w:rFonts w:hint="eastAsia"/>
                      <w:b/>
                      <w:bCs/>
                      <w:sz w:val="21"/>
                      <w:szCs w:val="21"/>
                    </w:rPr>
                    <w:t>是否可行</w:t>
                  </w:r>
                </w:p>
              </w:tc>
              <w:tc>
                <w:tcPr>
                  <w:tcW w:w="1084" w:type="dxa"/>
                  <w:vMerge w:val="continue"/>
                  <w:vAlign w:val="center"/>
                </w:tcPr>
                <w:p>
                  <w:pPr>
                    <w:jc w:val="center"/>
                    <w:rPr>
                      <w:b/>
                      <w:bCs/>
                      <w:sz w:val="21"/>
                      <w:szCs w:val="21"/>
                    </w:rPr>
                  </w:pPr>
                </w:p>
              </w:tc>
              <w:tc>
                <w:tcPr>
                  <w:tcW w:w="1038" w:type="dxa"/>
                  <w:vMerge w:val="continue"/>
                  <w:vAlign w:val="center"/>
                </w:tcPr>
                <w:p>
                  <w:pPr>
                    <w:jc w:val="center"/>
                    <w:rPr>
                      <w:b/>
                      <w:bCs/>
                      <w:sz w:val="21"/>
                      <w:szCs w:val="21"/>
                    </w:rPr>
                  </w:pPr>
                </w:p>
              </w:tc>
              <w:tc>
                <w:tcPr>
                  <w:tcW w:w="1069" w:type="dxa"/>
                  <w:vMerge w:val="continue"/>
                  <w:vAlign w:val="center"/>
                </w:tcPr>
                <w:p>
                  <w:pPr>
                    <w:jc w:val="center"/>
                    <w:rPr>
                      <w:b/>
                      <w:bCs/>
                      <w:sz w:val="21"/>
                      <w:szCs w:val="21"/>
                    </w:rPr>
                  </w:pPr>
                </w:p>
              </w:tc>
              <w:tc>
                <w:tcPr>
                  <w:tcW w:w="1007" w:type="dxa"/>
                  <w:vMerge w:val="continue"/>
                  <w:vAlign w:val="center"/>
                </w:tcPr>
                <w:p>
                  <w:pPr>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vAlign w:val="center"/>
                </w:tcPr>
                <w:p>
                  <w:pPr>
                    <w:jc w:val="center"/>
                    <w:rPr>
                      <w:sz w:val="21"/>
                      <w:szCs w:val="21"/>
                    </w:rPr>
                  </w:pPr>
                  <w:r>
                    <w:rPr>
                      <w:rFonts w:hint="eastAsia"/>
                      <w:sz w:val="21"/>
                      <w:szCs w:val="21"/>
                    </w:rPr>
                    <w:t>生活污水</w:t>
                  </w:r>
                </w:p>
              </w:tc>
              <w:tc>
                <w:tcPr>
                  <w:tcW w:w="1170" w:type="dxa"/>
                  <w:vMerge w:val="restart"/>
                  <w:vAlign w:val="center"/>
                </w:tcPr>
                <w:p>
                  <w:pPr>
                    <w:jc w:val="center"/>
                    <w:rPr>
                      <w:rFonts w:hint="default" w:eastAsia="宋体"/>
                      <w:sz w:val="21"/>
                      <w:szCs w:val="21"/>
                      <w:lang w:val="en-US" w:eastAsia="zh-CN"/>
                    </w:rPr>
                  </w:pPr>
                  <w:r>
                    <w:rPr>
                      <w:rFonts w:hint="eastAsia"/>
                      <w:sz w:val="21"/>
                      <w:szCs w:val="21"/>
                    </w:rPr>
                    <w:t>pH、COD、BOD</w:t>
                  </w:r>
                  <w:r>
                    <w:rPr>
                      <w:rFonts w:hint="eastAsia"/>
                      <w:sz w:val="21"/>
                      <w:szCs w:val="21"/>
                      <w:vertAlign w:val="subscript"/>
                    </w:rPr>
                    <w:t>5</w:t>
                  </w:r>
                  <w:r>
                    <w:rPr>
                      <w:rFonts w:hint="eastAsia"/>
                      <w:sz w:val="21"/>
                      <w:szCs w:val="21"/>
                    </w:rPr>
                    <w:t>、SS、</w:t>
                  </w:r>
                  <w:r>
                    <w:rPr>
                      <w:bCs/>
                      <w:snapToGrid w:val="0"/>
                      <w:kern w:val="0"/>
                      <w:sz w:val="21"/>
                      <w:szCs w:val="21"/>
                    </w:rPr>
                    <w:t>NH</w:t>
                  </w:r>
                  <w:r>
                    <w:rPr>
                      <w:bCs/>
                      <w:snapToGrid w:val="0"/>
                      <w:kern w:val="0"/>
                      <w:sz w:val="21"/>
                      <w:szCs w:val="21"/>
                      <w:vertAlign w:val="subscript"/>
                    </w:rPr>
                    <w:t>3</w:t>
                  </w:r>
                  <w:r>
                    <w:rPr>
                      <w:bCs/>
                      <w:snapToGrid w:val="0"/>
                      <w:kern w:val="0"/>
                      <w:sz w:val="21"/>
                      <w:szCs w:val="21"/>
                    </w:rPr>
                    <w:t>-N</w:t>
                  </w:r>
                  <w:r>
                    <w:rPr>
                      <w:rFonts w:hint="eastAsia"/>
                      <w:bCs/>
                      <w:snapToGrid w:val="0"/>
                      <w:kern w:val="0"/>
                      <w:sz w:val="21"/>
                      <w:szCs w:val="21"/>
                      <w:lang w:eastAsia="zh-CN"/>
                    </w:rPr>
                    <w:t>、</w:t>
                  </w:r>
                  <w:r>
                    <w:rPr>
                      <w:rFonts w:hint="eastAsia"/>
                      <w:bCs/>
                      <w:snapToGrid w:val="0"/>
                      <w:kern w:val="0"/>
                      <w:sz w:val="21"/>
                      <w:szCs w:val="21"/>
                      <w:lang w:val="en-US" w:eastAsia="zh-CN"/>
                    </w:rPr>
                    <w:t>动植物油</w:t>
                  </w:r>
                </w:p>
              </w:tc>
              <w:tc>
                <w:tcPr>
                  <w:tcW w:w="1145" w:type="dxa"/>
                  <w:vAlign w:val="center"/>
                </w:tcPr>
                <w:p>
                  <w:pPr>
                    <w:jc w:val="center"/>
                    <w:rPr>
                      <w:sz w:val="21"/>
                      <w:szCs w:val="21"/>
                    </w:rPr>
                  </w:pPr>
                  <w:r>
                    <w:rPr>
                      <w:rFonts w:hint="eastAsia"/>
                      <w:sz w:val="21"/>
                      <w:szCs w:val="21"/>
                    </w:rPr>
                    <w:t>化粪池</w:t>
                  </w:r>
                </w:p>
              </w:tc>
              <w:tc>
                <w:tcPr>
                  <w:tcW w:w="809" w:type="dxa"/>
                  <w:vAlign w:val="center"/>
                </w:tcPr>
                <w:p>
                  <w:pPr>
                    <w:jc w:val="center"/>
                    <w:rPr>
                      <w:sz w:val="21"/>
                      <w:szCs w:val="21"/>
                    </w:rPr>
                  </w:pPr>
                  <w:r>
                    <w:rPr>
                      <w:rFonts w:hint="eastAsia"/>
                      <w:sz w:val="21"/>
                      <w:szCs w:val="21"/>
                    </w:rPr>
                    <w:t>是</w:t>
                  </w:r>
                </w:p>
              </w:tc>
              <w:tc>
                <w:tcPr>
                  <w:tcW w:w="1084" w:type="dxa"/>
                  <w:vAlign w:val="center"/>
                </w:tcPr>
                <w:p>
                  <w:pPr>
                    <w:jc w:val="center"/>
                    <w:rPr>
                      <w:rFonts w:hint="default" w:eastAsia="宋体"/>
                      <w:sz w:val="21"/>
                      <w:szCs w:val="21"/>
                      <w:lang w:val="en-US" w:eastAsia="zh-CN"/>
                    </w:rPr>
                  </w:pPr>
                  <w:r>
                    <w:rPr>
                      <w:rFonts w:hint="eastAsia"/>
                      <w:sz w:val="21"/>
                      <w:szCs w:val="21"/>
                      <w:lang w:val="en-US" w:eastAsia="zh-CN"/>
                    </w:rPr>
                    <w:t>不外排</w:t>
                  </w:r>
                </w:p>
              </w:tc>
              <w:tc>
                <w:tcPr>
                  <w:tcW w:w="1038" w:type="dxa"/>
                  <w:vAlign w:val="center"/>
                </w:tcPr>
                <w:p>
                  <w:pPr>
                    <w:jc w:val="center"/>
                    <w:rPr>
                      <w:rFonts w:hint="eastAsia" w:eastAsia="宋体"/>
                      <w:sz w:val="21"/>
                      <w:szCs w:val="21"/>
                      <w:lang w:val="en-US" w:eastAsia="zh-CN"/>
                    </w:rPr>
                  </w:pPr>
                  <w:r>
                    <w:rPr>
                      <w:rFonts w:hint="eastAsia"/>
                      <w:sz w:val="21"/>
                      <w:szCs w:val="21"/>
                      <w:lang w:val="en-US" w:eastAsia="zh-CN"/>
                    </w:rPr>
                    <w:t>/</w:t>
                  </w:r>
                </w:p>
              </w:tc>
              <w:tc>
                <w:tcPr>
                  <w:tcW w:w="1069" w:type="dxa"/>
                  <w:vAlign w:val="center"/>
                </w:tcPr>
                <w:p>
                  <w:pPr>
                    <w:jc w:val="center"/>
                    <w:rPr>
                      <w:rFonts w:hint="eastAsia" w:eastAsia="宋体"/>
                      <w:sz w:val="21"/>
                      <w:szCs w:val="21"/>
                      <w:lang w:val="en-US" w:eastAsia="zh-CN"/>
                    </w:rPr>
                  </w:pPr>
                  <w:r>
                    <w:rPr>
                      <w:rFonts w:hint="eastAsia"/>
                      <w:sz w:val="21"/>
                      <w:szCs w:val="21"/>
                      <w:lang w:val="en-US" w:eastAsia="zh-CN"/>
                    </w:rPr>
                    <w:t>/</w:t>
                  </w:r>
                </w:p>
              </w:tc>
              <w:tc>
                <w:tcPr>
                  <w:tcW w:w="1007" w:type="dxa"/>
                  <w:vAlign w:val="center"/>
                </w:tcPr>
                <w:p>
                  <w:pPr>
                    <w:jc w:val="center"/>
                    <w:rPr>
                      <w:rFonts w:hint="eastAsia" w:eastAsia="宋体"/>
                      <w:sz w:val="21"/>
                      <w:szCs w:val="21"/>
                      <w:lang w:val="en-US" w:eastAsia="zh-CN"/>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vAlign w:val="center"/>
                </w:tcPr>
                <w:p>
                  <w:pPr>
                    <w:jc w:val="center"/>
                    <w:rPr>
                      <w:rFonts w:hint="default" w:eastAsia="宋体"/>
                      <w:sz w:val="21"/>
                      <w:szCs w:val="21"/>
                      <w:lang w:val="en-US" w:eastAsia="zh-CN"/>
                    </w:rPr>
                  </w:pPr>
                  <w:r>
                    <w:rPr>
                      <w:rFonts w:hint="eastAsia"/>
                      <w:sz w:val="21"/>
                      <w:szCs w:val="21"/>
                      <w:lang w:val="en-US" w:eastAsia="zh-CN"/>
                    </w:rPr>
                    <w:t>生产废水</w:t>
                  </w:r>
                </w:p>
              </w:tc>
              <w:tc>
                <w:tcPr>
                  <w:tcW w:w="1170" w:type="dxa"/>
                  <w:vMerge w:val="continue"/>
                  <w:vAlign w:val="center"/>
                </w:tcPr>
                <w:p>
                  <w:pPr>
                    <w:jc w:val="center"/>
                    <w:rPr>
                      <w:rFonts w:hint="eastAsia"/>
                      <w:sz w:val="21"/>
                      <w:szCs w:val="21"/>
                    </w:rPr>
                  </w:pPr>
                </w:p>
              </w:tc>
              <w:tc>
                <w:tcPr>
                  <w:tcW w:w="1145" w:type="dxa"/>
                  <w:vAlign w:val="center"/>
                </w:tcPr>
                <w:p>
                  <w:pPr>
                    <w:jc w:val="center"/>
                    <w:rPr>
                      <w:rFonts w:hint="eastAsia" w:eastAsia="宋体"/>
                      <w:sz w:val="21"/>
                      <w:szCs w:val="21"/>
                      <w:lang w:val="en-US" w:eastAsia="zh-CN"/>
                    </w:rPr>
                  </w:pPr>
                  <w:r>
                    <w:rPr>
                      <w:rFonts w:hint="eastAsia"/>
                      <w:sz w:val="21"/>
                      <w:szCs w:val="21"/>
                      <w:lang w:val="en-US" w:eastAsia="zh-CN"/>
                    </w:rPr>
                    <w:t>沉淀池</w:t>
                  </w:r>
                </w:p>
              </w:tc>
              <w:tc>
                <w:tcPr>
                  <w:tcW w:w="809" w:type="dxa"/>
                  <w:vAlign w:val="center"/>
                </w:tcPr>
                <w:p>
                  <w:pPr>
                    <w:jc w:val="center"/>
                    <w:rPr>
                      <w:rFonts w:hint="eastAsia"/>
                      <w:sz w:val="21"/>
                      <w:szCs w:val="21"/>
                    </w:rPr>
                  </w:pPr>
                  <w:r>
                    <w:rPr>
                      <w:rFonts w:hint="eastAsia"/>
                      <w:sz w:val="21"/>
                      <w:szCs w:val="21"/>
                    </w:rPr>
                    <w:t>是</w:t>
                  </w:r>
                </w:p>
              </w:tc>
              <w:tc>
                <w:tcPr>
                  <w:tcW w:w="1084" w:type="dxa"/>
                  <w:vAlign w:val="center"/>
                </w:tcPr>
                <w:p>
                  <w:pPr>
                    <w:jc w:val="center"/>
                    <w:rPr>
                      <w:rFonts w:hint="eastAsia"/>
                      <w:sz w:val="21"/>
                      <w:szCs w:val="21"/>
                      <w:lang w:val="en-US" w:eastAsia="zh-CN"/>
                    </w:rPr>
                  </w:pPr>
                  <w:r>
                    <w:rPr>
                      <w:rFonts w:hint="eastAsia"/>
                      <w:sz w:val="21"/>
                      <w:szCs w:val="21"/>
                      <w:lang w:val="en-US" w:eastAsia="zh-CN"/>
                    </w:rPr>
                    <w:t>不外排</w:t>
                  </w:r>
                </w:p>
              </w:tc>
              <w:tc>
                <w:tcPr>
                  <w:tcW w:w="1038" w:type="dxa"/>
                  <w:vAlign w:val="center"/>
                </w:tcPr>
                <w:p>
                  <w:pPr>
                    <w:jc w:val="center"/>
                    <w:rPr>
                      <w:rFonts w:hint="default"/>
                      <w:sz w:val="21"/>
                      <w:szCs w:val="21"/>
                      <w:lang w:val="en-US" w:eastAsia="zh-CN"/>
                    </w:rPr>
                  </w:pPr>
                  <w:r>
                    <w:rPr>
                      <w:rFonts w:hint="eastAsia"/>
                      <w:sz w:val="21"/>
                      <w:szCs w:val="21"/>
                      <w:lang w:val="en-US" w:eastAsia="zh-CN"/>
                    </w:rPr>
                    <w:t>/</w:t>
                  </w:r>
                </w:p>
              </w:tc>
              <w:tc>
                <w:tcPr>
                  <w:tcW w:w="1069" w:type="dxa"/>
                  <w:vAlign w:val="center"/>
                </w:tcPr>
                <w:p>
                  <w:pPr>
                    <w:jc w:val="center"/>
                    <w:rPr>
                      <w:rFonts w:hint="default"/>
                      <w:sz w:val="21"/>
                      <w:szCs w:val="21"/>
                      <w:lang w:val="en-US" w:eastAsia="zh-CN"/>
                    </w:rPr>
                  </w:pPr>
                  <w:r>
                    <w:rPr>
                      <w:rFonts w:hint="eastAsia"/>
                      <w:sz w:val="21"/>
                      <w:szCs w:val="21"/>
                      <w:lang w:val="en-US" w:eastAsia="zh-CN"/>
                    </w:rPr>
                    <w:t>/</w:t>
                  </w:r>
                </w:p>
              </w:tc>
              <w:tc>
                <w:tcPr>
                  <w:tcW w:w="1007" w:type="dxa"/>
                  <w:vAlign w:val="center"/>
                </w:tcPr>
                <w:p>
                  <w:pPr>
                    <w:jc w:val="center"/>
                    <w:rPr>
                      <w:rFonts w:hint="default"/>
                      <w:sz w:val="21"/>
                      <w:szCs w:val="21"/>
                      <w:lang w:val="en-US" w:eastAsia="zh-CN"/>
                    </w:rPr>
                  </w:pPr>
                  <w:r>
                    <w:rPr>
                      <w:rFonts w:hint="eastAsia"/>
                      <w:sz w:val="21"/>
                      <w:szCs w:val="21"/>
                      <w:lang w:val="en-US" w:eastAsia="zh-CN"/>
                    </w:rPr>
                    <w:t>/</w:t>
                  </w:r>
                </w:p>
              </w:tc>
            </w:tr>
          </w:tbl>
          <w:p>
            <w:pPr>
              <w:adjustRightInd w:val="0"/>
              <w:snapToGrid w:val="0"/>
              <w:spacing w:before="120" w:beforeLines="50"/>
              <w:jc w:val="center"/>
              <w:rPr>
                <w:rFonts w:hint="eastAsia"/>
                <w:b/>
              </w:rPr>
            </w:pPr>
          </w:p>
          <w:p>
            <w:pPr>
              <w:adjustRightInd w:val="0"/>
              <w:snapToGrid w:val="0"/>
              <w:spacing w:before="120" w:beforeLines="50"/>
              <w:jc w:val="center"/>
              <w:rPr>
                <w:b/>
              </w:rPr>
            </w:pPr>
            <w:r>
              <w:rPr>
                <w:rFonts w:hint="eastAsia"/>
                <w:b/>
              </w:rPr>
              <w:t>表4.</w:t>
            </w:r>
            <w:r>
              <w:rPr>
                <w:rFonts w:hint="eastAsia"/>
                <w:b/>
                <w:lang w:val="en-US" w:eastAsia="zh-CN"/>
              </w:rPr>
              <w:t xml:space="preserve">6 </w:t>
            </w:r>
            <w:r>
              <w:rPr>
                <w:rFonts w:hint="eastAsia"/>
                <w:b/>
              </w:rPr>
              <w:t xml:space="preserve"> 项目用水及排水情况一览表  单位：t/a</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272"/>
              <w:gridCol w:w="855"/>
              <w:gridCol w:w="781"/>
              <w:gridCol w:w="759"/>
              <w:gridCol w:w="813"/>
              <w:gridCol w:w="791"/>
              <w:gridCol w:w="86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8" w:type="pct"/>
                  <w:gridSpan w:val="2"/>
                  <w:tcBorders>
                    <w:tl2br w:val="single" w:color="auto" w:sz="4" w:space="0"/>
                  </w:tcBorders>
                  <w:noWrap w:val="0"/>
                  <w:vAlign w:val="center"/>
                </w:tcPr>
                <w:p>
                  <w:pPr>
                    <w:adjustRightInd w:val="0"/>
                    <w:snapToGrid w:val="0"/>
                    <w:jc w:val="center"/>
                    <w:rPr>
                      <w:rFonts w:ascii="Times New Roman" w:hAnsi="Times New Roman" w:cs="Times New Roman"/>
                      <w:b/>
                      <w:snapToGrid w:val="0"/>
                      <w:kern w:val="0"/>
                      <w:sz w:val="21"/>
                      <w:szCs w:val="21"/>
                    </w:rPr>
                  </w:pPr>
                  <w:r>
                    <w:rPr>
                      <w:rFonts w:ascii="Times New Roman" w:hAnsi="Times New Roman" w:cs="Times New Roman"/>
                      <w:b/>
                      <w:snapToGrid w:val="0"/>
                      <w:kern w:val="0"/>
                      <w:sz w:val="21"/>
                      <w:szCs w:val="21"/>
                    </w:rPr>
                    <w:t>污染物</w:t>
                  </w:r>
                </w:p>
                <w:p>
                  <w:pPr>
                    <w:adjustRightInd w:val="0"/>
                    <w:snapToGrid w:val="0"/>
                    <w:jc w:val="center"/>
                    <w:rPr>
                      <w:rFonts w:ascii="Times New Roman" w:hAnsi="Times New Roman" w:cs="Times New Roman"/>
                      <w:b/>
                      <w:snapToGrid w:val="0"/>
                      <w:kern w:val="0"/>
                      <w:sz w:val="21"/>
                      <w:szCs w:val="21"/>
                    </w:rPr>
                  </w:pPr>
                  <w:r>
                    <w:rPr>
                      <w:rFonts w:ascii="Times New Roman" w:hAnsi="Times New Roman" w:cs="Times New Roman"/>
                      <w:b/>
                      <w:snapToGrid w:val="0"/>
                      <w:kern w:val="0"/>
                      <w:sz w:val="21"/>
                      <w:szCs w:val="21"/>
                    </w:rPr>
                    <w:t>项目</w:t>
                  </w:r>
                </w:p>
              </w:tc>
              <w:tc>
                <w:tcPr>
                  <w:tcW w:w="535" w:type="pct"/>
                  <w:noWrap w:val="0"/>
                  <w:vAlign w:val="center"/>
                </w:tcPr>
                <w:p>
                  <w:pPr>
                    <w:adjustRightInd w:val="0"/>
                    <w:snapToGrid w:val="0"/>
                    <w:jc w:val="center"/>
                    <w:rPr>
                      <w:rFonts w:ascii="Times New Roman" w:hAnsi="Times New Roman" w:cs="Times New Roman"/>
                      <w:b/>
                      <w:snapToGrid w:val="0"/>
                      <w:kern w:val="0"/>
                      <w:sz w:val="21"/>
                      <w:szCs w:val="21"/>
                    </w:rPr>
                  </w:pPr>
                  <w:r>
                    <w:rPr>
                      <w:rFonts w:ascii="Times New Roman" w:hAnsi="Times New Roman" w:cs="Times New Roman"/>
                      <w:b/>
                      <w:snapToGrid w:val="0"/>
                      <w:kern w:val="0"/>
                      <w:sz w:val="21"/>
                      <w:szCs w:val="21"/>
                    </w:rPr>
                    <w:t>废水量（t/a）</w:t>
                  </w:r>
                </w:p>
              </w:tc>
              <w:tc>
                <w:tcPr>
                  <w:tcW w:w="489" w:type="pct"/>
                  <w:noWrap w:val="0"/>
                  <w:vAlign w:val="center"/>
                </w:tcPr>
                <w:p>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pH</w:t>
                  </w:r>
                </w:p>
              </w:tc>
              <w:tc>
                <w:tcPr>
                  <w:tcW w:w="475" w:type="pct"/>
                  <w:noWrap w:val="0"/>
                  <w:vAlign w:val="center"/>
                </w:tcPr>
                <w:p>
                  <w:pPr>
                    <w:adjustRightInd w:val="0"/>
                    <w:snapToGrid w:val="0"/>
                    <w:jc w:val="center"/>
                    <w:rPr>
                      <w:rFonts w:ascii="Times New Roman" w:hAnsi="Times New Roman" w:cs="Times New Roman"/>
                      <w:b/>
                      <w:snapToGrid w:val="0"/>
                      <w:kern w:val="0"/>
                      <w:sz w:val="21"/>
                      <w:szCs w:val="21"/>
                    </w:rPr>
                  </w:pPr>
                  <w:r>
                    <w:rPr>
                      <w:rFonts w:ascii="Times New Roman" w:hAnsi="Times New Roman" w:cs="Times New Roman"/>
                      <w:b/>
                      <w:snapToGrid w:val="0"/>
                      <w:kern w:val="0"/>
                      <w:sz w:val="21"/>
                      <w:szCs w:val="21"/>
                    </w:rPr>
                    <w:t>COD</w:t>
                  </w:r>
                </w:p>
              </w:tc>
              <w:tc>
                <w:tcPr>
                  <w:tcW w:w="509" w:type="pct"/>
                  <w:noWrap w:val="0"/>
                  <w:vAlign w:val="center"/>
                </w:tcPr>
                <w:p>
                  <w:pPr>
                    <w:adjustRightInd w:val="0"/>
                    <w:snapToGrid w:val="0"/>
                    <w:jc w:val="center"/>
                    <w:rPr>
                      <w:rFonts w:ascii="Times New Roman" w:hAnsi="Times New Roman" w:cs="Times New Roman"/>
                      <w:b/>
                      <w:snapToGrid w:val="0"/>
                      <w:kern w:val="0"/>
                      <w:sz w:val="21"/>
                      <w:szCs w:val="21"/>
                    </w:rPr>
                  </w:pPr>
                  <w:r>
                    <w:rPr>
                      <w:rFonts w:ascii="Times New Roman" w:hAnsi="Times New Roman" w:cs="Times New Roman"/>
                      <w:b/>
                      <w:snapToGrid w:val="0"/>
                      <w:kern w:val="0"/>
                      <w:sz w:val="21"/>
                      <w:szCs w:val="21"/>
                    </w:rPr>
                    <w:t>BOD</w:t>
                  </w:r>
                  <w:r>
                    <w:rPr>
                      <w:rFonts w:ascii="Times New Roman" w:hAnsi="Times New Roman" w:cs="Times New Roman"/>
                      <w:b/>
                      <w:snapToGrid w:val="0"/>
                      <w:kern w:val="0"/>
                      <w:sz w:val="21"/>
                      <w:szCs w:val="21"/>
                      <w:vertAlign w:val="subscript"/>
                    </w:rPr>
                    <w:t>5</w:t>
                  </w:r>
                </w:p>
              </w:tc>
              <w:tc>
                <w:tcPr>
                  <w:tcW w:w="495" w:type="pct"/>
                  <w:noWrap w:val="0"/>
                  <w:vAlign w:val="center"/>
                </w:tcPr>
                <w:p>
                  <w:pPr>
                    <w:adjustRightInd w:val="0"/>
                    <w:snapToGrid w:val="0"/>
                    <w:jc w:val="center"/>
                    <w:rPr>
                      <w:rFonts w:ascii="Times New Roman" w:hAnsi="Times New Roman" w:cs="Times New Roman"/>
                      <w:b/>
                      <w:snapToGrid w:val="0"/>
                      <w:kern w:val="0"/>
                      <w:sz w:val="21"/>
                      <w:szCs w:val="21"/>
                    </w:rPr>
                  </w:pPr>
                  <w:r>
                    <w:rPr>
                      <w:rFonts w:ascii="Times New Roman" w:hAnsi="Times New Roman" w:cs="Times New Roman"/>
                      <w:b/>
                      <w:snapToGrid w:val="0"/>
                      <w:kern w:val="0"/>
                      <w:sz w:val="21"/>
                      <w:szCs w:val="21"/>
                    </w:rPr>
                    <w:t>SS</w:t>
                  </w:r>
                </w:p>
              </w:tc>
              <w:tc>
                <w:tcPr>
                  <w:tcW w:w="542" w:type="pct"/>
                  <w:noWrap w:val="0"/>
                  <w:vAlign w:val="center"/>
                </w:tcPr>
                <w:p>
                  <w:pPr>
                    <w:adjustRightInd w:val="0"/>
                    <w:snapToGrid w:val="0"/>
                    <w:jc w:val="center"/>
                    <w:rPr>
                      <w:rFonts w:ascii="Times New Roman" w:hAnsi="Times New Roman" w:cs="Times New Roman"/>
                      <w:b/>
                      <w:snapToGrid w:val="0"/>
                      <w:kern w:val="0"/>
                      <w:sz w:val="21"/>
                      <w:szCs w:val="21"/>
                    </w:rPr>
                  </w:pPr>
                  <w:r>
                    <w:rPr>
                      <w:rFonts w:ascii="Times New Roman" w:hAnsi="Times New Roman" w:cs="Times New Roman"/>
                      <w:b/>
                      <w:snapToGrid w:val="0"/>
                      <w:kern w:val="0"/>
                      <w:sz w:val="21"/>
                      <w:szCs w:val="21"/>
                    </w:rPr>
                    <w:t>NH</w:t>
                  </w:r>
                  <w:r>
                    <w:rPr>
                      <w:rFonts w:ascii="Times New Roman" w:hAnsi="Times New Roman" w:cs="Times New Roman"/>
                      <w:b/>
                      <w:snapToGrid w:val="0"/>
                      <w:kern w:val="0"/>
                      <w:sz w:val="21"/>
                      <w:szCs w:val="21"/>
                      <w:vertAlign w:val="subscript"/>
                    </w:rPr>
                    <w:t>3</w:t>
                  </w:r>
                  <w:r>
                    <w:rPr>
                      <w:rFonts w:ascii="Times New Roman" w:hAnsi="Times New Roman" w:cs="Times New Roman"/>
                      <w:b/>
                      <w:snapToGrid w:val="0"/>
                      <w:kern w:val="0"/>
                      <w:sz w:val="21"/>
                      <w:szCs w:val="21"/>
                    </w:rPr>
                    <w:t>-N</w:t>
                  </w:r>
                </w:p>
              </w:tc>
              <w:tc>
                <w:tcPr>
                  <w:tcW w:w="673" w:type="pct"/>
                  <w:noWrap w:val="0"/>
                  <w:vAlign w:val="center"/>
                </w:tcPr>
                <w:p>
                  <w:pPr>
                    <w:adjustRightInd w:val="0"/>
                    <w:snapToGrid w:val="0"/>
                    <w:jc w:val="center"/>
                    <w:rPr>
                      <w:rFonts w:ascii="Times New Roman" w:hAnsi="Times New Roman" w:cs="Times New Roman"/>
                      <w:b/>
                      <w:snapToGrid w:val="0"/>
                      <w:kern w:val="0"/>
                      <w:sz w:val="21"/>
                      <w:szCs w:val="21"/>
                    </w:rPr>
                  </w:pPr>
                  <w:r>
                    <w:rPr>
                      <w:rFonts w:ascii="Times New Roman" w:hAnsi="Times New Roman" w:cs="Times New Roman"/>
                      <w:b/>
                      <w:snapToGrid w:val="0"/>
                      <w:kern w:val="0"/>
                      <w:sz w:val="21"/>
                      <w:szCs w:val="21"/>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 w:type="pct"/>
                  <w:vMerge w:val="restart"/>
                  <w:noWrap w:val="0"/>
                  <w:vAlign w:val="center"/>
                </w:tcPr>
                <w:p>
                  <w:pPr>
                    <w:adjustRightInd w:val="0"/>
                    <w:snapToGrid w:val="0"/>
                    <w:jc w:val="center"/>
                    <w:rPr>
                      <w:rFonts w:ascii="Times New Roman" w:hAnsi="Times New Roman" w:cs="Times New Roman"/>
                      <w:bCs/>
                      <w:snapToGrid w:val="0"/>
                      <w:kern w:val="0"/>
                      <w:sz w:val="21"/>
                      <w:szCs w:val="21"/>
                    </w:rPr>
                  </w:pPr>
                  <w:r>
                    <w:rPr>
                      <w:rFonts w:ascii="Times New Roman" w:hAnsi="Times New Roman" w:cs="Times New Roman"/>
                      <w:bCs/>
                      <w:sz w:val="21"/>
                      <w:szCs w:val="21"/>
                    </w:rPr>
                    <w:t>生活污水</w:t>
                  </w:r>
                </w:p>
              </w:tc>
              <w:tc>
                <w:tcPr>
                  <w:tcW w:w="796" w:type="pct"/>
                  <w:noWrap w:val="0"/>
                  <w:vAlign w:val="center"/>
                </w:tcPr>
                <w:p>
                  <w:pPr>
                    <w:adjustRightInd w:val="0"/>
                    <w:snapToGrid w:val="0"/>
                    <w:jc w:val="center"/>
                    <w:rPr>
                      <w:rFonts w:ascii="Times New Roman" w:hAnsi="Times New Roman" w:cs="Times New Roman"/>
                      <w:bCs/>
                      <w:snapToGrid w:val="0"/>
                      <w:kern w:val="0"/>
                      <w:sz w:val="21"/>
                      <w:szCs w:val="21"/>
                    </w:rPr>
                  </w:pPr>
                  <w:r>
                    <w:rPr>
                      <w:rFonts w:ascii="Times New Roman" w:hAnsi="Times New Roman" w:cs="Times New Roman"/>
                      <w:bCs/>
                      <w:snapToGrid w:val="0"/>
                      <w:kern w:val="0"/>
                      <w:sz w:val="21"/>
                      <w:szCs w:val="21"/>
                    </w:rPr>
                    <w:t>产生浓度（mg/L）</w:t>
                  </w:r>
                </w:p>
              </w:tc>
              <w:tc>
                <w:tcPr>
                  <w:tcW w:w="535" w:type="pct"/>
                  <w:vMerge w:val="restart"/>
                  <w:noWrap w:val="0"/>
                  <w:vAlign w:val="center"/>
                </w:tcPr>
                <w:p>
                  <w:pPr>
                    <w:adjustRightInd w:val="0"/>
                    <w:snapToGrid w:val="0"/>
                    <w:jc w:val="center"/>
                    <w:rPr>
                      <w:rFonts w:hint="default" w:ascii="Times New Roman" w:hAnsi="Times New Roman" w:eastAsia="宋体" w:cs="Times New Roman"/>
                      <w:bCs/>
                      <w:snapToGrid w:val="0"/>
                      <w:kern w:val="0"/>
                      <w:sz w:val="21"/>
                      <w:szCs w:val="21"/>
                      <w:lang w:val="en-US" w:eastAsia="zh-CN"/>
                    </w:rPr>
                  </w:pPr>
                  <w:r>
                    <w:rPr>
                      <w:rFonts w:hint="eastAsia" w:cs="Times New Roman"/>
                      <w:bCs/>
                      <w:snapToGrid w:val="0"/>
                      <w:kern w:val="0"/>
                      <w:sz w:val="21"/>
                      <w:szCs w:val="21"/>
                      <w:lang w:val="en-US" w:eastAsia="zh-CN"/>
                    </w:rPr>
                    <w:t>2182.4</w:t>
                  </w:r>
                </w:p>
              </w:tc>
              <w:tc>
                <w:tcPr>
                  <w:tcW w:w="489" w:type="pct"/>
                  <w:noWrap w:val="0"/>
                  <w:vAlign w:val="center"/>
                </w:tcPr>
                <w:p>
                  <w:pPr>
                    <w:adjustRightInd w:val="0"/>
                    <w:snapToGrid w:val="0"/>
                    <w:jc w:val="center"/>
                    <w:rPr>
                      <w:rFonts w:hint="default" w:ascii="Times New Roman" w:hAnsi="Times New Roman" w:cs="Times New Roman"/>
                      <w:bCs/>
                      <w:color w:val="000000"/>
                      <w:sz w:val="21"/>
                      <w:szCs w:val="21"/>
                      <w:lang w:val="en-US"/>
                    </w:rPr>
                  </w:pPr>
                  <w:r>
                    <w:rPr>
                      <w:rFonts w:hint="eastAsia" w:ascii="Times New Roman" w:hAnsi="Times New Roman" w:cs="Times New Roman"/>
                      <w:bCs/>
                      <w:color w:val="000000"/>
                      <w:sz w:val="21"/>
                      <w:szCs w:val="21"/>
                      <w:lang w:val="en-US" w:eastAsia="zh-CN"/>
                    </w:rPr>
                    <w:t>6-9</w:t>
                  </w:r>
                </w:p>
              </w:tc>
              <w:tc>
                <w:tcPr>
                  <w:tcW w:w="475" w:type="pct"/>
                  <w:noWrap w:val="0"/>
                  <w:vAlign w:val="center"/>
                </w:tcPr>
                <w:p>
                  <w:pPr>
                    <w:adjustRightInd w:val="0"/>
                    <w:snapToGrid w:val="0"/>
                    <w:jc w:val="center"/>
                    <w:rPr>
                      <w:rFonts w:ascii="Times New Roman" w:hAnsi="Times New Roman" w:cs="Times New Roman"/>
                      <w:bCs/>
                      <w:color w:val="000000"/>
                      <w:sz w:val="21"/>
                      <w:szCs w:val="21"/>
                    </w:rPr>
                  </w:pPr>
                  <w:r>
                    <w:rPr>
                      <w:rFonts w:ascii="Times New Roman" w:hAnsi="Times New Roman" w:cs="Times New Roman"/>
                      <w:bCs/>
                      <w:snapToGrid w:val="0"/>
                      <w:color w:val="000000"/>
                      <w:kern w:val="0"/>
                      <w:sz w:val="21"/>
                      <w:szCs w:val="21"/>
                    </w:rPr>
                    <w:t>220</w:t>
                  </w:r>
                </w:p>
              </w:tc>
              <w:tc>
                <w:tcPr>
                  <w:tcW w:w="509" w:type="pct"/>
                  <w:noWrap w:val="0"/>
                  <w:vAlign w:val="center"/>
                </w:tcPr>
                <w:p>
                  <w:pPr>
                    <w:adjustRightInd w:val="0"/>
                    <w:snapToGrid w:val="0"/>
                    <w:jc w:val="center"/>
                    <w:rPr>
                      <w:rFonts w:ascii="Times New Roman" w:hAnsi="Times New Roman" w:cs="Times New Roman"/>
                      <w:bCs/>
                      <w:color w:val="000000"/>
                      <w:sz w:val="21"/>
                      <w:szCs w:val="21"/>
                    </w:rPr>
                  </w:pPr>
                  <w:r>
                    <w:rPr>
                      <w:rFonts w:ascii="Times New Roman" w:hAnsi="Times New Roman" w:cs="Times New Roman"/>
                      <w:bCs/>
                      <w:snapToGrid w:val="0"/>
                      <w:color w:val="000000"/>
                      <w:kern w:val="0"/>
                      <w:sz w:val="21"/>
                      <w:szCs w:val="21"/>
                    </w:rPr>
                    <w:t>120</w:t>
                  </w:r>
                </w:p>
              </w:tc>
              <w:tc>
                <w:tcPr>
                  <w:tcW w:w="495" w:type="pct"/>
                  <w:noWrap w:val="0"/>
                  <w:vAlign w:val="center"/>
                </w:tcPr>
                <w:p>
                  <w:pPr>
                    <w:adjustRightInd w:val="0"/>
                    <w:snapToGrid w:val="0"/>
                    <w:jc w:val="center"/>
                    <w:rPr>
                      <w:rFonts w:ascii="Times New Roman" w:hAnsi="Times New Roman" w:cs="Times New Roman"/>
                      <w:bCs/>
                      <w:color w:val="000000"/>
                      <w:sz w:val="21"/>
                      <w:szCs w:val="21"/>
                    </w:rPr>
                  </w:pPr>
                  <w:r>
                    <w:rPr>
                      <w:rFonts w:ascii="Times New Roman" w:hAnsi="Times New Roman" w:cs="Times New Roman"/>
                      <w:bCs/>
                      <w:snapToGrid w:val="0"/>
                      <w:color w:val="000000"/>
                      <w:kern w:val="0"/>
                      <w:sz w:val="21"/>
                      <w:szCs w:val="21"/>
                    </w:rPr>
                    <w:t>150</w:t>
                  </w:r>
                </w:p>
              </w:tc>
              <w:tc>
                <w:tcPr>
                  <w:tcW w:w="542" w:type="pct"/>
                  <w:noWrap w:val="0"/>
                  <w:vAlign w:val="center"/>
                </w:tcPr>
                <w:p>
                  <w:pPr>
                    <w:adjustRightInd w:val="0"/>
                    <w:snapToGrid w:val="0"/>
                    <w:jc w:val="center"/>
                    <w:rPr>
                      <w:rFonts w:ascii="Times New Roman" w:hAnsi="Times New Roman" w:cs="Times New Roman"/>
                      <w:bCs/>
                      <w:color w:val="000000"/>
                      <w:sz w:val="21"/>
                      <w:szCs w:val="21"/>
                    </w:rPr>
                  </w:pPr>
                  <w:r>
                    <w:rPr>
                      <w:rFonts w:ascii="Times New Roman" w:hAnsi="Times New Roman" w:cs="Times New Roman"/>
                      <w:bCs/>
                      <w:snapToGrid w:val="0"/>
                      <w:color w:val="000000"/>
                      <w:kern w:val="0"/>
                      <w:sz w:val="21"/>
                      <w:szCs w:val="21"/>
                    </w:rPr>
                    <w:t>25</w:t>
                  </w:r>
                </w:p>
              </w:tc>
              <w:tc>
                <w:tcPr>
                  <w:tcW w:w="673" w:type="pct"/>
                  <w:noWrap w:val="0"/>
                  <w:vAlign w:val="center"/>
                </w:tcPr>
                <w:p>
                  <w:pPr>
                    <w:adjustRightInd w:val="0"/>
                    <w:snapToGrid w:val="0"/>
                    <w:jc w:val="center"/>
                    <w:rPr>
                      <w:rFonts w:ascii="Times New Roman" w:hAnsi="Times New Roman" w:cs="Times New Roman"/>
                      <w:bCs/>
                      <w:snapToGrid w:val="0"/>
                      <w:color w:val="000000"/>
                      <w:kern w:val="0"/>
                      <w:sz w:val="21"/>
                      <w:szCs w:val="21"/>
                    </w:rPr>
                  </w:pPr>
                  <w:r>
                    <w:rPr>
                      <w:rFonts w:ascii="Times New Roman" w:hAnsi="Times New Roman" w:cs="Times New Roman"/>
                      <w:bCs/>
                      <w:snapToGrid w:val="0"/>
                      <w:color w:val="000000"/>
                      <w:kern w:val="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 w:type="pct"/>
                  <w:vMerge w:val="continue"/>
                  <w:noWrap w:val="0"/>
                  <w:vAlign w:val="center"/>
                </w:tcPr>
                <w:p>
                  <w:pPr>
                    <w:adjustRightInd w:val="0"/>
                    <w:snapToGrid w:val="0"/>
                    <w:jc w:val="center"/>
                    <w:rPr>
                      <w:rFonts w:ascii="Times New Roman" w:hAnsi="Times New Roman" w:cs="Times New Roman"/>
                      <w:bCs/>
                      <w:snapToGrid w:val="0"/>
                      <w:kern w:val="0"/>
                      <w:sz w:val="21"/>
                      <w:szCs w:val="21"/>
                    </w:rPr>
                  </w:pPr>
                </w:p>
              </w:tc>
              <w:tc>
                <w:tcPr>
                  <w:tcW w:w="796" w:type="pct"/>
                  <w:noWrap w:val="0"/>
                  <w:vAlign w:val="center"/>
                </w:tcPr>
                <w:p>
                  <w:pPr>
                    <w:adjustRightInd w:val="0"/>
                    <w:snapToGrid w:val="0"/>
                    <w:jc w:val="center"/>
                    <w:rPr>
                      <w:rFonts w:ascii="Times New Roman" w:hAnsi="Times New Roman" w:cs="Times New Roman"/>
                      <w:bCs/>
                      <w:snapToGrid w:val="0"/>
                      <w:kern w:val="0"/>
                      <w:sz w:val="21"/>
                      <w:szCs w:val="21"/>
                    </w:rPr>
                  </w:pPr>
                  <w:r>
                    <w:rPr>
                      <w:rFonts w:ascii="Times New Roman" w:hAnsi="Times New Roman" w:cs="Times New Roman"/>
                      <w:bCs/>
                      <w:snapToGrid w:val="0"/>
                      <w:kern w:val="0"/>
                      <w:sz w:val="21"/>
                      <w:szCs w:val="21"/>
                    </w:rPr>
                    <w:t>产生量（t/a）</w:t>
                  </w:r>
                </w:p>
              </w:tc>
              <w:tc>
                <w:tcPr>
                  <w:tcW w:w="535" w:type="pct"/>
                  <w:vMerge w:val="continue"/>
                  <w:noWrap w:val="0"/>
                  <w:vAlign w:val="center"/>
                </w:tcPr>
                <w:p>
                  <w:pPr>
                    <w:adjustRightInd w:val="0"/>
                    <w:snapToGrid w:val="0"/>
                    <w:jc w:val="center"/>
                    <w:rPr>
                      <w:rFonts w:ascii="Times New Roman" w:hAnsi="Times New Roman" w:cs="Times New Roman"/>
                      <w:bCs/>
                      <w:snapToGrid w:val="0"/>
                      <w:kern w:val="0"/>
                      <w:sz w:val="21"/>
                      <w:szCs w:val="21"/>
                    </w:rPr>
                  </w:pPr>
                </w:p>
              </w:tc>
              <w:tc>
                <w:tcPr>
                  <w:tcW w:w="489" w:type="pct"/>
                  <w:noWrap w:val="0"/>
                  <w:vAlign w:val="center"/>
                </w:tcPr>
                <w:p>
                  <w:pPr>
                    <w:adjustRightInd w:val="0"/>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w:t>
                  </w:r>
                </w:p>
              </w:tc>
              <w:tc>
                <w:tcPr>
                  <w:tcW w:w="475" w:type="pct"/>
                  <w:noWrap w:val="0"/>
                  <w:vAlign w:val="center"/>
                </w:tcPr>
                <w:p>
                  <w:pPr>
                    <w:adjustRightInd w:val="0"/>
                    <w:snapToGrid w:val="0"/>
                    <w:jc w:val="center"/>
                    <w:rPr>
                      <w:rFonts w:hint="default" w:ascii="Times New Roman" w:hAnsi="Times New Roman" w:eastAsia="宋体" w:cs="Times New Roman"/>
                      <w:bCs/>
                      <w:snapToGrid w:val="0"/>
                      <w:color w:val="000000"/>
                      <w:kern w:val="0"/>
                      <w:sz w:val="21"/>
                      <w:szCs w:val="21"/>
                      <w:lang w:val="en-US" w:eastAsia="zh-CN"/>
                    </w:rPr>
                  </w:pPr>
                  <w:r>
                    <w:rPr>
                      <w:rFonts w:hint="eastAsia" w:cs="Times New Roman"/>
                      <w:bCs/>
                      <w:snapToGrid w:val="0"/>
                      <w:color w:val="000000"/>
                      <w:kern w:val="0"/>
                      <w:sz w:val="21"/>
                      <w:szCs w:val="21"/>
                      <w:lang w:val="en-US" w:eastAsia="zh-CN"/>
                    </w:rPr>
                    <w:t>0.48</w:t>
                  </w:r>
                </w:p>
              </w:tc>
              <w:tc>
                <w:tcPr>
                  <w:tcW w:w="509" w:type="pct"/>
                  <w:noWrap w:val="0"/>
                  <w:vAlign w:val="center"/>
                </w:tcPr>
                <w:p>
                  <w:pPr>
                    <w:adjustRightInd w:val="0"/>
                    <w:snapToGrid w:val="0"/>
                    <w:jc w:val="center"/>
                    <w:rPr>
                      <w:rFonts w:hint="default" w:ascii="Times New Roman" w:hAnsi="Times New Roman" w:eastAsia="宋体" w:cs="Times New Roman"/>
                      <w:bCs/>
                      <w:snapToGrid w:val="0"/>
                      <w:color w:val="000000"/>
                      <w:kern w:val="0"/>
                      <w:sz w:val="21"/>
                      <w:szCs w:val="21"/>
                      <w:lang w:val="en-US" w:eastAsia="zh-CN"/>
                    </w:rPr>
                  </w:pPr>
                  <w:r>
                    <w:rPr>
                      <w:rFonts w:hint="eastAsia" w:cs="Times New Roman"/>
                      <w:bCs/>
                      <w:snapToGrid w:val="0"/>
                      <w:color w:val="000000"/>
                      <w:kern w:val="0"/>
                      <w:sz w:val="21"/>
                      <w:szCs w:val="21"/>
                      <w:lang w:val="en-US" w:eastAsia="zh-CN"/>
                    </w:rPr>
                    <w:t>0.262</w:t>
                  </w:r>
                </w:p>
              </w:tc>
              <w:tc>
                <w:tcPr>
                  <w:tcW w:w="495" w:type="pct"/>
                  <w:noWrap w:val="0"/>
                  <w:vAlign w:val="center"/>
                </w:tcPr>
                <w:p>
                  <w:pPr>
                    <w:adjustRightInd w:val="0"/>
                    <w:snapToGrid w:val="0"/>
                    <w:jc w:val="center"/>
                    <w:rPr>
                      <w:rFonts w:hint="default" w:ascii="Times New Roman" w:hAnsi="Times New Roman" w:eastAsia="宋体" w:cs="Times New Roman"/>
                      <w:bCs/>
                      <w:snapToGrid w:val="0"/>
                      <w:color w:val="000000"/>
                      <w:kern w:val="0"/>
                      <w:sz w:val="21"/>
                      <w:szCs w:val="21"/>
                      <w:lang w:val="en-US" w:eastAsia="zh-CN"/>
                    </w:rPr>
                  </w:pPr>
                  <w:r>
                    <w:rPr>
                      <w:rFonts w:hint="eastAsia" w:cs="Times New Roman"/>
                      <w:bCs/>
                      <w:snapToGrid w:val="0"/>
                      <w:color w:val="000000"/>
                      <w:kern w:val="0"/>
                      <w:sz w:val="21"/>
                      <w:szCs w:val="21"/>
                      <w:lang w:val="en-US" w:eastAsia="zh-CN"/>
                    </w:rPr>
                    <w:t>0.327</w:t>
                  </w:r>
                </w:p>
              </w:tc>
              <w:tc>
                <w:tcPr>
                  <w:tcW w:w="542" w:type="pct"/>
                  <w:noWrap w:val="0"/>
                  <w:vAlign w:val="center"/>
                </w:tcPr>
                <w:p>
                  <w:pPr>
                    <w:adjustRightInd w:val="0"/>
                    <w:snapToGrid w:val="0"/>
                    <w:jc w:val="center"/>
                    <w:rPr>
                      <w:rFonts w:hint="default" w:ascii="Times New Roman" w:hAnsi="Times New Roman" w:eastAsia="宋体" w:cs="Times New Roman"/>
                      <w:bCs/>
                      <w:snapToGrid w:val="0"/>
                      <w:color w:val="000000"/>
                      <w:kern w:val="0"/>
                      <w:sz w:val="21"/>
                      <w:szCs w:val="21"/>
                      <w:lang w:val="en-US" w:eastAsia="zh-CN"/>
                    </w:rPr>
                  </w:pPr>
                  <w:r>
                    <w:rPr>
                      <w:rFonts w:hint="eastAsia" w:cs="Times New Roman"/>
                      <w:bCs/>
                      <w:snapToGrid w:val="0"/>
                      <w:color w:val="000000"/>
                      <w:kern w:val="0"/>
                      <w:sz w:val="21"/>
                      <w:szCs w:val="21"/>
                      <w:lang w:val="en-US" w:eastAsia="zh-CN"/>
                    </w:rPr>
                    <w:t>0.055</w:t>
                  </w:r>
                </w:p>
              </w:tc>
              <w:tc>
                <w:tcPr>
                  <w:tcW w:w="673" w:type="pct"/>
                  <w:noWrap w:val="0"/>
                  <w:vAlign w:val="center"/>
                </w:tcPr>
                <w:p>
                  <w:pPr>
                    <w:adjustRightInd w:val="0"/>
                    <w:snapToGrid w:val="0"/>
                    <w:jc w:val="center"/>
                    <w:rPr>
                      <w:rFonts w:hint="default" w:ascii="Times New Roman" w:hAnsi="Times New Roman" w:eastAsia="宋体" w:cs="Times New Roman"/>
                      <w:bCs/>
                      <w:snapToGrid w:val="0"/>
                      <w:color w:val="000000"/>
                      <w:kern w:val="0"/>
                      <w:sz w:val="21"/>
                      <w:szCs w:val="21"/>
                      <w:lang w:val="en-US" w:eastAsia="zh-CN"/>
                    </w:rPr>
                  </w:pPr>
                  <w:r>
                    <w:rPr>
                      <w:rFonts w:hint="eastAsia" w:cs="Times New Roman"/>
                      <w:bCs/>
                      <w:snapToGrid w:val="0"/>
                      <w:color w:val="000000"/>
                      <w:kern w:val="0"/>
                      <w:sz w:val="21"/>
                      <w:szCs w:val="21"/>
                      <w:lang w:val="en-US" w:eastAsia="zh-CN"/>
                    </w:rPr>
                    <w:t>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 w:type="pct"/>
                  <w:vMerge w:val="continue"/>
                  <w:noWrap w:val="0"/>
                  <w:vAlign w:val="center"/>
                </w:tcPr>
                <w:p>
                  <w:pPr>
                    <w:adjustRightInd w:val="0"/>
                    <w:snapToGrid w:val="0"/>
                    <w:jc w:val="center"/>
                    <w:rPr>
                      <w:rFonts w:ascii="Times New Roman" w:hAnsi="Times New Roman" w:cs="Times New Roman"/>
                      <w:bCs/>
                      <w:snapToGrid w:val="0"/>
                      <w:kern w:val="0"/>
                      <w:sz w:val="21"/>
                      <w:szCs w:val="21"/>
                    </w:rPr>
                  </w:pPr>
                </w:p>
              </w:tc>
              <w:tc>
                <w:tcPr>
                  <w:tcW w:w="796" w:type="pct"/>
                  <w:noWrap w:val="0"/>
                  <w:vAlign w:val="center"/>
                </w:tcPr>
                <w:p>
                  <w:pPr>
                    <w:adjustRightInd w:val="0"/>
                    <w:snapToGrid w:val="0"/>
                    <w:jc w:val="center"/>
                    <w:rPr>
                      <w:rFonts w:ascii="Times New Roman" w:hAnsi="Times New Roman" w:cs="Times New Roman"/>
                      <w:bCs/>
                      <w:snapToGrid w:val="0"/>
                      <w:kern w:val="0"/>
                      <w:sz w:val="21"/>
                      <w:szCs w:val="21"/>
                    </w:rPr>
                  </w:pPr>
                  <w:r>
                    <w:rPr>
                      <w:rFonts w:ascii="Times New Roman" w:hAnsi="Times New Roman" w:cs="Times New Roman"/>
                      <w:bCs/>
                      <w:snapToGrid w:val="0"/>
                      <w:kern w:val="0"/>
                      <w:sz w:val="21"/>
                      <w:szCs w:val="21"/>
                    </w:rPr>
                    <w:t>隔油池、化粪池处理后浓度（mg/L）</w:t>
                  </w:r>
                </w:p>
              </w:tc>
              <w:tc>
                <w:tcPr>
                  <w:tcW w:w="535" w:type="pct"/>
                  <w:vMerge w:val="continue"/>
                  <w:noWrap w:val="0"/>
                  <w:vAlign w:val="center"/>
                </w:tcPr>
                <w:p>
                  <w:pPr>
                    <w:adjustRightInd w:val="0"/>
                    <w:snapToGrid w:val="0"/>
                    <w:jc w:val="center"/>
                    <w:rPr>
                      <w:rFonts w:ascii="Times New Roman" w:hAnsi="Times New Roman" w:cs="Times New Roman"/>
                      <w:bCs/>
                      <w:snapToGrid w:val="0"/>
                      <w:kern w:val="0"/>
                      <w:sz w:val="21"/>
                      <w:szCs w:val="21"/>
                    </w:rPr>
                  </w:pPr>
                </w:p>
              </w:tc>
              <w:tc>
                <w:tcPr>
                  <w:tcW w:w="3186" w:type="pct"/>
                  <w:gridSpan w:val="6"/>
                  <w:noWrap w:val="0"/>
                  <w:vAlign w:val="center"/>
                </w:tcPr>
                <w:p>
                  <w:pPr>
                    <w:jc w:val="center"/>
                    <w:rPr>
                      <w:rFonts w:hint="default" w:ascii="Times New Roman" w:hAnsi="Times New Roman" w:cs="Times New Roman"/>
                      <w:bCs/>
                      <w:color w:val="000000"/>
                      <w:sz w:val="21"/>
                      <w:szCs w:val="21"/>
                      <w:lang w:val="en-US"/>
                    </w:rPr>
                  </w:pPr>
                  <w:r>
                    <w:rPr>
                      <w:rFonts w:hint="eastAsia" w:ascii="Times New Roman" w:hAnsi="Times New Roman" w:cs="Times New Roman"/>
                      <w:bCs/>
                      <w:color w:val="000000"/>
                      <w:sz w:val="21"/>
                      <w:szCs w:val="21"/>
                      <w:lang w:val="en-US" w:eastAsia="zh-CN"/>
                    </w:rPr>
                    <w:t>处理后清掏外运，不外排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 w:type="pct"/>
                  <w:vMerge w:val="continue"/>
                  <w:noWrap w:val="0"/>
                  <w:vAlign w:val="center"/>
                </w:tcPr>
                <w:p>
                  <w:pPr>
                    <w:adjustRightInd w:val="0"/>
                    <w:snapToGrid w:val="0"/>
                    <w:jc w:val="center"/>
                    <w:rPr>
                      <w:rFonts w:ascii="Times New Roman" w:hAnsi="Times New Roman" w:cs="Times New Roman"/>
                      <w:bCs/>
                      <w:snapToGrid w:val="0"/>
                      <w:kern w:val="0"/>
                      <w:sz w:val="21"/>
                      <w:szCs w:val="21"/>
                    </w:rPr>
                  </w:pPr>
                </w:p>
              </w:tc>
              <w:tc>
                <w:tcPr>
                  <w:tcW w:w="796" w:type="pct"/>
                  <w:noWrap w:val="0"/>
                  <w:vAlign w:val="center"/>
                </w:tcPr>
                <w:p>
                  <w:pPr>
                    <w:adjustRightInd w:val="0"/>
                    <w:snapToGrid w:val="0"/>
                    <w:jc w:val="center"/>
                    <w:rPr>
                      <w:rFonts w:ascii="Times New Roman" w:hAnsi="Times New Roman" w:cs="Times New Roman"/>
                      <w:bCs/>
                      <w:snapToGrid w:val="0"/>
                      <w:kern w:val="0"/>
                      <w:sz w:val="21"/>
                      <w:szCs w:val="21"/>
                    </w:rPr>
                  </w:pPr>
                  <w:r>
                    <w:rPr>
                      <w:rFonts w:ascii="Times New Roman" w:hAnsi="Times New Roman" w:cs="Times New Roman"/>
                      <w:bCs/>
                      <w:snapToGrid w:val="0"/>
                      <w:kern w:val="0"/>
                      <w:sz w:val="21"/>
                      <w:szCs w:val="21"/>
                    </w:rPr>
                    <w:t>排放量（t/a）</w:t>
                  </w:r>
                </w:p>
              </w:tc>
              <w:tc>
                <w:tcPr>
                  <w:tcW w:w="535" w:type="pct"/>
                  <w:vMerge w:val="continue"/>
                  <w:noWrap w:val="0"/>
                  <w:vAlign w:val="center"/>
                </w:tcPr>
                <w:p>
                  <w:pPr>
                    <w:adjustRightInd w:val="0"/>
                    <w:snapToGrid w:val="0"/>
                    <w:jc w:val="center"/>
                    <w:rPr>
                      <w:rFonts w:ascii="Times New Roman" w:hAnsi="Times New Roman" w:cs="Times New Roman"/>
                      <w:bCs/>
                      <w:snapToGrid w:val="0"/>
                      <w:kern w:val="0"/>
                      <w:sz w:val="21"/>
                      <w:szCs w:val="21"/>
                    </w:rPr>
                  </w:pPr>
                </w:p>
              </w:tc>
              <w:tc>
                <w:tcPr>
                  <w:tcW w:w="489" w:type="pct"/>
                  <w:noWrap w:val="0"/>
                  <w:vAlign w:val="center"/>
                </w:tcPr>
                <w:p>
                  <w:pPr>
                    <w:tabs>
                      <w:tab w:val="center" w:pos="308"/>
                      <w:tab w:val="left" w:pos="437"/>
                    </w:tabs>
                    <w:adjustRightInd w:val="0"/>
                    <w:snapToGrid w:val="0"/>
                    <w:jc w:val="center"/>
                    <w:rPr>
                      <w:rFonts w:ascii="Times New Roman" w:hAnsi="Times New Roman" w:cs="Times New Roman"/>
                      <w:bCs/>
                      <w:sz w:val="21"/>
                      <w:szCs w:val="21"/>
                    </w:rPr>
                  </w:pPr>
                  <w:r>
                    <w:rPr>
                      <w:rFonts w:ascii="Times New Roman" w:hAnsi="Times New Roman" w:cs="Times New Roman"/>
                      <w:bCs/>
                      <w:sz w:val="21"/>
                      <w:szCs w:val="21"/>
                    </w:rPr>
                    <w:t>/</w:t>
                  </w:r>
                </w:p>
              </w:tc>
              <w:tc>
                <w:tcPr>
                  <w:tcW w:w="475" w:type="pct"/>
                  <w:noWrap w:val="0"/>
                  <w:vAlign w:val="center"/>
                </w:tcPr>
                <w:p>
                  <w:pPr>
                    <w:jc w:val="center"/>
                    <w:rPr>
                      <w:rFonts w:ascii="Times New Roman" w:hAnsi="Times New Roman" w:cs="Times New Roman"/>
                      <w:bCs/>
                      <w:sz w:val="21"/>
                      <w:szCs w:val="21"/>
                    </w:rPr>
                  </w:pPr>
                  <w:r>
                    <w:rPr>
                      <w:rFonts w:ascii="Times New Roman" w:hAnsi="Times New Roman" w:cs="Times New Roman"/>
                      <w:bCs/>
                      <w:sz w:val="21"/>
                      <w:szCs w:val="21"/>
                    </w:rPr>
                    <w:t>0</w:t>
                  </w:r>
                </w:p>
              </w:tc>
              <w:tc>
                <w:tcPr>
                  <w:tcW w:w="509" w:type="pct"/>
                  <w:noWrap w:val="0"/>
                  <w:vAlign w:val="center"/>
                </w:tcPr>
                <w:p>
                  <w:pPr>
                    <w:jc w:val="center"/>
                    <w:rPr>
                      <w:rFonts w:ascii="Times New Roman" w:hAnsi="Times New Roman" w:cs="Times New Roman"/>
                      <w:bCs/>
                      <w:sz w:val="21"/>
                      <w:szCs w:val="21"/>
                    </w:rPr>
                  </w:pPr>
                  <w:r>
                    <w:rPr>
                      <w:rFonts w:ascii="Times New Roman" w:hAnsi="Times New Roman" w:cs="Times New Roman"/>
                      <w:bCs/>
                      <w:sz w:val="21"/>
                      <w:szCs w:val="21"/>
                    </w:rPr>
                    <w:t>0</w:t>
                  </w:r>
                </w:p>
              </w:tc>
              <w:tc>
                <w:tcPr>
                  <w:tcW w:w="495" w:type="pct"/>
                  <w:noWrap w:val="0"/>
                  <w:vAlign w:val="center"/>
                </w:tcPr>
                <w:p>
                  <w:pPr>
                    <w:jc w:val="center"/>
                    <w:rPr>
                      <w:rFonts w:ascii="Times New Roman" w:hAnsi="Times New Roman" w:cs="Times New Roman"/>
                      <w:bCs/>
                      <w:sz w:val="21"/>
                      <w:szCs w:val="21"/>
                    </w:rPr>
                  </w:pPr>
                  <w:r>
                    <w:rPr>
                      <w:rFonts w:ascii="Times New Roman" w:hAnsi="Times New Roman" w:cs="Times New Roman"/>
                      <w:bCs/>
                      <w:sz w:val="21"/>
                      <w:szCs w:val="21"/>
                    </w:rPr>
                    <w:t>0</w:t>
                  </w:r>
                </w:p>
              </w:tc>
              <w:tc>
                <w:tcPr>
                  <w:tcW w:w="542" w:type="pct"/>
                  <w:noWrap w:val="0"/>
                  <w:vAlign w:val="center"/>
                </w:tcPr>
                <w:p>
                  <w:pPr>
                    <w:jc w:val="center"/>
                    <w:rPr>
                      <w:rFonts w:ascii="Times New Roman" w:hAnsi="Times New Roman" w:cs="Times New Roman"/>
                      <w:bCs/>
                      <w:sz w:val="21"/>
                      <w:szCs w:val="21"/>
                    </w:rPr>
                  </w:pPr>
                  <w:r>
                    <w:rPr>
                      <w:rFonts w:ascii="Times New Roman" w:hAnsi="Times New Roman" w:cs="Times New Roman"/>
                      <w:bCs/>
                      <w:sz w:val="21"/>
                      <w:szCs w:val="21"/>
                    </w:rPr>
                    <w:t>0</w:t>
                  </w:r>
                </w:p>
              </w:tc>
              <w:tc>
                <w:tcPr>
                  <w:tcW w:w="673" w:type="pct"/>
                  <w:noWrap w:val="0"/>
                  <w:vAlign w:val="center"/>
                </w:tcPr>
                <w:p>
                  <w:pPr>
                    <w:jc w:val="center"/>
                    <w:rPr>
                      <w:rFonts w:ascii="Times New Roman" w:hAnsi="Times New Roman" w:cs="Times New Roman"/>
                      <w:bCs/>
                      <w:sz w:val="21"/>
                      <w:szCs w:val="21"/>
                    </w:rPr>
                  </w:pPr>
                  <w:r>
                    <w:rPr>
                      <w:rFonts w:ascii="Times New Roman" w:hAnsi="Times New Roman" w:cs="Times New Roman"/>
                      <w:bCs/>
                      <w:sz w:val="21"/>
                      <w:szCs w:val="21"/>
                    </w:rPr>
                    <w:t>0</w:t>
                  </w:r>
                </w:p>
              </w:tc>
            </w:tr>
          </w:tbl>
          <w:p>
            <w:pPr>
              <w:adjustRightInd w:val="0"/>
              <w:snapToGrid w:val="0"/>
              <w:spacing w:line="360" w:lineRule="auto"/>
              <w:rPr>
                <w:rFonts w:hint="eastAsia"/>
                <w:b/>
                <w:bCs/>
              </w:rPr>
            </w:pPr>
          </w:p>
          <w:p>
            <w:pPr>
              <w:adjustRightInd w:val="0"/>
              <w:snapToGrid w:val="0"/>
              <w:spacing w:line="360" w:lineRule="auto"/>
              <w:rPr>
                <w:b/>
                <w:bCs/>
              </w:rPr>
            </w:pPr>
            <w:r>
              <w:rPr>
                <w:rFonts w:hint="eastAsia"/>
                <w:b/>
                <w:bCs/>
              </w:rPr>
              <w:t>3、</w:t>
            </w:r>
            <w:r>
              <w:rPr>
                <w:b/>
                <w:bCs/>
              </w:rPr>
              <w:t>噪声</w:t>
            </w:r>
          </w:p>
          <w:p>
            <w:pPr>
              <w:pStyle w:val="73"/>
              <w:adjustRightInd w:val="0"/>
              <w:snapToGrid w:val="0"/>
              <w:spacing w:line="360" w:lineRule="auto"/>
              <w:rPr>
                <w:rFonts w:ascii="Times New Roman" w:hAnsi="Times New Roman" w:eastAsia="宋体"/>
              </w:rPr>
            </w:pPr>
            <w:r>
              <w:rPr>
                <w:rFonts w:hint="eastAsia" w:ascii="宋体" w:hAnsi="宋体" w:eastAsia="宋体" w:cs="宋体"/>
              </w:rPr>
              <w:t>本项目营运期噪声源主要为</w:t>
            </w:r>
            <w:r>
              <w:rPr>
                <w:rFonts w:hint="eastAsia" w:ascii="宋体" w:hAnsi="宋体" w:eastAsia="宋体" w:cs="宋体"/>
                <w:lang w:val="en-US" w:eastAsia="zh-CN"/>
              </w:rPr>
              <w:t>搅拌机</w:t>
            </w:r>
            <w:r>
              <w:rPr>
                <w:rFonts w:hint="eastAsia" w:ascii="宋体" w:hAnsi="宋体" w:eastAsia="宋体" w:cs="宋体"/>
              </w:rPr>
              <w:t>、</w:t>
            </w:r>
            <w:r>
              <w:rPr>
                <w:rFonts w:hint="eastAsia" w:ascii="宋体" w:hAnsi="宋体" w:eastAsia="宋体" w:cs="宋体"/>
                <w:lang w:val="en-US" w:eastAsia="zh-CN"/>
              </w:rPr>
              <w:t>风机、输送带、水泵、砂石分离机、运输车辆等</w:t>
            </w:r>
            <w:r>
              <w:rPr>
                <w:rFonts w:ascii="Times New Roman" w:hAnsi="Times New Roman" w:eastAsia="宋体"/>
              </w:rPr>
              <w:t>产生的噪声，噪声级为</w:t>
            </w:r>
            <w:r>
              <w:rPr>
                <w:rFonts w:hint="eastAsia" w:ascii="Times New Roman" w:hAnsi="Times New Roman" w:eastAsia="宋体"/>
              </w:rPr>
              <w:t>7</w:t>
            </w:r>
            <w:r>
              <w:rPr>
                <w:rFonts w:hint="eastAsia" w:ascii="Times New Roman" w:hAnsi="Times New Roman" w:eastAsia="宋体"/>
                <w:lang w:val="en-US" w:eastAsia="zh-CN"/>
              </w:rPr>
              <w:t>5</w:t>
            </w:r>
            <w:r>
              <w:rPr>
                <w:rFonts w:ascii="Times New Roman" w:hAnsi="Times New Roman" w:eastAsia="宋体"/>
              </w:rPr>
              <w:t>～</w:t>
            </w:r>
            <w:r>
              <w:rPr>
                <w:rFonts w:hint="eastAsia" w:ascii="Times New Roman" w:hAnsi="Times New Roman" w:eastAsia="宋体"/>
              </w:rPr>
              <w:t>8</w:t>
            </w:r>
            <w:r>
              <w:rPr>
                <w:rFonts w:hint="eastAsia" w:ascii="Times New Roman" w:hAnsi="Times New Roman" w:eastAsia="宋体"/>
                <w:lang w:val="en-US" w:eastAsia="zh-CN"/>
              </w:rPr>
              <w:t>5</w:t>
            </w:r>
            <w:r>
              <w:rPr>
                <w:rFonts w:ascii="Times New Roman" w:hAnsi="Times New Roman" w:eastAsia="宋体"/>
              </w:rPr>
              <w:t>dB(A)。</w:t>
            </w:r>
            <w:r>
              <w:rPr>
                <w:rFonts w:hint="eastAsia" w:ascii="Times New Roman" w:hAnsi="Times New Roman" w:eastAsia="宋体"/>
              </w:rPr>
              <w:t>项目的设备噪声强度见</w:t>
            </w:r>
            <w:r>
              <w:rPr>
                <w:rFonts w:hint="eastAsia" w:ascii="Times New Roman" w:hAnsi="Times New Roman" w:eastAsia="宋体"/>
                <w:lang w:val="en-US" w:eastAsia="zh-CN"/>
              </w:rPr>
              <w:t>下</w:t>
            </w:r>
            <w:r>
              <w:rPr>
                <w:rFonts w:hint="eastAsia" w:ascii="Times New Roman" w:hAnsi="Times New Roman" w:eastAsia="宋体"/>
              </w:rPr>
              <w:t>表。</w:t>
            </w:r>
          </w:p>
          <w:p>
            <w:pPr>
              <w:pStyle w:val="73"/>
              <w:adjustRightInd w:val="0"/>
              <w:snapToGrid w:val="0"/>
              <w:ind w:firstLine="0" w:firstLineChars="0"/>
              <w:jc w:val="center"/>
              <w:rPr>
                <w:rFonts w:ascii="Times New Roman" w:hAnsi="Times New Roman" w:eastAsia="宋体"/>
                <w:b/>
                <w:bCs/>
              </w:rPr>
            </w:pPr>
            <w:r>
              <w:rPr>
                <w:rFonts w:hint="eastAsia" w:ascii="Times New Roman" w:hAnsi="Times New Roman" w:eastAsia="宋体"/>
                <w:b/>
                <w:bCs/>
              </w:rPr>
              <w:t>表4.</w:t>
            </w:r>
            <w:r>
              <w:rPr>
                <w:rFonts w:hint="eastAsia" w:ascii="Times New Roman" w:hAnsi="Times New Roman" w:eastAsia="宋体"/>
                <w:b/>
                <w:bCs/>
                <w:lang w:val="en-US" w:eastAsia="zh-CN"/>
              </w:rPr>
              <w:t xml:space="preserve">7 </w:t>
            </w:r>
            <w:r>
              <w:rPr>
                <w:rFonts w:hint="eastAsia" w:ascii="Times New Roman" w:hAnsi="Times New Roman" w:eastAsia="宋体"/>
                <w:b/>
                <w:bCs/>
              </w:rPr>
              <w:t xml:space="preserve"> 项目生产车间噪声源强 </w:t>
            </w:r>
            <w:r>
              <w:rPr>
                <w:rFonts w:ascii="Times New Roman" w:hAnsi="Times New Roman" w:eastAsia="宋体"/>
                <w:b/>
                <w:bCs/>
              </w:rPr>
              <w:t>dB（A）</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572"/>
              <w:gridCol w:w="931"/>
              <w:gridCol w:w="1206"/>
              <w:gridCol w:w="1022"/>
              <w:gridCol w:w="968"/>
              <w:gridCol w:w="976"/>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dxa"/>
                  <w:vAlign w:val="center"/>
                </w:tcPr>
                <w:p>
                  <w:pPr>
                    <w:adjustRightInd w:val="0"/>
                    <w:snapToGrid w:val="0"/>
                    <w:jc w:val="center"/>
                    <w:rPr>
                      <w:b/>
                      <w:bCs/>
                      <w:color w:val="auto"/>
                      <w:sz w:val="21"/>
                      <w:szCs w:val="21"/>
                    </w:rPr>
                  </w:pPr>
                  <w:r>
                    <w:rPr>
                      <w:b/>
                      <w:bCs/>
                      <w:color w:val="auto"/>
                      <w:sz w:val="21"/>
                      <w:szCs w:val="21"/>
                    </w:rPr>
                    <w:t>序号</w:t>
                  </w:r>
                </w:p>
              </w:tc>
              <w:tc>
                <w:tcPr>
                  <w:tcW w:w="1572" w:type="dxa"/>
                  <w:vAlign w:val="center"/>
                </w:tcPr>
                <w:p>
                  <w:pPr>
                    <w:adjustRightInd w:val="0"/>
                    <w:snapToGrid w:val="0"/>
                    <w:jc w:val="center"/>
                    <w:rPr>
                      <w:b/>
                      <w:bCs/>
                      <w:color w:val="auto"/>
                      <w:sz w:val="21"/>
                      <w:szCs w:val="21"/>
                    </w:rPr>
                  </w:pPr>
                  <w:r>
                    <w:rPr>
                      <w:b/>
                      <w:bCs/>
                      <w:color w:val="auto"/>
                      <w:sz w:val="21"/>
                      <w:szCs w:val="21"/>
                    </w:rPr>
                    <w:t>噪声源</w:t>
                  </w:r>
                </w:p>
              </w:tc>
              <w:tc>
                <w:tcPr>
                  <w:tcW w:w="931" w:type="dxa"/>
                  <w:vAlign w:val="center"/>
                </w:tcPr>
                <w:p>
                  <w:pPr>
                    <w:adjustRightInd w:val="0"/>
                    <w:snapToGrid w:val="0"/>
                    <w:jc w:val="center"/>
                    <w:rPr>
                      <w:b/>
                      <w:bCs/>
                      <w:color w:val="auto"/>
                      <w:sz w:val="21"/>
                      <w:szCs w:val="21"/>
                    </w:rPr>
                  </w:pPr>
                  <w:r>
                    <w:rPr>
                      <w:b/>
                      <w:bCs/>
                      <w:color w:val="auto"/>
                      <w:sz w:val="21"/>
                      <w:szCs w:val="21"/>
                    </w:rPr>
                    <w:t>数量</w:t>
                  </w:r>
                  <w:r>
                    <w:rPr>
                      <w:rFonts w:hint="eastAsia"/>
                      <w:b/>
                      <w:bCs/>
                      <w:color w:val="auto"/>
                      <w:sz w:val="21"/>
                      <w:szCs w:val="21"/>
                    </w:rPr>
                    <w:t>（台）</w:t>
                  </w:r>
                </w:p>
              </w:tc>
              <w:tc>
                <w:tcPr>
                  <w:tcW w:w="1206" w:type="dxa"/>
                  <w:vAlign w:val="center"/>
                </w:tcPr>
                <w:p>
                  <w:pPr>
                    <w:adjustRightInd w:val="0"/>
                    <w:snapToGrid w:val="0"/>
                    <w:jc w:val="center"/>
                    <w:rPr>
                      <w:b/>
                      <w:bCs/>
                      <w:color w:val="auto"/>
                      <w:sz w:val="21"/>
                      <w:szCs w:val="21"/>
                    </w:rPr>
                  </w:pPr>
                  <w:r>
                    <w:rPr>
                      <w:b/>
                      <w:bCs/>
                      <w:color w:val="auto"/>
                      <w:sz w:val="21"/>
                      <w:szCs w:val="21"/>
                    </w:rPr>
                    <w:t>单台设备噪声值dB</w:t>
                  </w:r>
                  <w:r>
                    <w:rPr>
                      <w:rFonts w:hint="eastAsia"/>
                      <w:b/>
                      <w:bCs/>
                      <w:color w:val="auto"/>
                      <w:sz w:val="21"/>
                      <w:szCs w:val="21"/>
                    </w:rPr>
                    <w:t>（</w:t>
                  </w:r>
                  <w:r>
                    <w:rPr>
                      <w:b/>
                      <w:bCs/>
                      <w:color w:val="auto"/>
                      <w:sz w:val="21"/>
                      <w:szCs w:val="21"/>
                    </w:rPr>
                    <w:t>A</w:t>
                  </w:r>
                  <w:r>
                    <w:rPr>
                      <w:rFonts w:hint="eastAsia"/>
                      <w:b/>
                      <w:bCs/>
                      <w:color w:val="auto"/>
                      <w:sz w:val="21"/>
                      <w:szCs w:val="21"/>
                    </w:rPr>
                    <w:t>）</w:t>
                  </w:r>
                </w:p>
              </w:tc>
              <w:tc>
                <w:tcPr>
                  <w:tcW w:w="1022" w:type="dxa"/>
                  <w:vAlign w:val="center"/>
                </w:tcPr>
                <w:p>
                  <w:pPr>
                    <w:adjustRightInd w:val="0"/>
                    <w:snapToGrid w:val="0"/>
                    <w:jc w:val="center"/>
                    <w:rPr>
                      <w:b/>
                      <w:bCs/>
                      <w:color w:val="auto"/>
                      <w:sz w:val="21"/>
                      <w:szCs w:val="21"/>
                    </w:rPr>
                  </w:pPr>
                  <w:r>
                    <w:rPr>
                      <w:b/>
                      <w:bCs/>
                      <w:color w:val="auto"/>
                      <w:sz w:val="21"/>
                      <w:szCs w:val="21"/>
                    </w:rPr>
                    <w:t>减震效果dB</w:t>
                  </w:r>
                  <w:r>
                    <w:rPr>
                      <w:rFonts w:hint="eastAsia"/>
                      <w:b/>
                      <w:bCs/>
                      <w:color w:val="auto"/>
                      <w:sz w:val="21"/>
                      <w:szCs w:val="21"/>
                    </w:rPr>
                    <w:t>（</w:t>
                  </w:r>
                  <w:r>
                    <w:rPr>
                      <w:b/>
                      <w:bCs/>
                      <w:color w:val="auto"/>
                      <w:sz w:val="21"/>
                      <w:szCs w:val="21"/>
                    </w:rPr>
                    <w:t>A</w:t>
                  </w:r>
                  <w:r>
                    <w:rPr>
                      <w:rFonts w:hint="eastAsia"/>
                      <w:b/>
                      <w:bCs/>
                      <w:color w:val="auto"/>
                      <w:sz w:val="21"/>
                      <w:szCs w:val="21"/>
                    </w:rPr>
                    <w:t>）</w:t>
                  </w:r>
                </w:p>
              </w:tc>
              <w:tc>
                <w:tcPr>
                  <w:tcW w:w="968" w:type="dxa"/>
                  <w:vAlign w:val="center"/>
                </w:tcPr>
                <w:p>
                  <w:pPr>
                    <w:adjustRightInd w:val="0"/>
                    <w:snapToGrid w:val="0"/>
                    <w:jc w:val="center"/>
                    <w:rPr>
                      <w:b/>
                      <w:bCs/>
                      <w:color w:val="auto"/>
                      <w:sz w:val="21"/>
                      <w:szCs w:val="21"/>
                    </w:rPr>
                  </w:pPr>
                  <w:r>
                    <w:rPr>
                      <w:b/>
                      <w:bCs/>
                      <w:color w:val="auto"/>
                      <w:sz w:val="21"/>
                      <w:szCs w:val="21"/>
                    </w:rPr>
                    <w:t>降噪措施</w:t>
                  </w:r>
                </w:p>
              </w:tc>
              <w:tc>
                <w:tcPr>
                  <w:tcW w:w="976" w:type="dxa"/>
                  <w:vAlign w:val="center"/>
                </w:tcPr>
                <w:p>
                  <w:pPr>
                    <w:adjustRightInd w:val="0"/>
                    <w:snapToGrid w:val="0"/>
                    <w:jc w:val="center"/>
                    <w:rPr>
                      <w:b/>
                      <w:bCs/>
                      <w:color w:val="auto"/>
                      <w:sz w:val="21"/>
                      <w:szCs w:val="21"/>
                    </w:rPr>
                  </w:pPr>
                  <w:r>
                    <w:rPr>
                      <w:b/>
                      <w:bCs/>
                      <w:color w:val="auto"/>
                      <w:sz w:val="21"/>
                      <w:szCs w:val="21"/>
                    </w:rPr>
                    <w:t>经隔声减震后声级值</w:t>
                  </w:r>
                </w:p>
              </w:tc>
              <w:tc>
                <w:tcPr>
                  <w:tcW w:w="766" w:type="dxa"/>
                  <w:vAlign w:val="center"/>
                </w:tcPr>
                <w:p>
                  <w:pPr>
                    <w:adjustRightInd w:val="0"/>
                    <w:snapToGrid w:val="0"/>
                    <w:jc w:val="center"/>
                    <w:rPr>
                      <w:b/>
                      <w:bCs/>
                      <w:color w:val="auto"/>
                      <w:sz w:val="21"/>
                      <w:szCs w:val="21"/>
                    </w:rPr>
                  </w:pPr>
                  <w:r>
                    <w:rPr>
                      <w:rFonts w:hint="eastAsia"/>
                      <w:b/>
                      <w:bCs/>
                      <w:color w:val="auto"/>
                      <w:sz w:val="21"/>
                      <w:szCs w:val="21"/>
                    </w:rPr>
                    <w:t>持续时间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dxa"/>
                  <w:vAlign w:val="center"/>
                </w:tcPr>
                <w:p>
                  <w:pPr>
                    <w:widowControl/>
                    <w:adjustRightInd w:val="0"/>
                    <w:snapToGrid w:val="0"/>
                    <w:jc w:val="center"/>
                    <w:textAlignment w:val="center"/>
                    <w:rPr>
                      <w:color w:val="auto"/>
                      <w:sz w:val="21"/>
                      <w:szCs w:val="21"/>
                    </w:rPr>
                  </w:pPr>
                  <w:r>
                    <w:rPr>
                      <w:color w:val="auto"/>
                      <w:kern w:val="0"/>
                      <w:sz w:val="21"/>
                      <w:szCs w:val="21"/>
                      <w:lang w:bidi="ar"/>
                    </w:rPr>
                    <w:t>1</w:t>
                  </w:r>
                </w:p>
              </w:tc>
              <w:tc>
                <w:tcPr>
                  <w:tcW w:w="1572" w:type="dxa"/>
                  <w:vAlign w:val="center"/>
                </w:tcPr>
                <w:p>
                  <w:pPr>
                    <w:widowControl/>
                    <w:jc w:val="center"/>
                    <w:rPr>
                      <w:rFonts w:hint="default" w:eastAsia="宋体"/>
                      <w:color w:val="auto"/>
                      <w:kern w:val="0"/>
                      <w:sz w:val="21"/>
                      <w:szCs w:val="21"/>
                      <w:lang w:val="en-US" w:eastAsia="zh-CN"/>
                    </w:rPr>
                  </w:pPr>
                  <w:r>
                    <w:rPr>
                      <w:rFonts w:hint="eastAsia"/>
                      <w:color w:val="auto"/>
                      <w:kern w:val="0"/>
                      <w:sz w:val="21"/>
                      <w:szCs w:val="21"/>
                      <w:lang w:val="en-US" w:eastAsia="zh-CN"/>
                    </w:rPr>
                    <w:t>搅拌机</w:t>
                  </w:r>
                </w:p>
              </w:tc>
              <w:tc>
                <w:tcPr>
                  <w:tcW w:w="931" w:type="dxa"/>
                  <w:vAlign w:val="center"/>
                </w:tcPr>
                <w:p>
                  <w:pPr>
                    <w:widowControl/>
                    <w:jc w:val="center"/>
                    <w:rPr>
                      <w:rFonts w:hint="default" w:eastAsia="宋体"/>
                      <w:color w:val="auto"/>
                      <w:kern w:val="0"/>
                      <w:sz w:val="21"/>
                      <w:szCs w:val="21"/>
                      <w:lang w:val="en-US" w:eastAsia="zh-CN"/>
                    </w:rPr>
                  </w:pPr>
                  <w:r>
                    <w:rPr>
                      <w:rFonts w:hint="eastAsia"/>
                      <w:color w:val="auto"/>
                      <w:kern w:val="0"/>
                      <w:sz w:val="21"/>
                      <w:szCs w:val="21"/>
                      <w:lang w:val="en-US" w:eastAsia="zh-CN"/>
                    </w:rPr>
                    <w:t>1</w:t>
                  </w:r>
                </w:p>
              </w:tc>
              <w:tc>
                <w:tcPr>
                  <w:tcW w:w="1206" w:type="dxa"/>
                  <w:vAlign w:val="center"/>
                </w:tcPr>
                <w:p>
                  <w:pPr>
                    <w:widowControl/>
                    <w:jc w:val="center"/>
                    <w:rPr>
                      <w:rFonts w:hint="default" w:eastAsia="宋体"/>
                      <w:color w:val="auto"/>
                      <w:sz w:val="21"/>
                      <w:szCs w:val="21"/>
                      <w:lang w:val="en-US" w:eastAsia="zh-CN"/>
                    </w:rPr>
                  </w:pPr>
                  <w:r>
                    <w:rPr>
                      <w:rFonts w:hint="eastAsia"/>
                      <w:color w:val="auto"/>
                      <w:sz w:val="21"/>
                      <w:szCs w:val="21"/>
                      <w:lang w:val="en-US" w:eastAsia="zh-CN"/>
                    </w:rPr>
                    <w:t>85</w:t>
                  </w:r>
                </w:p>
              </w:tc>
              <w:tc>
                <w:tcPr>
                  <w:tcW w:w="1022" w:type="dxa"/>
                  <w:vAlign w:val="center"/>
                </w:tcPr>
                <w:p>
                  <w:pPr>
                    <w:adjustRightInd w:val="0"/>
                    <w:snapToGrid w:val="0"/>
                    <w:jc w:val="center"/>
                    <w:rPr>
                      <w:color w:val="auto"/>
                      <w:sz w:val="21"/>
                      <w:szCs w:val="21"/>
                    </w:rPr>
                  </w:pPr>
                  <w:r>
                    <w:rPr>
                      <w:rFonts w:hint="eastAsia"/>
                      <w:color w:val="auto"/>
                      <w:sz w:val="21"/>
                      <w:szCs w:val="21"/>
                    </w:rPr>
                    <w:t>20</w:t>
                  </w:r>
                </w:p>
              </w:tc>
              <w:tc>
                <w:tcPr>
                  <w:tcW w:w="968" w:type="dxa"/>
                  <w:vMerge w:val="restart"/>
                  <w:vAlign w:val="center"/>
                </w:tcPr>
                <w:p>
                  <w:pPr>
                    <w:adjustRightInd w:val="0"/>
                    <w:snapToGrid w:val="0"/>
                    <w:jc w:val="center"/>
                    <w:rPr>
                      <w:color w:val="auto"/>
                      <w:sz w:val="21"/>
                      <w:szCs w:val="21"/>
                    </w:rPr>
                  </w:pPr>
                  <w:r>
                    <w:rPr>
                      <w:color w:val="auto"/>
                      <w:sz w:val="21"/>
                      <w:szCs w:val="21"/>
                    </w:rPr>
                    <w:t>隔声、消声、减振、设备定期保养</w:t>
                  </w:r>
                  <w:r>
                    <w:rPr>
                      <w:rFonts w:hint="eastAsia"/>
                      <w:color w:val="auto"/>
                      <w:sz w:val="21"/>
                      <w:szCs w:val="21"/>
                    </w:rPr>
                    <w:t>等</w:t>
                  </w:r>
                </w:p>
              </w:tc>
              <w:tc>
                <w:tcPr>
                  <w:tcW w:w="976" w:type="dxa"/>
                  <w:vAlign w:val="center"/>
                </w:tcPr>
                <w:p>
                  <w:pPr>
                    <w:widowControl/>
                    <w:jc w:val="center"/>
                    <w:rPr>
                      <w:rFonts w:hint="default" w:eastAsia="宋体"/>
                      <w:color w:val="auto"/>
                      <w:sz w:val="21"/>
                      <w:szCs w:val="21"/>
                      <w:lang w:val="en-US" w:eastAsia="zh-CN"/>
                    </w:rPr>
                  </w:pPr>
                  <w:r>
                    <w:rPr>
                      <w:rFonts w:hint="eastAsia"/>
                      <w:color w:val="auto"/>
                      <w:sz w:val="21"/>
                      <w:szCs w:val="21"/>
                      <w:lang w:val="en-US" w:eastAsia="zh-CN"/>
                    </w:rPr>
                    <w:t>65</w:t>
                  </w:r>
                </w:p>
              </w:tc>
              <w:tc>
                <w:tcPr>
                  <w:tcW w:w="766" w:type="dxa"/>
                  <w:vAlign w:val="center"/>
                </w:tcPr>
                <w:p>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dxa"/>
                  <w:vAlign w:val="center"/>
                </w:tcPr>
                <w:p>
                  <w:pPr>
                    <w:widowControl/>
                    <w:adjustRightInd w:val="0"/>
                    <w:snapToGrid w:val="0"/>
                    <w:jc w:val="center"/>
                    <w:textAlignment w:val="center"/>
                    <w:rPr>
                      <w:color w:val="auto"/>
                      <w:sz w:val="21"/>
                      <w:szCs w:val="21"/>
                    </w:rPr>
                  </w:pPr>
                  <w:r>
                    <w:rPr>
                      <w:color w:val="auto"/>
                      <w:kern w:val="0"/>
                      <w:sz w:val="21"/>
                      <w:szCs w:val="21"/>
                      <w:lang w:bidi="ar"/>
                    </w:rPr>
                    <w:t>2</w:t>
                  </w:r>
                </w:p>
              </w:tc>
              <w:tc>
                <w:tcPr>
                  <w:tcW w:w="1572" w:type="dxa"/>
                  <w:vAlign w:val="center"/>
                </w:tcPr>
                <w:p>
                  <w:pPr>
                    <w:widowControl/>
                    <w:jc w:val="center"/>
                    <w:rPr>
                      <w:rFonts w:hint="default" w:eastAsia="宋体"/>
                      <w:color w:val="auto"/>
                      <w:kern w:val="0"/>
                      <w:sz w:val="21"/>
                      <w:szCs w:val="21"/>
                      <w:lang w:val="en-US" w:eastAsia="zh-CN"/>
                    </w:rPr>
                  </w:pPr>
                  <w:r>
                    <w:rPr>
                      <w:rFonts w:hint="eastAsia"/>
                      <w:color w:val="auto"/>
                      <w:kern w:val="0"/>
                      <w:sz w:val="21"/>
                      <w:szCs w:val="21"/>
                      <w:lang w:val="en-US" w:eastAsia="zh-CN"/>
                    </w:rPr>
                    <w:t>风机</w:t>
                  </w:r>
                </w:p>
              </w:tc>
              <w:tc>
                <w:tcPr>
                  <w:tcW w:w="931" w:type="dxa"/>
                  <w:vAlign w:val="center"/>
                </w:tcPr>
                <w:p>
                  <w:pPr>
                    <w:widowControl/>
                    <w:jc w:val="center"/>
                    <w:rPr>
                      <w:rFonts w:hint="default" w:eastAsia="宋体"/>
                      <w:color w:val="auto"/>
                      <w:kern w:val="0"/>
                      <w:sz w:val="21"/>
                      <w:szCs w:val="21"/>
                      <w:lang w:val="en-US" w:eastAsia="zh-CN"/>
                    </w:rPr>
                  </w:pPr>
                  <w:r>
                    <w:rPr>
                      <w:rFonts w:hint="eastAsia"/>
                      <w:color w:val="auto"/>
                      <w:kern w:val="0"/>
                      <w:sz w:val="21"/>
                      <w:szCs w:val="21"/>
                      <w:lang w:val="en-US" w:eastAsia="zh-CN"/>
                    </w:rPr>
                    <w:t>2</w:t>
                  </w:r>
                </w:p>
              </w:tc>
              <w:tc>
                <w:tcPr>
                  <w:tcW w:w="1206" w:type="dxa"/>
                  <w:vAlign w:val="center"/>
                </w:tcPr>
                <w:p>
                  <w:pPr>
                    <w:widowControl/>
                    <w:jc w:val="center"/>
                    <w:rPr>
                      <w:rFonts w:hint="default" w:eastAsia="宋体"/>
                      <w:color w:val="auto"/>
                      <w:sz w:val="21"/>
                      <w:szCs w:val="21"/>
                      <w:lang w:val="en-US" w:eastAsia="zh-CN"/>
                    </w:rPr>
                  </w:pPr>
                  <w:r>
                    <w:rPr>
                      <w:rFonts w:hint="eastAsia"/>
                      <w:color w:val="auto"/>
                      <w:sz w:val="21"/>
                      <w:szCs w:val="21"/>
                      <w:lang w:val="en-US" w:eastAsia="zh-CN"/>
                    </w:rPr>
                    <w:t>80</w:t>
                  </w:r>
                </w:p>
              </w:tc>
              <w:tc>
                <w:tcPr>
                  <w:tcW w:w="1022" w:type="dxa"/>
                  <w:vAlign w:val="center"/>
                </w:tcPr>
                <w:p>
                  <w:pPr>
                    <w:adjustRightInd w:val="0"/>
                    <w:snapToGrid w:val="0"/>
                    <w:jc w:val="center"/>
                    <w:rPr>
                      <w:color w:val="auto"/>
                      <w:sz w:val="21"/>
                      <w:szCs w:val="21"/>
                    </w:rPr>
                  </w:pPr>
                  <w:r>
                    <w:rPr>
                      <w:rFonts w:hint="eastAsia"/>
                      <w:color w:val="auto"/>
                      <w:sz w:val="21"/>
                      <w:szCs w:val="21"/>
                    </w:rPr>
                    <w:t>20</w:t>
                  </w:r>
                </w:p>
              </w:tc>
              <w:tc>
                <w:tcPr>
                  <w:tcW w:w="968" w:type="dxa"/>
                  <w:vMerge w:val="continue"/>
                  <w:vAlign w:val="center"/>
                </w:tcPr>
                <w:p>
                  <w:pPr>
                    <w:adjustRightInd w:val="0"/>
                    <w:snapToGrid w:val="0"/>
                    <w:jc w:val="center"/>
                    <w:rPr>
                      <w:color w:val="auto"/>
                      <w:sz w:val="21"/>
                      <w:szCs w:val="21"/>
                    </w:rPr>
                  </w:pPr>
                </w:p>
              </w:tc>
              <w:tc>
                <w:tcPr>
                  <w:tcW w:w="976" w:type="dxa"/>
                  <w:vAlign w:val="center"/>
                </w:tcPr>
                <w:p>
                  <w:pPr>
                    <w:widowControl/>
                    <w:jc w:val="center"/>
                    <w:rPr>
                      <w:rFonts w:hint="default" w:eastAsia="宋体"/>
                      <w:color w:val="auto"/>
                      <w:sz w:val="21"/>
                      <w:szCs w:val="21"/>
                      <w:lang w:val="en-US" w:eastAsia="zh-CN"/>
                    </w:rPr>
                  </w:pPr>
                  <w:r>
                    <w:rPr>
                      <w:rFonts w:hint="eastAsia"/>
                      <w:color w:val="auto"/>
                      <w:sz w:val="21"/>
                      <w:szCs w:val="21"/>
                      <w:lang w:val="en-US" w:eastAsia="zh-CN"/>
                    </w:rPr>
                    <w:t>60</w:t>
                  </w:r>
                </w:p>
              </w:tc>
              <w:tc>
                <w:tcPr>
                  <w:tcW w:w="766" w:type="dxa"/>
                  <w:vAlign w:val="center"/>
                </w:tcPr>
                <w:p>
                  <w:pPr>
                    <w:adjustRightInd w:val="0"/>
                    <w:snapToGrid w:val="0"/>
                    <w:jc w:val="center"/>
                    <w:rPr>
                      <w:color w:val="auto"/>
                      <w:sz w:val="21"/>
                      <w:szCs w:val="21"/>
                    </w:rPr>
                  </w:pPr>
                  <w:r>
                    <w:rPr>
                      <w:rFonts w:hint="eastAsia"/>
                      <w:color w:val="auto"/>
                      <w:sz w:val="21"/>
                      <w:szCs w:val="21"/>
                      <w:lang w:val="en-US" w:eastAsia="zh-CN"/>
                    </w:rPr>
                    <w:t>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3" w:type="dxa"/>
                  <w:vAlign w:val="center"/>
                </w:tcPr>
                <w:p>
                  <w:pPr>
                    <w:widowControl/>
                    <w:adjustRightInd w:val="0"/>
                    <w:snapToGrid w:val="0"/>
                    <w:jc w:val="center"/>
                    <w:textAlignment w:val="center"/>
                    <w:rPr>
                      <w:rFonts w:hint="eastAsia" w:eastAsia="宋体"/>
                      <w:color w:val="auto"/>
                      <w:kern w:val="0"/>
                      <w:sz w:val="21"/>
                      <w:szCs w:val="21"/>
                      <w:lang w:val="en-US" w:eastAsia="zh-CN" w:bidi="ar"/>
                    </w:rPr>
                  </w:pPr>
                  <w:r>
                    <w:rPr>
                      <w:rFonts w:hint="eastAsia"/>
                      <w:color w:val="auto"/>
                      <w:kern w:val="0"/>
                      <w:sz w:val="21"/>
                      <w:szCs w:val="21"/>
                      <w:lang w:val="en-US" w:eastAsia="zh-CN" w:bidi="ar"/>
                    </w:rPr>
                    <w:t>3</w:t>
                  </w:r>
                </w:p>
              </w:tc>
              <w:tc>
                <w:tcPr>
                  <w:tcW w:w="1572" w:type="dxa"/>
                  <w:vAlign w:val="center"/>
                </w:tcPr>
                <w:p>
                  <w:pPr>
                    <w:widowControl/>
                    <w:jc w:val="center"/>
                    <w:rPr>
                      <w:rFonts w:hint="default"/>
                      <w:color w:val="auto"/>
                      <w:kern w:val="0"/>
                      <w:sz w:val="21"/>
                      <w:szCs w:val="21"/>
                      <w:lang w:val="en-US" w:eastAsia="zh-CN"/>
                    </w:rPr>
                  </w:pPr>
                  <w:r>
                    <w:rPr>
                      <w:rFonts w:hint="eastAsia"/>
                      <w:color w:val="auto"/>
                      <w:kern w:val="0"/>
                      <w:sz w:val="21"/>
                      <w:szCs w:val="21"/>
                      <w:lang w:val="en-US" w:eastAsia="zh-CN"/>
                    </w:rPr>
                    <w:t>输送带</w:t>
                  </w:r>
                </w:p>
              </w:tc>
              <w:tc>
                <w:tcPr>
                  <w:tcW w:w="931" w:type="dxa"/>
                  <w:vAlign w:val="center"/>
                </w:tcPr>
                <w:p>
                  <w:pPr>
                    <w:widowControl/>
                    <w:jc w:val="center"/>
                    <w:rPr>
                      <w:rFonts w:hint="default"/>
                      <w:color w:val="auto"/>
                      <w:kern w:val="0"/>
                      <w:sz w:val="21"/>
                      <w:szCs w:val="21"/>
                      <w:lang w:val="en-US" w:eastAsia="zh-CN"/>
                    </w:rPr>
                  </w:pPr>
                  <w:r>
                    <w:rPr>
                      <w:rFonts w:hint="eastAsia"/>
                      <w:color w:val="auto"/>
                      <w:kern w:val="0"/>
                      <w:sz w:val="21"/>
                      <w:szCs w:val="21"/>
                      <w:lang w:val="en-US" w:eastAsia="zh-CN"/>
                    </w:rPr>
                    <w:t>12</w:t>
                  </w:r>
                </w:p>
              </w:tc>
              <w:tc>
                <w:tcPr>
                  <w:tcW w:w="1206" w:type="dxa"/>
                  <w:vAlign w:val="center"/>
                </w:tcPr>
                <w:p>
                  <w:pPr>
                    <w:widowControl/>
                    <w:jc w:val="center"/>
                    <w:rPr>
                      <w:rFonts w:hint="default"/>
                      <w:color w:val="auto"/>
                      <w:sz w:val="21"/>
                      <w:szCs w:val="21"/>
                      <w:lang w:val="en-US" w:eastAsia="zh-CN"/>
                    </w:rPr>
                  </w:pPr>
                  <w:r>
                    <w:rPr>
                      <w:rFonts w:hint="eastAsia"/>
                      <w:color w:val="auto"/>
                      <w:sz w:val="21"/>
                      <w:szCs w:val="21"/>
                      <w:lang w:val="en-US" w:eastAsia="zh-CN"/>
                    </w:rPr>
                    <w:t>75</w:t>
                  </w:r>
                </w:p>
              </w:tc>
              <w:tc>
                <w:tcPr>
                  <w:tcW w:w="1022" w:type="dxa"/>
                  <w:vAlign w:val="center"/>
                </w:tcPr>
                <w:p>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20</w:t>
                  </w:r>
                </w:p>
              </w:tc>
              <w:tc>
                <w:tcPr>
                  <w:tcW w:w="968" w:type="dxa"/>
                  <w:vMerge w:val="continue"/>
                  <w:vAlign w:val="center"/>
                </w:tcPr>
                <w:p>
                  <w:pPr>
                    <w:adjustRightInd w:val="0"/>
                    <w:snapToGrid w:val="0"/>
                    <w:jc w:val="center"/>
                    <w:rPr>
                      <w:color w:val="auto"/>
                      <w:sz w:val="21"/>
                      <w:szCs w:val="21"/>
                    </w:rPr>
                  </w:pPr>
                </w:p>
              </w:tc>
              <w:tc>
                <w:tcPr>
                  <w:tcW w:w="976" w:type="dxa"/>
                  <w:vAlign w:val="center"/>
                </w:tcPr>
                <w:p>
                  <w:pPr>
                    <w:widowControl/>
                    <w:jc w:val="center"/>
                    <w:rPr>
                      <w:rFonts w:hint="default"/>
                      <w:color w:val="auto"/>
                      <w:sz w:val="21"/>
                      <w:szCs w:val="21"/>
                      <w:lang w:val="en-US" w:eastAsia="zh-CN"/>
                    </w:rPr>
                  </w:pPr>
                  <w:r>
                    <w:rPr>
                      <w:rFonts w:hint="eastAsia"/>
                      <w:color w:val="auto"/>
                      <w:sz w:val="21"/>
                      <w:szCs w:val="21"/>
                      <w:lang w:val="en-US" w:eastAsia="zh-CN"/>
                    </w:rPr>
                    <w:t>55</w:t>
                  </w:r>
                </w:p>
              </w:tc>
              <w:tc>
                <w:tcPr>
                  <w:tcW w:w="766" w:type="dxa"/>
                  <w:vAlign w:val="center"/>
                </w:tcPr>
                <w:p>
                  <w:pPr>
                    <w:adjustRightInd w:val="0"/>
                    <w:snapToGrid w:val="0"/>
                    <w:jc w:val="center"/>
                    <w:rPr>
                      <w:rFonts w:hint="eastAsia"/>
                      <w:color w:val="auto"/>
                      <w:sz w:val="21"/>
                      <w:szCs w:val="21"/>
                      <w:lang w:val="en-US" w:eastAsia="zh-CN"/>
                    </w:rPr>
                  </w:pPr>
                  <w:r>
                    <w:rPr>
                      <w:rFonts w:hint="eastAsia"/>
                      <w:color w:val="auto"/>
                      <w:sz w:val="21"/>
                      <w:szCs w:val="21"/>
                      <w:lang w:val="en-US" w:eastAsia="zh-CN"/>
                    </w:rPr>
                    <w:t>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3" w:type="dxa"/>
                  <w:vAlign w:val="center"/>
                </w:tcPr>
                <w:p>
                  <w:pPr>
                    <w:widowControl/>
                    <w:adjustRightInd w:val="0"/>
                    <w:snapToGrid w:val="0"/>
                    <w:jc w:val="center"/>
                    <w:textAlignment w:val="center"/>
                    <w:rPr>
                      <w:rFonts w:hint="eastAsia" w:eastAsia="宋体"/>
                      <w:color w:val="auto"/>
                      <w:kern w:val="0"/>
                      <w:sz w:val="21"/>
                      <w:szCs w:val="21"/>
                      <w:lang w:val="en-US" w:eastAsia="zh-CN" w:bidi="ar"/>
                    </w:rPr>
                  </w:pPr>
                  <w:r>
                    <w:rPr>
                      <w:rFonts w:hint="eastAsia"/>
                      <w:color w:val="auto"/>
                      <w:kern w:val="0"/>
                      <w:sz w:val="21"/>
                      <w:szCs w:val="21"/>
                      <w:lang w:val="en-US" w:eastAsia="zh-CN" w:bidi="ar"/>
                    </w:rPr>
                    <w:t>4</w:t>
                  </w:r>
                </w:p>
              </w:tc>
              <w:tc>
                <w:tcPr>
                  <w:tcW w:w="1572" w:type="dxa"/>
                  <w:vAlign w:val="center"/>
                </w:tcPr>
                <w:p>
                  <w:pPr>
                    <w:widowControl/>
                    <w:jc w:val="center"/>
                    <w:rPr>
                      <w:rFonts w:hint="default"/>
                      <w:color w:val="auto"/>
                      <w:kern w:val="0"/>
                      <w:sz w:val="21"/>
                      <w:szCs w:val="21"/>
                      <w:lang w:val="en-US" w:eastAsia="zh-CN"/>
                    </w:rPr>
                  </w:pPr>
                  <w:r>
                    <w:rPr>
                      <w:rFonts w:hint="eastAsia"/>
                      <w:color w:val="auto"/>
                      <w:kern w:val="0"/>
                      <w:sz w:val="21"/>
                      <w:szCs w:val="21"/>
                      <w:lang w:val="en-US" w:eastAsia="zh-CN"/>
                    </w:rPr>
                    <w:t>水泵</w:t>
                  </w:r>
                </w:p>
              </w:tc>
              <w:tc>
                <w:tcPr>
                  <w:tcW w:w="931" w:type="dxa"/>
                  <w:vAlign w:val="center"/>
                </w:tcPr>
                <w:p>
                  <w:pPr>
                    <w:widowControl/>
                    <w:jc w:val="center"/>
                    <w:rPr>
                      <w:rFonts w:hint="default"/>
                      <w:color w:val="auto"/>
                      <w:kern w:val="0"/>
                      <w:sz w:val="21"/>
                      <w:szCs w:val="21"/>
                      <w:lang w:val="en-US" w:eastAsia="zh-CN"/>
                    </w:rPr>
                  </w:pPr>
                  <w:r>
                    <w:rPr>
                      <w:rFonts w:hint="eastAsia"/>
                      <w:color w:val="auto"/>
                      <w:kern w:val="0"/>
                      <w:sz w:val="21"/>
                      <w:szCs w:val="21"/>
                      <w:lang w:val="en-US" w:eastAsia="zh-CN"/>
                    </w:rPr>
                    <w:t>2</w:t>
                  </w:r>
                </w:p>
              </w:tc>
              <w:tc>
                <w:tcPr>
                  <w:tcW w:w="1206" w:type="dxa"/>
                  <w:vAlign w:val="center"/>
                </w:tcPr>
                <w:p>
                  <w:pPr>
                    <w:widowControl/>
                    <w:jc w:val="center"/>
                    <w:rPr>
                      <w:rFonts w:hint="eastAsia"/>
                      <w:color w:val="auto"/>
                      <w:sz w:val="21"/>
                      <w:szCs w:val="21"/>
                      <w:lang w:val="en-US" w:eastAsia="zh-CN"/>
                    </w:rPr>
                  </w:pPr>
                  <w:r>
                    <w:rPr>
                      <w:rFonts w:hint="eastAsia"/>
                      <w:color w:val="auto"/>
                      <w:sz w:val="21"/>
                      <w:szCs w:val="21"/>
                      <w:lang w:val="en-US" w:eastAsia="zh-CN"/>
                    </w:rPr>
                    <w:t>75</w:t>
                  </w:r>
                </w:p>
              </w:tc>
              <w:tc>
                <w:tcPr>
                  <w:tcW w:w="1022" w:type="dxa"/>
                  <w:vAlign w:val="center"/>
                </w:tcPr>
                <w:p>
                  <w:pPr>
                    <w:adjustRightInd w:val="0"/>
                    <w:snapToGrid w:val="0"/>
                    <w:jc w:val="center"/>
                    <w:rPr>
                      <w:rFonts w:hint="eastAsia"/>
                      <w:color w:val="auto"/>
                      <w:sz w:val="21"/>
                      <w:szCs w:val="21"/>
                    </w:rPr>
                  </w:pPr>
                  <w:r>
                    <w:rPr>
                      <w:rFonts w:hint="eastAsia"/>
                      <w:color w:val="auto"/>
                      <w:sz w:val="21"/>
                      <w:szCs w:val="21"/>
                      <w:lang w:val="en-US" w:eastAsia="zh-CN"/>
                    </w:rPr>
                    <w:t>20</w:t>
                  </w:r>
                </w:p>
              </w:tc>
              <w:tc>
                <w:tcPr>
                  <w:tcW w:w="968" w:type="dxa"/>
                  <w:vMerge w:val="continue"/>
                  <w:vAlign w:val="center"/>
                </w:tcPr>
                <w:p>
                  <w:pPr>
                    <w:adjustRightInd w:val="0"/>
                    <w:snapToGrid w:val="0"/>
                    <w:jc w:val="center"/>
                    <w:rPr>
                      <w:color w:val="auto"/>
                      <w:sz w:val="21"/>
                      <w:szCs w:val="21"/>
                    </w:rPr>
                  </w:pPr>
                </w:p>
              </w:tc>
              <w:tc>
                <w:tcPr>
                  <w:tcW w:w="976" w:type="dxa"/>
                  <w:vAlign w:val="center"/>
                </w:tcPr>
                <w:p>
                  <w:pPr>
                    <w:widowControl/>
                    <w:jc w:val="center"/>
                    <w:rPr>
                      <w:rFonts w:hint="eastAsia"/>
                      <w:color w:val="auto"/>
                      <w:sz w:val="21"/>
                      <w:szCs w:val="21"/>
                      <w:lang w:val="en-US" w:eastAsia="zh-CN"/>
                    </w:rPr>
                  </w:pPr>
                  <w:r>
                    <w:rPr>
                      <w:rFonts w:hint="eastAsia"/>
                      <w:color w:val="auto"/>
                      <w:sz w:val="21"/>
                      <w:szCs w:val="21"/>
                      <w:lang w:val="en-US" w:eastAsia="zh-CN"/>
                    </w:rPr>
                    <w:t>55</w:t>
                  </w:r>
                </w:p>
              </w:tc>
              <w:tc>
                <w:tcPr>
                  <w:tcW w:w="766" w:type="dxa"/>
                  <w:vAlign w:val="center"/>
                </w:tcPr>
                <w:p>
                  <w:pPr>
                    <w:adjustRightInd w:val="0"/>
                    <w:snapToGrid w:val="0"/>
                    <w:jc w:val="center"/>
                    <w:rPr>
                      <w:rFonts w:hint="eastAsia"/>
                      <w:color w:val="auto"/>
                      <w:sz w:val="21"/>
                      <w:szCs w:val="21"/>
                      <w:lang w:val="en-US" w:eastAsia="zh-CN"/>
                    </w:rPr>
                  </w:pPr>
                  <w:r>
                    <w:rPr>
                      <w:rFonts w:hint="eastAsia"/>
                      <w:color w:val="auto"/>
                      <w:sz w:val="21"/>
                      <w:szCs w:val="21"/>
                      <w:lang w:val="en-US" w:eastAsia="zh-CN"/>
                    </w:rPr>
                    <w:t>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dxa"/>
                  <w:vAlign w:val="center"/>
                </w:tcPr>
                <w:p>
                  <w:pPr>
                    <w:widowControl/>
                    <w:adjustRightInd w:val="0"/>
                    <w:snapToGrid w:val="0"/>
                    <w:jc w:val="center"/>
                    <w:textAlignment w:val="center"/>
                    <w:rPr>
                      <w:rFonts w:hint="eastAsia" w:eastAsia="宋体"/>
                      <w:color w:val="auto"/>
                      <w:kern w:val="0"/>
                      <w:sz w:val="21"/>
                      <w:szCs w:val="21"/>
                      <w:lang w:val="en-US" w:eastAsia="zh-CN" w:bidi="ar"/>
                    </w:rPr>
                  </w:pPr>
                  <w:r>
                    <w:rPr>
                      <w:rFonts w:hint="eastAsia"/>
                      <w:color w:val="auto"/>
                      <w:kern w:val="0"/>
                      <w:sz w:val="21"/>
                      <w:szCs w:val="21"/>
                      <w:lang w:val="en-US" w:eastAsia="zh-CN" w:bidi="ar"/>
                    </w:rPr>
                    <w:t>5</w:t>
                  </w:r>
                </w:p>
              </w:tc>
              <w:tc>
                <w:tcPr>
                  <w:tcW w:w="1572" w:type="dxa"/>
                  <w:vAlign w:val="center"/>
                </w:tcPr>
                <w:p>
                  <w:pPr>
                    <w:widowControl/>
                    <w:jc w:val="center"/>
                    <w:rPr>
                      <w:rFonts w:hint="eastAsia"/>
                      <w:color w:val="auto"/>
                      <w:kern w:val="0"/>
                      <w:sz w:val="21"/>
                      <w:szCs w:val="21"/>
                      <w:lang w:val="en-US" w:eastAsia="zh-CN"/>
                    </w:rPr>
                  </w:pPr>
                  <w:r>
                    <w:rPr>
                      <w:rFonts w:ascii="Times New Roman" w:hAnsi="Times New Roman" w:cs="Times New Roman"/>
                      <w:color w:val="auto"/>
                      <w:kern w:val="0"/>
                      <w:sz w:val="21"/>
                      <w:szCs w:val="21"/>
                    </w:rPr>
                    <w:t>砂石分离机</w:t>
                  </w:r>
                </w:p>
              </w:tc>
              <w:tc>
                <w:tcPr>
                  <w:tcW w:w="931" w:type="dxa"/>
                  <w:vAlign w:val="center"/>
                </w:tcPr>
                <w:p>
                  <w:pPr>
                    <w:widowControl/>
                    <w:jc w:val="center"/>
                    <w:rPr>
                      <w:rFonts w:hint="default"/>
                      <w:color w:val="auto"/>
                      <w:kern w:val="0"/>
                      <w:sz w:val="21"/>
                      <w:szCs w:val="21"/>
                      <w:lang w:val="en-US" w:eastAsia="zh-CN"/>
                    </w:rPr>
                  </w:pPr>
                  <w:r>
                    <w:rPr>
                      <w:rFonts w:hint="eastAsia"/>
                      <w:color w:val="auto"/>
                      <w:kern w:val="0"/>
                      <w:sz w:val="21"/>
                      <w:szCs w:val="21"/>
                      <w:lang w:val="en-US" w:eastAsia="zh-CN"/>
                    </w:rPr>
                    <w:t>1</w:t>
                  </w:r>
                </w:p>
              </w:tc>
              <w:tc>
                <w:tcPr>
                  <w:tcW w:w="1206" w:type="dxa"/>
                  <w:vAlign w:val="center"/>
                </w:tcPr>
                <w:p>
                  <w:pPr>
                    <w:widowControl/>
                    <w:jc w:val="center"/>
                    <w:rPr>
                      <w:rFonts w:hint="default"/>
                      <w:color w:val="auto"/>
                      <w:sz w:val="21"/>
                      <w:szCs w:val="21"/>
                      <w:lang w:val="en-US" w:eastAsia="zh-CN"/>
                    </w:rPr>
                  </w:pPr>
                  <w:r>
                    <w:rPr>
                      <w:rFonts w:hint="eastAsia"/>
                      <w:color w:val="auto"/>
                      <w:sz w:val="21"/>
                      <w:szCs w:val="21"/>
                      <w:lang w:val="en-US" w:eastAsia="zh-CN"/>
                    </w:rPr>
                    <w:t>80</w:t>
                  </w:r>
                </w:p>
              </w:tc>
              <w:tc>
                <w:tcPr>
                  <w:tcW w:w="1022" w:type="dxa"/>
                  <w:vAlign w:val="center"/>
                </w:tcPr>
                <w:p>
                  <w:pPr>
                    <w:adjustRightInd w:val="0"/>
                    <w:snapToGrid w:val="0"/>
                    <w:jc w:val="center"/>
                    <w:rPr>
                      <w:rFonts w:hint="eastAsia"/>
                      <w:color w:val="auto"/>
                      <w:sz w:val="21"/>
                      <w:szCs w:val="21"/>
                    </w:rPr>
                  </w:pPr>
                  <w:r>
                    <w:rPr>
                      <w:rFonts w:hint="eastAsia"/>
                      <w:color w:val="auto"/>
                      <w:sz w:val="21"/>
                      <w:szCs w:val="21"/>
                    </w:rPr>
                    <w:t>20</w:t>
                  </w:r>
                </w:p>
              </w:tc>
              <w:tc>
                <w:tcPr>
                  <w:tcW w:w="968" w:type="dxa"/>
                  <w:vMerge w:val="continue"/>
                  <w:vAlign w:val="center"/>
                </w:tcPr>
                <w:p>
                  <w:pPr>
                    <w:adjustRightInd w:val="0"/>
                    <w:snapToGrid w:val="0"/>
                    <w:jc w:val="center"/>
                    <w:rPr>
                      <w:color w:val="auto"/>
                      <w:sz w:val="21"/>
                      <w:szCs w:val="21"/>
                    </w:rPr>
                  </w:pPr>
                </w:p>
              </w:tc>
              <w:tc>
                <w:tcPr>
                  <w:tcW w:w="976" w:type="dxa"/>
                  <w:vAlign w:val="center"/>
                </w:tcPr>
                <w:p>
                  <w:pPr>
                    <w:widowControl/>
                    <w:jc w:val="center"/>
                    <w:rPr>
                      <w:rFonts w:hint="eastAsia"/>
                      <w:color w:val="auto"/>
                      <w:sz w:val="21"/>
                      <w:szCs w:val="21"/>
                      <w:lang w:val="en-US" w:eastAsia="zh-CN"/>
                    </w:rPr>
                  </w:pPr>
                  <w:r>
                    <w:rPr>
                      <w:rFonts w:hint="eastAsia"/>
                      <w:color w:val="auto"/>
                      <w:sz w:val="21"/>
                      <w:szCs w:val="21"/>
                      <w:lang w:val="en-US" w:eastAsia="zh-CN"/>
                    </w:rPr>
                    <w:t>60</w:t>
                  </w:r>
                </w:p>
              </w:tc>
              <w:tc>
                <w:tcPr>
                  <w:tcW w:w="766" w:type="dxa"/>
                  <w:vAlign w:val="center"/>
                </w:tcPr>
                <w:p>
                  <w:pPr>
                    <w:adjustRightInd w:val="0"/>
                    <w:snapToGrid w:val="0"/>
                    <w:jc w:val="center"/>
                    <w:rPr>
                      <w:rFonts w:hint="eastAsia"/>
                      <w:color w:val="auto"/>
                      <w:sz w:val="21"/>
                      <w:szCs w:val="21"/>
                      <w:lang w:val="en-US" w:eastAsia="zh-CN"/>
                    </w:rPr>
                  </w:pPr>
                  <w:r>
                    <w:rPr>
                      <w:rFonts w:hint="eastAsia"/>
                      <w:color w:val="auto"/>
                      <w:sz w:val="21"/>
                      <w:szCs w:val="21"/>
                      <w:lang w:val="en-US" w:eastAsia="zh-CN"/>
                    </w:rPr>
                    <w:t>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dxa"/>
                  <w:vAlign w:val="center"/>
                </w:tcPr>
                <w:p>
                  <w:pPr>
                    <w:widowControl/>
                    <w:adjustRightInd w:val="0"/>
                    <w:snapToGrid w:val="0"/>
                    <w:jc w:val="center"/>
                    <w:textAlignment w:val="center"/>
                    <w:rPr>
                      <w:rFonts w:hint="default" w:eastAsia="宋体"/>
                      <w:color w:val="auto"/>
                      <w:sz w:val="21"/>
                      <w:szCs w:val="21"/>
                      <w:lang w:val="en-US" w:eastAsia="zh-CN"/>
                    </w:rPr>
                  </w:pPr>
                  <w:r>
                    <w:rPr>
                      <w:rFonts w:hint="eastAsia"/>
                      <w:color w:val="auto"/>
                      <w:sz w:val="21"/>
                      <w:szCs w:val="21"/>
                      <w:lang w:val="en-US" w:eastAsia="zh-CN"/>
                    </w:rPr>
                    <w:t>6</w:t>
                  </w:r>
                </w:p>
              </w:tc>
              <w:tc>
                <w:tcPr>
                  <w:tcW w:w="1572" w:type="dxa"/>
                  <w:vAlign w:val="center"/>
                </w:tcPr>
                <w:p>
                  <w:pPr>
                    <w:widowControl/>
                    <w:jc w:val="center"/>
                    <w:rPr>
                      <w:rFonts w:hint="eastAsia"/>
                      <w:color w:val="auto"/>
                      <w:kern w:val="0"/>
                      <w:sz w:val="21"/>
                      <w:szCs w:val="21"/>
                      <w:lang w:val="en-US" w:eastAsia="zh-CN"/>
                    </w:rPr>
                  </w:pPr>
                  <w:r>
                    <w:rPr>
                      <w:rFonts w:hint="eastAsia"/>
                      <w:color w:val="auto"/>
                      <w:kern w:val="0"/>
                      <w:sz w:val="21"/>
                      <w:szCs w:val="21"/>
                      <w:lang w:val="en-US" w:eastAsia="zh-CN"/>
                    </w:rPr>
                    <w:t>运输车辆</w:t>
                  </w:r>
                </w:p>
              </w:tc>
              <w:tc>
                <w:tcPr>
                  <w:tcW w:w="931" w:type="dxa"/>
                  <w:vAlign w:val="center"/>
                </w:tcPr>
                <w:p>
                  <w:pPr>
                    <w:widowControl/>
                    <w:jc w:val="center"/>
                    <w:rPr>
                      <w:rFonts w:hint="default"/>
                      <w:color w:val="auto"/>
                      <w:kern w:val="0"/>
                      <w:sz w:val="21"/>
                      <w:szCs w:val="21"/>
                      <w:lang w:val="en-US" w:eastAsia="zh-CN"/>
                    </w:rPr>
                  </w:pPr>
                  <w:r>
                    <w:rPr>
                      <w:rFonts w:hint="eastAsia"/>
                      <w:color w:val="auto"/>
                      <w:kern w:val="0"/>
                      <w:sz w:val="21"/>
                      <w:szCs w:val="21"/>
                      <w:lang w:val="en-US" w:eastAsia="zh-CN"/>
                    </w:rPr>
                    <w:t>/</w:t>
                  </w:r>
                </w:p>
              </w:tc>
              <w:tc>
                <w:tcPr>
                  <w:tcW w:w="1206" w:type="dxa"/>
                  <w:vAlign w:val="center"/>
                </w:tcPr>
                <w:p>
                  <w:pPr>
                    <w:widowControl/>
                    <w:jc w:val="center"/>
                    <w:rPr>
                      <w:rFonts w:hint="default"/>
                      <w:color w:val="auto"/>
                      <w:sz w:val="21"/>
                      <w:szCs w:val="21"/>
                      <w:lang w:val="en-US" w:eastAsia="zh-CN"/>
                    </w:rPr>
                  </w:pPr>
                  <w:r>
                    <w:rPr>
                      <w:rFonts w:hint="eastAsia"/>
                      <w:color w:val="auto"/>
                      <w:sz w:val="21"/>
                      <w:szCs w:val="21"/>
                      <w:lang w:val="en-US" w:eastAsia="zh-CN"/>
                    </w:rPr>
                    <w:t>80</w:t>
                  </w:r>
                </w:p>
              </w:tc>
              <w:tc>
                <w:tcPr>
                  <w:tcW w:w="1022" w:type="dxa"/>
                  <w:vAlign w:val="center"/>
                </w:tcPr>
                <w:p>
                  <w:pPr>
                    <w:adjustRightInd w:val="0"/>
                    <w:snapToGrid w:val="0"/>
                    <w:jc w:val="center"/>
                    <w:rPr>
                      <w:rFonts w:hint="eastAsia"/>
                      <w:color w:val="auto"/>
                      <w:sz w:val="21"/>
                      <w:szCs w:val="21"/>
                    </w:rPr>
                  </w:pPr>
                  <w:r>
                    <w:rPr>
                      <w:rFonts w:hint="eastAsia"/>
                      <w:color w:val="auto"/>
                      <w:sz w:val="21"/>
                      <w:szCs w:val="21"/>
                    </w:rPr>
                    <w:t>20</w:t>
                  </w:r>
                </w:p>
              </w:tc>
              <w:tc>
                <w:tcPr>
                  <w:tcW w:w="968" w:type="dxa"/>
                  <w:vMerge w:val="continue"/>
                  <w:vAlign w:val="center"/>
                </w:tcPr>
                <w:p>
                  <w:pPr>
                    <w:adjustRightInd w:val="0"/>
                    <w:snapToGrid w:val="0"/>
                    <w:jc w:val="center"/>
                    <w:rPr>
                      <w:color w:val="auto"/>
                      <w:sz w:val="21"/>
                      <w:szCs w:val="21"/>
                    </w:rPr>
                  </w:pPr>
                </w:p>
              </w:tc>
              <w:tc>
                <w:tcPr>
                  <w:tcW w:w="976" w:type="dxa"/>
                  <w:vAlign w:val="center"/>
                </w:tcPr>
                <w:p>
                  <w:pPr>
                    <w:widowControl/>
                    <w:jc w:val="center"/>
                    <w:rPr>
                      <w:rFonts w:hint="default"/>
                      <w:color w:val="auto"/>
                      <w:sz w:val="21"/>
                      <w:szCs w:val="21"/>
                      <w:lang w:val="en-US" w:eastAsia="zh-CN"/>
                    </w:rPr>
                  </w:pPr>
                  <w:r>
                    <w:rPr>
                      <w:rFonts w:hint="eastAsia"/>
                      <w:color w:val="auto"/>
                      <w:sz w:val="21"/>
                      <w:szCs w:val="21"/>
                      <w:lang w:val="en-US" w:eastAsia="zh-CN"/>
                    </w:rPr>
                    <w:t>60</w:t>
                  </w:r>
                </w:p>
              </w:tc>
              <w:tc>
                <w:tcPr>
                  <w:tcW w:w="766" w:type="dxa"/>
                  <w:vAlign w:val="center"/>
                </w:tcPr>
                <w:p>
                  <w:pPr>
                    <w:adjustRightInd w:val="0"/>
                    <w:snapToGrid w:val="0"/>
                    <w:jc w:val="center"/>
                    <w:rPr>
                      <w:rFonts w:hint="eastAsia"/>
                      <w:color w:val="auto"/>
                      <w:sz w:val="21"/>
                      <w:szCs w:val="21"/>
                      <w:lang w:val="en-US" w:eastAsia="zh-CN"/>
                    </w:rPr>
                  </w:pPr>
                  <w:r>
                    <w:rPr>
                      <w:rFonts w:hint="eastAsia"/>
                      <w:color w:val="auto"/>
                      <w:sz w:val="21"/>
                      <w:szCs w:val="21"/>
                      <w:lang w:val="en-US" w:eastAsia="zh-CN"/>
                    </w:rPr>
                    <w:t>16h</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rFonts w:ascii="Times New Roman" w:hAnsi="Times New Roman" w:cs="Times New Roman"/>
                <w:b/>
                <w:bCs/>
                <w:kern w:val="0"/>
                <w:sz w:val="24"/>
                <w:lang w:bidi="ar"/>
              </w:rPr>
            </w:pPr>
            <w:r>
              <w:rPr>
                <w:rFonts w:ascii="Times New Roman" w:hAnsi="Times New Roman" w:cs="Times New Roman"/>
                <w:b/>
                <w:bCs/>
                <w:kern w:val="0"/>
                <w:sz w:val="24"/>
                <w:lang w:bidi="ar"/>
              </w:rPr>
              <w:t>厂界和环境保护目标达标情况分析</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根据项目的噪声排放特点，结合《环境影响评价技术导则声环境》（HJ2.4-2009）的要求，预测模式采用“8.4.1 工业噪声预测”计算模式。根据项目噪声源的特征，主要噪声源到接受点的距离超过噪声源最大几何尺寸的2倍，各噪声源可近似作为点声源处理。</w:t>
            </w:r>
          </w:p>
          <w:p>
            <w:pPr>
              <w:spacing w:line="360" w:lineRule="auto"/>
              <w:ind w:firstLine="480" w:firstLineChars="200"/>
              <w:rPr>
                <w:rFonts w:ascii="Times New Roman" w:hAnsi="Times New Roman" w:cs="Times New Roman"/>
                <w:kern w:val="0"/>
                <w:sz w:val="24"/>
                <w:lang w:bidi="ar"/>
              </w:rPr>
            </w:pPr>
            <w:r>
              <w:rPr>
                <w:rFonts w:ascii="Times New Roman" w:hAnsi="Times New Roman" w:cs="Times New Roman"/>
                <w:kern w:val="0"/>
                <w:sz w:val="24"/>
                <w:lang w:bidi="ar"/>
              </w:rPr>
              <w:t>（1）室外声源</w:t>
            </w:r>
          </w:p>
          <w:p>
            <w:pPr>
              <w:spacing w:line="360" w:lineRule="auto"/>
              <w:ind w:firstLine="480" w:firstLineChars="200"/>
              <w:rPr>
                <w:rFonts w:ascii="Times New Roman" w:hAnsi="Times New Roman" w:cs="Times New Roman"/>
                <w:kern w:val="0"/>
                <w:sz w:val="24"/>
                <w:lang w:bidi="ar"/>
              </w:rPr>
            </w:pPr>
            <w:r>
              <w:rPr>
                <w:rFonts w:ascii="Times New Roman" w:hAnsi="Times New Roman" w:cs="Times New Roman"/>
                <w:kern w:val="0"/>
                <w:sz w:val="24"/>
                <w:lang w:bidi="ar"/>
              </w:rPr>
              <w:t>已知靠近声源某一参考位置处的声级时，单个室外的点声源在预测点产生的声级贡献值计算基本公式为：</w:t>
            </w:r>
          </w:p>
          <w:p>
            <w:pPr>
              <w:spacing w:line="360" w:lineRule="auto"/>
              <w:ind w:firstLine="480" w:firstLineChars="200"/>
              <w:jc w:val="center"/>
              <w:rPr>
                <w:rFonts w:ascii="Times New Roman" w:hAnsi="Times New Roman" w:cs="Times New Roman"/>
                <w:kern w:val="0"/>
                <w:sz w:val="24"/>
                <w:lang w:bidi="ar"/>
              </w:rPr>
            </w:pPr>
            <w:r>
              <w:rPr>
                <w:rFonts w:ascii="Times New Roman" w:hAnsi="Times New Roman" w:cs="Times New Roman"/>
                <w:sz w:val="24"/>
              </w:rPr>
              <w:drawing>
                <wp:inline distT="0" distB="0" distL="114300" distR="114300">
                  <wp:extent cx="2273935" cy="551180"/>
                  <wp:effectExtent l="0" t="0" r="12065" b="127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4"/>
                          <a:stretch>
                            <a:fillRect/>
                          </a:stretch>
                        </pic:blipFill>
                        <pic:spPr>
                          <a:xfrm>
                            <a:off x="0" y="0"/>
                            <a:ext cx="2273935" cy="551180"/>
                          </a:xfrm>
                          <a:prstGeom prst="rect">
                            <a:avLst/>
                          </a:prstGeom>
                          <a:noFill/>
                          <a:ln>
                            <a:noFill/>
                          </a:ln>
                        </pic:spPr>
                      </pic:pic>
                    </a:graphicData>
                  </a:graphic>
                </wp:inline>
              </w:drawing>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式中：Lp(r)——预测点（r）处的倍频带声压级，dB；</w:t>
            </w:r>
          </w:p>
          <w:p>
            <w:pPr>
              <w:adjustRightInd w:val="0"/>
              <w:snapToGrid w:val="0"/>
              <w:spacing w:line="360" w:lineRule="auto"/>
              <w:ind w:firstLine="1200" w:firstLineChars="500"/>
              <w:rPr>
                <w:rFonts w:ascii="Times New Roman" w:hAnsi="Times New Roman" w:cs="Times New Roman"/>
                <w:bCs/>
                <w:sz w:val="24"/>
              </w:rPr>
            </w:pPr>
            <w:r>
              <w:rPr>
                <w:rFonts w:ascii="Times New Roman" w:hAnsi="Times New Roman" w:cs="Times New Roman"/>
                <w:bCs/>
                <w:sz w:val="24"/>
              </w:rPr>
              <w:t>Lp(r0)——靠近声源处r0点的倍频带声压，dB；</w:t>
            </w:r>
          </w:p>
          <w:p>
            <w:pPr>
              <w:adjustRightInd w:val="0"/>
              <w:snapToGrid w:val="0"/>
              <w:spacing w:line="360" w:lineRule="auto"/>
              <w:ind w:firstLine="1200" w:firstLineChars="500"/>
              <w:rPr>
                <w:rFonts w:ascii="Times New Roman" w:hAnsi="Times New Roman" w:cs="Times New Roman"/>
                <w:bCs/>
                <w:sz w:val="24"/>
              </w:rPr>
            </w:pPr>
            <w:r>
              <w:rPr>
                <w:rFonts w:ascii="Times New Roman" w:hAnsi="Times New Roman" w:cs="Times New Roman"/>
                <w:bCs/>
                <w:sz w:val="24"/>
              </w:rPr>
              <w:t>A——倍频带衰减，dB；</w:t>
            </w:r>
          </w:p>
          <w:p>
            <w:pPr>
              <w:adjustRightInd w:val="0"/>
              <w:snapToGrid w:val="0"/>
              <w:spacing w:line="360" w:lineRule="auto"/>
              <w:ind w:firstLine="1200" w:firstLineChars="500"/>
              <w:rPr>
                <w:rFonts w:ascii="Times New Roman" w:hAnsi="Times New Roman" w:cs="Times New Roman"/>
                <w:bCs/>
                <w:sz w:val="24"/>
              </w:rPr>
            </w:pPr>
            <w:r>
              <w:rPr>
                <w:rFonts w:ascii="Times New Roman" w:hAnsi="Times New Roman" w:cs="Times New Roman"/>
                <w:bCs/>
                <w:sz w:val="24"/>
              </w:rPr>
              <w:t>Adiv——几何发散引起的倍频带衰减，dB；</w:t>
            </w:r>
          </w:p>
          <w:p>
            <w:pPr>
              <w:adjustRightInd w:val="0"/>
              <w:snapToGrid w:val="0"/>
              <w:spacing w:line="360" w:lineRule="auto"/>
              <w:ind w:firstLine="1200" w:firstLineChars="500"/>
              <w:rPr>
                <w:rFonts w:ascii="Times New Roman" w:hAnsi="Times New Roman" w:cs="Times New Roman"/>
                <w:bCs/>
                <w:sz w:val="24"/>
              </w:rPr>
            </w:pPr>
            <w:r>
              <w:rPr>
                <w:rFonts w:ascii="Times New Roman" w:hAnsi="Times New Roman" w:cs="Times New Roman"/>
                <w:bCs/>
                <w:sz w:val="24"/>
              </w:rPr>
              <w:t>Aatm——大气吸收引起的倍频带衰减，dB；</w:t>
            </w:r>
          </w:p>
          <w:p>
            <w:pPr>
              <w:adjustRightInd w:val="0"/>
              <w:snapToGrid w:val="0"/>
              <w:spacing w:line="360" w:lineRule="auto"/>
              <w:ind w:firstLine="1200" w:firstLineChars="500"/>
              <w:rPr>
                <w:rFonts w:ascii="Times New Roman" w:hAnsi="Times New Roman" w:cs="Times New Roman"/>
                <w:bCs/>
                <w:sz w:val="24"/>
              </w:rPr>
            </w:pPr>
            <w:r>
              <w:rPr>
                <w:rFonts w:ascii="Times New Roman" w:hAnsi="Times New Roman" w:cs="Times New Roman"/>
                <w:bCs/>
                <w:sz w:val="24"/>
              </w:rPr>
              <w:t>Agr——地面效应引起的倍频带衰减，dB；</w:t>
            </w:r>
          </w:p>
          <w:p>
            <w:pPr>
              <w:adjustRightInd w:val="0"/>
              <w:snapToGrid w:val="0"/>
              <w:spacing w:line="360" w:lineRule="auto"/>
              <w:ind w:firstLine="1200" w:firstLineChars="500"/>
              <w:rPr>
                <w:rFonts w:ascii="Times New Roman" w:hAnsi="Times New Roman" w:cs="Times New Roman"/>
                <w:bCs/>
                <w:sz w:val="24"/>
              </w:rPr>
            </w:pPr>
            <w:r>
              <w:rPr>
                <w:rFonts w:ascii="Times New Roman" w:hAnsi="Times New Roman" w:cs="Times New Roman"/>
                <w:bCs/>
                <w:sz w:val="24"/>
              </w:rPr>
              <w:t>Abar—— 声屏障引起的倍频带衰减，dB；</w:t>
            </w:r>
          </w:p>
          <w:p>
            <w:pPr>
              <w:adjustRightInd w:val="0"/>
              <w:snapToGrid w:val="0"/>
              <w:spacing w:line="360" w:lineRule="auto"/>
              <w:ind w:firstLine="1200" w:firstLineChars="500"/>
              <w:rPr>
                <w:rFonts w:ascii="Times New Roman" w:hAnsi="Times New Roman" w:cs="Times New Roman"/>
                <w:bCs/>
                <w:sz w:val="24"/>
              </w:rPr>
            </w:pPr>
            <w:r>
              <w:rPr>
                <w:rFonts w:ascii="Times New Roman" w:hAnsi="Times New Roman" w:cs="Times New Roman"/>
                <w:bCs/>
                <w:sz w:val="24"/>
              </w:rPr>
              <w:t>Amisc——其他多方面效应引起的倍频带衰减，dB。</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为保守起见，本次预测仅考虑声波几何发散衰减，公式简化如下：</w:t>
            </w:r>
          </w:p>
          <w:p>
            <w:pPr>
              <w:adjustRightInd w:val="0"/>
              <w:snapToGrid w:val="0"/>
              <w:spacing w:line="360" w:lineRule="auto"/>
              <w:ind w:firstLine="480" w:firstLineChars="200"/>
              <w:jc w:val="center"/>
              <w:rPr>
                <w:rFonts w:ascii="Times New Roman" w:hAnsi="Times New Roman" w:cs="Times New Roman"/>
                <w:bCs/>
                <w:sz w:val="24"/>
              </w:rPr>
            </w:pPr>
            <w:r>
              <w:rPr>
                <w:rFonts w:ascii="Times New Roman" w:hAnsi="Times New Roman" w:cs="Times New Roman"/>
                <w:sz w:val="24"/>
              </w:rPr>
              <w:drawing>
                <wp:inline distT="0" distB="0" distL="114300" distR="114300">
                  <wp:extent cx="1961515" cy="539750"/>
                  <wp:effectExtent l="0" t="0" r="635" b="1270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5"/>
                          <a:stretch>
                            <a:fillRect/>
                          </a:stretch>
                        </pic:blipFill>
                        <pic:spPr>
                          <a:xfrm>
                            <a:off x="0" y="0"/>
                            <a:ext cx="1961515" cy="539750"/>
                          </a:xfrm>
                          <a:prstGeom prst="rect">
                            <a:avLst/>
                          </a:prstGeom>
                          <a:noFill/>
                          <a:ln>
                            <a:noFill/>
                          </a:ln>
                        </pic:spPr>
                      </pic:pic>
                    </a:graphicData>
                  </a:graphic>
                </wp:inline>
              </w:drawing>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（2）室内声源</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对室内噪声源采用等效室外声源声功率级法进行计算。设靠近开口处（或窗户）室内、室外某倍频带的声压级分别为Lp1和Lp2。若声源所在室内声场为近似扩散声场，则室外的倍频带声压级可按下式近似求出：</w:t>
            </w:r>
          </w:p>
          <w:p>
            <w:pPr>
              <w:adjustRightInd w:val="0"/>
              <w:snapToGrid w:val="0"/>
              <w:spacing w:line="360" w:lineRule="auto"/>
              <w:ind w:firstLine="480" w:firstLineChars="200"/>
              <w:jc w:val="center"/>
              <w:rPr>
                <w:rFonts w:ascii="Times New Roman" w:hAnsi="Times New Roman" w:cs="Times New Roman"/>
                <w:bCs/>
                <w:sz w:val="24"/>
              </w:rPr>
            </w:pPr>
            <w:r>
              <w:rPr>
                <w:rFonts w:ascii="Times New Roman" w:hAnsi="Times New Roman" w:cs="Times New Roman"/>
                <w:sz w:val="24"/>
              </w:rPr>
              <w:drawing>
                <wp:inline distT="0" distB="0" distL="114300" distR="114300">
                  <wp:extent cx="1653540" cy="328930"/>
                  <wp:effectExtent l="0" t="0" r="3810" b="1397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6"/>
                          <a:stretch>
                            <a:fillRect/>
                          </a:stretch>
                        </pic:blipFill>
                        <pic:spPr>
                          <a:xfrm>
                            <a:off x="0" y="0"/>
                            <a:ext cx="1653540" cy="328930"/>
                          </a:xfrm>
                          <a:prstGeom prst="rect">
                            <a:avLst/>
                          </a:prstGeom>
                          <a:noFill/>
                          <a:ln>
                            <a:noFill/>
                          </a:ln>
                        </pic:spPr>
                      </pic:pic>
                    </a:graphicData>
                  </a:graphic>
                </wp:inline>
              </w:drawing>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式中：TL—隔墙（或窗户）倍频带的隔声量，dB(A)。</w:t>
            </w:r>
          </w:p>
          <w:p>
            <w:pPr>
              <w:adjustRightInd w:val="0"/>
              <w:snapToGrid w:val="0"/>
              <w:spacing w:line="360" w:lineRule="auto"/>
              <w:ind w:firstLine="480" w:firstLineChars="200"/>
              <w:jc w:val="center"/>
              <w:rPr>
                <w:rFonts w:ascii="Times New Roman" w:hAnsi="Times New Roman" w:cs="Times New Roman"/>
                <w:bCs/>
                <w:sz w:val="24"/>
              </w:rPr>
            </w:pPr>
            <w:r>
              <w:rPr>
                <w:rFonts w:ascii="Times New Roman" w:hAnsi="Times New Roman" w:cs="Times New Roman"/>
                <w:sz w:val="24"/>
              </w:rPr>
              <w:drawing>
                <wp:inline distT="0" distB="0" distL="114300" distR="114300">
                  <wp:extent cx="3131820" cy="1565910"/>
                  <wp:effectExtent l="0" t="0" r="11430" b="152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7"/>
                          <a:stretch>
                            <a:fillRect/>
                          </a:stretch>
                        </pic:blipFill>
                        <pic:spPr>
                          <a:xfrm>
                            <a:off x="0" y="0"/>
                            <a:ext cx="3131820" cy="1565910"/>
                          </a:xfrm>
                          <a:prstGeom prst="rect">
                            <a:avLst/>
                          </a:prstGeom>
                          <a:noFill/>
                          <a:ln>
                            <a:noFill/>
                          </a:ln>
                        </pic:spPr>
                      </pic:pic>
                    </a:graphicData>
                  </a:graphic>
                </wp:inline>
              </w:drawing>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也可按照下式计算某一室内声源靠近围护结构处产生的倍频带声压级：</w:t>
            </w:r>
          </w:p>
          <w:p>
            <w:pPr>
              <w:adjustRightInd w:val="0"/>
              <w:snapToGrid w:val="0"/>
              <w:spacing w:line="360" w:lineRule="auto"/>
              <w:ind w:firstLine="480" w:firstLineChars="200"/>
              <w:jc w:val="center"/>
              <w:rPr>
                <w:rFonts w:ascii="Times New Roman" w:hAnsi="Times New Roman" w:cs="Times New Roman"/>
                <w:bCs/>
                <w:sz w:val="24"/>
              </w:rPr>
            </w:pPr>
            <w:r>
              <w:rPr>
                <w:rFonts w:ascii="Times New Roman" w:hAnsi="Times New Roman" w:cs="Times New Roman"/>
                <w:sz w:val="24"/>
              </w:rPr>
              <w:drawing>
                <wp:inline distT="0" distB="0" distL="114300" distR="114300">
                  <wp:extent cx="1934845" cy="495300"/>
                  <wp:effectExtent l="0" t="0" r="8255" b="0"/>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18"/>
                          <a:stretch>
                            <a:fillRect/>
                          </a:stretch>
                        </pic:blipFill>
                        <pic:spPr>
                          <a:xfrm>
                            <a:off x="0" y="0"/>
                            <a:ext cx="1934845" cy="495300"/>
                          </a:xfrm>
                          <a:prstGeom prst="rect">
                            <a:avLst/>
                          </a:prstGeom>
                          <a:noFill/>
                          <a:ln>
                            <a:noFill/>
                          </a:ln>
                        </pic:spPr>
                      </pic:pic>
                    </a:graphicData>
                  </a:graphic>
                </wp:inline>
              </w:drawing>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式中：Q——指向性因数；通常对无指向性声源，当声源放在房间中心时，Q=1；当入在一面墙的中心时，Q=2；当放在两面墙夹角处时，Q=4；当放在三面墙夹角处时，Q=8；</w:t>
            </w:r>
          </w:p>
          <w:p>
            <w:pPr>
              <w:adjustRightInd w:val="0"/>
              <w:snapToGrid w:val="0"/>
              <w:spacing w:line="360" w:lineRule="auto"/>
              <w:ind w:firstLine="1200" w:firstLineChars="500"/>
              <w:rPr>
                <w:rFonts w:ascii="Times New Roman" w:hAnsi="Times New Roman" w:cs="Times New Roman"/>
                <w:bCs/>
                <w:sz w:val="24"/>
              </w:rPr>
            </w:pPr>
            <w:r>
              <w:rPr>
                <w:rFonts w:ascii="Times New Roman" w:hAnsi="Times New Roman" w:cs="Times New Roman"/>
                <w:bCs/>
                <w:sz w:val="24"/>
              </w:rPr>
              <w:t>R——房间常数；R=Sα/(1−α)，S为房间内表面面积，m</w:t>
            </w:r>
            <w:r>
              <w:rPr>
                <w:rFonts w:ascii="Times New Roman" w:hAnsi="Times New Roman" w:cs="Times New Roman"/>
                <w:bCs/>
                <w:sz w:val="24"/>
                <w:vertAlign w:val="superscript"/>
              </w:rPr>
              <w:t>2</w:t>
            </w:r>
            <w:r>
              <w:rPr>
                <w:rFonts w:ascii="Times New Roman" w:hAnsi="Times New Roman" w:cs="Times New Roman"/>
                <w:bCs/>
                <w:sz w:val="24"/>
              </w:rPr>
              <w:t>；α为平均吸声系数；</w:t>
            </w:r>
          </w:p>
          <w:p>
            <w:pPr>
              <w:adjustRightInd w:val="0"/>
              <w:snapToGrid w:val="0"/>
              <w:spacing w:line="360" w:lineRule="auto"/>
              <w:ind w:firstLine="1200" w:firstLineChars="500"/>
              <w:rPr>
                <w:rFonts w:ascii="Times New Roman" w:hAnsi="Times New Roman" w:cs="Times New Roman"/>
                <w:bCs/>
                <w:sz w:val="24"/>
              </w:rPr>
            </w:pPr>
            <w:r>
              <w:rPr>
                <w:rFonts w:ascii="Times New Roman" w:hAnsi="Times New Roman" w:cs="Times New Roman"/>
                <w:bCs/>
                <w:sz w:val="24"/>
              </w:rPr>
              <w:t>r——声源到靠近围护结构某点处的距离，m。</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所有室内声源在围护结构处产生的i倍频带叠加声压级的计算：</w:t>
            </w:r>
          </w:p>
          <w:p>
            <w:pPr>
              <w:adjustRightInd w:val="0"/>
              <w:snapToGrid w:val="0"/>
              <w:spacing w:line="360" w:lineRule="auto"/>
              <w:ind w:firstLine="480" w:firstLineChars="200"/>
              <w:jc w:val="center"/>
              <w:rPr>
                <w:rFonts w:ascii="Times New Roman" w:hAnsi="Times New Roman" w:cs="Times New Roman"/>
                <w:bCs/>
                <w:sz w:val="24"/>
              </w:rPr>
            </w:pPr>
            <w:r>
              <w:rPr>
                <w:rFonts w:ascii="Times New Roman" w:hAnsi="Times New Roman" w:cs="Times New Roman"/>
                <w:sz w:val="24"/>
              </w:rPr>
              <w:drawing>
                <wp:inline distT="0" distB="0" distL="114300" distR="114300">
                  <wp:extent cx="1835785" cy="518160"/>
                  <wp:effectExtent l="0" t="0" r="12065" b="1524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9"/>
                          <a:stretch>
                            <a:fillRect/>
                          </a:stretch>
                        </pic:blipFill>
                        <pic:spPr>
                          <a:xfrm>
                            <a:off x="0" y="0"/>
                            <a:ext cx="1835785" cy="518160"/>
                          </a:xfrm>
                          <a:prstGeom prst="rect">
                            <a:avLst/>
                          </a:prstGeom>
                          <a:noFill/>
                          <a:ln>
                            <a:noFill/>
                          </a:ln>
                        </pic:spPr>
                      </pic:pic>
                    </a:graphicData>
                  </a:graphic>
                </wp:inline>
              </w:drawing>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式中：LP1,i（T）——靠近围护结构处室内N个声源i倍频带的叠加声压级，dB；</w:t>
            </w:r>
          </w:p>
          <w:p>
            <w:pPr>
              <w:adjustRightInd w:val="0"/>
              <w:snapToGrid w:val="0"/>
              <w:spacing w:line="360" w:lineRule="auto"/>
              <w:ind w:firstLine="1200" w:firstLineChars="500"/>
              <w:rPr>
                <w:rFonts w:ascii="Times New Roman" w:hAnsi="Times New Roman" w:cs="Times New Roman"/>
                <w:bCs/>
                <w:sz w:val="24"/>
              </w:rPr>
            </w:pPr>
            <w:r>
              <w:rPr>
                <w:rFonts w:ascii="Times New Roman" w:hAnsi="Times New Roman" w:cs="Times New Roman"/>
                <w:bCs/>
                <w:sz w:val="24"/>
              </w:rPr>
              <w:t>LP1,j——室内j声源i倍频带的声压级，dB；</w:t>
            </w:r>
          </w:p>
          <w:p>
            <w:pPr>
              <w:adjustRightInd w:val="0"/>
              <w:snapToGrid w:val="0"/>
              <w:spacing w:line="360" w:lineRule="auto"/>
              <w:ind w:firstLine="1200" w:firstLineChars="500"/>
              <w:rPr>
                <w:rFonts w:ascii="Times New Roman" w:hAnsi="Times New Roman" w:cs="Times New Roman"/>
                <w:bCs/>
                <w:sz w:val="24"/>
              </w:rPr>
            </w:pPr>
            <w:r>
              <w:rPr>
                <w:rFonts w:ascii="Times New Roman" w:hAnsi="Times New Roman" w:cs="Times New Roman"/>
                <w:bCs/>
                <w:sz w:val="24"/>
              </w:rPr>
              <w:t>N——室内声源总数；</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在室内近似为扩散声场时，按下式计算出靠近室外围护结构处的声压级：</w:t>
            </w:r>
          </w:p>
          <w:p>
            <w:pPr>
              <w:adjustRightInd w:val="0"/>
              <w:snapToGrid w:val="0"/>
              <w:spacing w:line="360" w:lineRule="auto"/>
              <w:ind w:firstLine="480" w:firstLineChars="200"/>
              <w:jc w:val="center"/>
              <w:rPr>
                <w:rFonts w:ascii="Times New Roman" w:hAnsi="Times New Roman" w:cs="Times New Roman"/>
                <w:bCs/>
                <w:sz w:val="24"/>
              </w:rPr>
            </w:pPr>
            <w:r>
              <w:rPr>
                <w:rFonts w:ascii="Times New Roman" w:hAnsi="Times New Roman" w:cs="Times New Roman"/>
                <w:sz w:val="24"/>
              </w:rPr>
              <w:drawing>
                <wp:inline distT="0" distB="0" distL="114300" distR="114300">
                  <wp:extent cx="2029460" cy="321310"/>
                  <wp:effectExtent l="0" t="0" r="8890" b="254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20"/>
                          <a:stretch>
                            <a:fillRect/>
                          </a:stretch>
                        </pic:blipFill>
                        <pic:spPr>
                          <a:xfrm>
                            <a:off x="0" y="0"/>
                            <a:ext cx="2029460" cy="321310"/>
                          </a:xfrm>
                          <a:prstGeom prst="rect">
                            <a:avLst/>
                          </a:prstGeom>
                          <a:noFill/>
                          <a:ln>
                            <a:noFill/>
                          </a:ln>
                        </pic:spPr>
                      </pic:pic>
                    </a:graphicData>
                  </a:graphic>
                </wp:inline>
              </w:drawing>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式中：LP2,i（T）——靠近围护结构处室外N个声源i倍频带的叠加声压级，dB；</w:t>
            </w:r>
          </w:p>
          <w:p>
            <w:pPr>
              <w:adjustRightInd w:val="0"/>
              <w:snapToGrid w:val="0"/>
              <w:spacing w:line="360" w:lineRule="auto"/>
              <w:ind w:firstLine="1200" w:firstLineChars="500"/>
              <w:rPr>
                <w:rFonts w:ascii="Times New Roman" w:hAnsi="Times New Roman" w:cs="Times New Roman"/>
                <w:bCs/>
                <w:sz w:val="24"/>
              </w:rPr>
            </w:pPr>
            <w:r>
              <w:rPr>
                <w:rFonts w:ascii="Times New Roman" w:hAnsi="Times New Roman" w:cs="Times New Roman"/>
                <w:bCs/>
                <w:sz w:val="24"/>
              </w:rPr>
              <w:t>TLi——围护结构i倍频带的隔声量，dB；</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将室外声源的声压级和透过面积换算成等效的室外声源，计算出中心位置于透声面积（S）处的等效声源的倍频带声功率级，见下式：</w:t>
            </w:r>
          </w:p>
          <w:p>
            <w:pPr>
              <w:adjustRightInd w:val="0"/>
              <w:snapToGrid w:val="0"/>
              <w:spacing w:line="360" w:lineRule="auto"/>
              <w:ind w:firstLine="480" w:firstLineChars="200"/>
              <w:jc w:val="center"/>
              <w:rPr>
                <w:rFonts w:ascii="Times New Roman" w:hAnsi="Times New Roman" w:cs="Times New Roman"/>
                <w:bCs/>
                <w:sz w:val="24"/>
              </w:rPr>
            </w:pPr>
            <w:r>
              <w:rPr>
                <w:rFonts w:ascii="Times New Roman" w:hAnsi="Times New Roman" w:cs="Times New Roman"/>
                <w:sz w:val="24"/>
              </w:rPr>
              <w:drawing>
                <wp:inline distT="0" distB="0" distL="114300" distR="114300">
                  <wp:extent cx="1623695" cy="257175"/>
                  <wp:effectExtent l="0" t="0" r="14605" b="9525"/>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21"/>
                          <a:stretch>
                            <a:fillRect/>
                          </a:stretch>
                        </pic:blipFill>
                        <pic:spPr>
                          <a:xfrm>
                            <a:off x="0" y="0"/>
                            <a:ext cx="1623695" cy="257175"/>
                          </a:xfrm>
                          <a:prstGeom prst="rect">
                            <a:avLst/>
                          </a:prstGeom>
                          <a:noFill/>
                          <a:ln>
                            <a:noFill/>
                          </a:ln>
                        </pic:spPr>
                      </pic:pic>
                    </a:graphicData>
                  </a:graphic>
                </wp:inline>
              </w:drawing>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然后按室外声源预测方法计算预测点处的A声级。</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（3）计算总声压级</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①多声源声压级的叠加</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对两个以上多个声源同时存在时，多点源叠加计算总源强，采用如下公式：</w:t>
            </w:r>
          </w:p>
          <w:p>
            <w:pPr>
              <w:adjustRightInd w:val="0"/>
              <w:snapToGrid w:val="0"/>
              <w:spacing w:line="360" w:lineRule="auto"/>
              <w:ind w:firstLine="480" w:firstLineChars="200"/>
              <w:jc w:val="center"/>
              <w:rPr>
                <w:rFonts w:ascii="Times New Roman" w:hAnsi="Times New Roman" w:cs="Times New Roman"/>
                <w:bCs/>
                <w:sz w:val="24"/>
              </w:rPr>
            </w:pPr>
            <w:r>
              <w:rPr>
                <w:rFonts w:ascii="Times New Roman" w:hAnsi="Times New Roman" w:cs="Times New Roman"/>
                <w:sz w:val="24"/>
              </w:rPr>
              <w:drawing>
                <wp:inline distT="0" distB="0" distL="114300" distR="114300">
                  <wp:extent cx="2465705" cy="454660"/>
                  <wp:effectExtent l="0" t="0" r="10795" b="254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22"/>
                          <a:stretch>
                            <a:fillRect/>
                          </a:stretch>
                        </pic:blipFill>
                        <pic:spPr>
                          <a:xfrm>
                            <a:off x="0" y="0"/>
                            <a:ext cx="2465705" cy="454660"/>
                          </a:xfrm>
                          <a:prstGeom prst="rect">
                            <a:avLst/>
                          </a:prstGeom>
                          <a:noFill/>
                          <a:ln>
                            <a:noFill/>
                          </a:ln>
                        </pic:spPr>
                      </pic:pic>
                    </a:graphicData>
                  </a:graphic>
                </wp:inline>
              </w:drawing>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式中：Leqg——建设项目声源在预测点的等效声级贡献值，dB(A)；</w:t>
            </w:r>
          </w:p>
          <w:p>
            <w:pPr>
              <w:adjustRightInd w:val="0"/>
              <w:snapToGrid w:val="0"/>
              <w:spacing w:line="360" w:lineRule="auto"/>
              <w:ind w:firstLine="1200" w:firstLineChars="500"/>
              <w:rPr>
                <w:rFonts w:ascii="Times New Roman" w:hAnsi="Times New Roman" w:cs="Times New Roman"/>
                <w:bCs/>
                <w:sz w:val="24"/>
              </w:rPr>
            </w:pPr>
            <w:r>
              <w:rPr>
                <w:rFonts w:ascii="Times New Roman" w:hAnsi="Times New Roman" w:cs="Times New Roman"/>
                <w:bCs/>
                <w:sz w:val="24"/>
              </w:rPr>
              <w:t>LAi——第i个室外声源在预测点产生的A声级，dB(A)；</w:t>
            </w:r>
          </w:p>
          <w:p>
            <w:pPr>
              <w:adjustRightInd w:val="0"/>
              <w:snapToGrid w:val="0"/>
              <w:spacing w:line="360" w:lineRule="auto"/>
              <w:ind w:firstLine="1200" w:firstLineChars="500"/>
              <w:rPr>
                <w:rFonts w:ascii="Times New Roman" w:hAnsi="Times New Roman" w:cs="Times New Roman"/>
                <w:bCs/>
                <w:sz w:val="24"/>
              </w:rPr>
            </w:pPr>
            <w:r>
              <w:rPr>
                <w:rFonts w:ascii="Times New Roman" w:hAnsi="Times New Roman" w:cs="Times New Roman"/>
                <w:bCs/>
                <w:sz w:val="24"/>
              </w:rPr>
              <w:t>LAj——第j个等效室外声源在预测点产生的A声级，dB(A)；</w:t>
            </w:r>
          </w:p>
          <w:p>
            <w:pPr>
              <w:adjustRightInd w:val="0"/>
              <w:snapToGrid w:val="0"/>
              <w:spacing w:line="360" w:lineRule="auto"/>
              <w:ind w:firstLine="1200" w:firstLineChars="500"/>
              <w:rPr>
                <w:rFonts w:ascii="Times New Roman" w:hAnsi="Times New Roman" w:cs="Times New Roman"/>
                <w:bCs/>
                <w:sz w:val="24"/>
              </w:rPr>
            </w:pPr>
            <w:r>
              <w:rPr>
                <w:rFonts w:ascii="Times New Roman" w:hAnsi="Times New Roman" w:cs="Times New Roman"/>
                <w:bCs/>
                <w:sz w:val="24"/>
              </w:rPr>
              <w:t>tj——在T时间内j声源工作时间，S；</w:t>
            </w:r>
          </w:p>
          <w:p>
            <w:pPr>
              <w:adjustRightInd w:val="0"/>
              <w:snapToGrid w:val="0"/>
              <w:spacing w:line="360" w:lineRule="auto"/>
              <w:ind w:firstLine="1200" w:firstLineChars="500"/>
              <w:rPr>
                <w:rFonts w:ascii="Times New Roman" w:hAnsi="Times New Roman" w:cs="Times New Roman"/>
                <w:bCs/>
                <w:sz w:val="24"/>
              </w:rPr>
            </w:pPr>
            <w:r>
              <w:rPr>
                <w:rFonts w:ascii="Times New Roman" w:hAnsi="Times New Roman" w:cs="Times New Roman"/>
                <w:bCs/>
                <w:sz w:val="24"/>
              </w:rPr>
              <w:t>ti——在T时间内i声源工作时间，S；</w:t>
            </w:r>
          </w:p>
          <w:p>
            <w:pPr>
              <w:adjustRightInd w:val="0"/>
              <w:snapToGrid w:val="0"/>
              <w:spacing w:line="360" w:lineRule="auto"/>
              <w:ind w:firstLine="1320" w:firstLineChars="600"/>
              <w:rPr>
                <w:rFonts w:ascii="Times New Roman" w:hAnsi="Times New Roman" w:cs="Times New Roman"/>
                <w:bCs/>
                <w:spacing w:val="-10"/>
                <w:sz w:val="24"/>
              </w:rPr>
            </w:pPr>
            <w:r>
              <w:rPr>
                <w:rFonts w:ascii="Times New Roman" w:hAnsi="Times New Roman" w:cs="Times New Roman"/>
                <w:bCs/>
                <w:spacing w:val="-10"/>
                <w:sz w:val="24"/>
              </w:rPr>
              <w:t>T——用于计算等效声级的时间，S；</w:t>
            </w:r>
          </w:p>
          <w:p>
            <w:pPr>
              <w:adjustRightInd w:val="0"/>
              <w:snapToGrid w:val="0"/>
              <w:spacing w:line="360" w:lineRule="auto"/>
              <w:ind w:firstLine="1320" w:firstLineChars="600"/>
              <w:rPr>
                <w:rFonts w:ascii="Times New Roman" w:hAnsi="Times New Roman" w:cs="Times New Roman"/>
                <w:bCs/>
                <w:spacing w:val="-10"/>
                <w:sz w:val="24"/>
              </w:rPr>
            </w:pPr>
            <w:r>
              <w:rPr>
                <w:rFonts w:ascii="Times New Roman" w:hAnsi="Times New Roman" w:cs="Times New Roman"/>
                <w:bCs/>
                <w:spacing w:val="-10"/>
                <w:sz w:val="24"/>
              </w:rPr>
              <w:t>N——室外声源个数；</w:t>
            </w:r>
          </w:p>
          <w:p>
            <w:pPr>
              <w:adjustRightInd w:val="0"/>
              <w:snapToGrid w:val="0"/>
              <w:spacing w:line="360" w:lineRule="auto"/>
              <w:ind w:firstLine="1320" w:firstLineChars="600"/>
              <w:rPr>
                <w:rFonts w:ascii="Times New Roman" w:hAnsi="Times New Roman" w:cs="Times New Roman"/>
                <w:bCs/>
                <w:spacing w:val="-10"/>
                <w:sz w:val="24"/>
              </w:rPr>
            </w:pPr>
            <w:r>
              <w:rPr>
                <w:rFonts w:ascii="Times New Roman" w:hAnsi="Times New Roman" w:cs="Times New Roman"/>
                <w:bCs/>
                <w:spacing w:val="-10"/>
                <w:sz w:val="24"/>
              </w:rPr>
              <w:t>M——等效室外声源个数。</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②预测点的噪声预测值</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为预测项目噪声源对周围声环境的影响情况，首先预测噪声源随距离的衰减，然后将噪声源产生的噪声值与区域噪声背景值叠加，即可以预测不同距离的噪声值。叠加公式为：</w:t>
            </w:r>
          </w:p>
          <w:p>
            <w:pPr>
              <w:adjustRightInd w:val="0"/>
              <w:snapToGrid w:val="0"/>
              <w:spacing w:line="360" w:lineRule="auto"/>
              <w:ind w:firstLine="480" w:firstLineChars="200"/>
              <w:jc w:val="center"/>
              <w:rPr>
                <w:rFonts w:ascii="Times New Roman" w:hAnsi="Times New Roman" w:cs="Times New Roman"/>
                <w:bCs/>
                <w:spacing w:val="-10"/>
                <w:sz w:val="24"/>
              </w:rPr>
            </w:pPr>
            <w:r>
              <w:rPr>
                <w:rFonts w:ascii="Times New Roman" w:hAnsi="Times New Roman" w:cs="Times New Roman"/>
                <w:sz w:val="24"/>
              </w:rPr>
              <w:drawing>
                <wp:inline distT="0" distB="0" distL="114300" distR="114300">
                  <wp:extent cx="2040890" cy="364490"/>
                  <wp:effectExtent l="0" t="0" r="16510" b="16510"/>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1"/>
                          </pic:cNvPicPr>
                        </pic:nvPicPr>
                        <pic:blipFill>
                          <a:blip r:embed="rId23"/>
                          <a:stretch>
                            <a:fillRect/>
                          </a:stretch>
                        </pic:blipFill>
                        <pic:spPr>
                          <a:xfrm>
                            <a:off x="0" y="0"/>
                            <a:ext cx="2040890" cy="364490"/>
                          </a:xfrm>
                          <a:prstGeom prst="rect">
                            <a:avLst/>
                          </a:prstGeom>
                          <a:noFill/>
                          <a:ln>
                            <a:noFill/>
                          </a:ln>
                        </pic:spPr>
                      </pic:pic>
                    </a:graphicData>
                  </a:graphic>
                </wp:inline>
              </w:drawing>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式中：Leq——预测等效声级，dB(A)；</w:t>
            </w:r>
          </w:p>
          <w:p>
            <w:pPr>
              <w:adjustRightInd w:val="0"/>
              <w:snapToGrid w:val="0"/>
              <w:spacing w:line="360" w:lineRule="auto"/>
              <w:ind w:firstLine="1200" w:firstLineChars="500"/>
              <w:rPr>
                <w:rFonts w:ascii="Times New Roman" w:hAnsi="Times New Roman" w:cs="Times New Roman"/>
                <w:bCs/>
                <w:sz w:val="24"/>
              </w:rPr>
            </w:pPr>
            <w:r>
              <w:rPr>
                <w:rFonts w:ascii="Times New Roman" w:hAnsi="Times New Roman" w:cs="Times New Roman"/>
                <w:bCs/>
                <w:sz w:val="24"/>
              </w:rPr>
              <w:t>Leqg——建设项目声源在预测点的等效声级贡献值，dB(A)；</w:t>
            </w:r>
          </w:p>
          <w:p>
            <w:pPr>
              <w:adjustRightInd w:val="0"/>
              <w:snapToGrid w:val="0"/>
              <w:spacing w:line="360" w:lineRule="auto"/>
              <w:ind w:firstLine="1200" w:firstLineChars="500"/>
              <w:rPr>
                <w:rFonts w:ascii="Times New Roman" w:hAnsi="Times New Roman" w:cs="Times New Roman"/>
                <w:bCs/>
                <w:sz w:val="24"/>
              </w:rPr>
            </w:pPr>
            <w:r>
              <w:rPr>
                <w:rFonts w:ascii="Times New Roman" w:hAnsi="Times New Roman" w:cs="Times New Roman"/>
                <w:bCs/>
                <w:sz w:val="24"/>
              </w:rPr>
              <w:t>Leqb——预测点的背景值，dB(A)。</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（4）预测结果</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项目噪声预测结果见</w:t>
            </w:r>
            <w:r>
              <w:rPr>
                <w:rFonts w:hint="eastAsia" w:cs="Times New Roman"/>
                <w:bCs/>
                <w:sz w:val="24"/>
                <w:lang w:val="en-US" w:eastAsia="zh-CN"/>
              </w:rPr>
              <w:t>下表</w:t>
            </w:r>
            <w:r>
              <w:rPr>
                <w:rFonts w:ascii="Times New Roman" w:hAnsi="Times New Roman" w:cs="Times New Roman"/>
                <w:bCs/>
                <w:sz w:val="24"/>
              </w:rPr>
              <w:t>。</w:t>
            </w:r>
          </w:p>
          <w:p>
            <w:pPr>
              <w:adjustRightInd w:val="0"/>
              <w:snapToGrid w:val="0"/>
              <w:spacing w:line="240" w:lineRule="auto"/>
              <w:ind w:firstLine="482" w:firstLineChars="200"/>
              <w:jc w:val="center"/>
              <w:rPr>
                <w:rFonts w:ascii="Times New Roman" w:hAnsi="Times New Roman" w:cs="Times New Roman"/>
                <w:b/>
                <w:sz w:val="24"/>
              </w:rPr>
            </w:pPr>
            <w:r>
              <w:rPr>
                <w:rFonts w:ascii="Times New Roman" w:hAnsi="Times New Roman" w:cs="Times New Roman"/>
                <w:b/>
                <w:sz w:val="24"/>
              </w:rPr>
              <w:t>表4</w:t>
            </w:r>
            <w:r>
              <w:rPr>
                <w:rFonts w:hint="eastAsia" w:cs="Times New Roman"/>
                <w:b/>
                <w:sz w:val="24"/>
                <w:lang w:val="en-US" w:eastAsia="zh-CN"/>
              </w:rPr>
              <w:t>.8</w:t>
            </w:r>
            <w:r>
              <w:rPr>
                <w:rFonts w:ascii="Times New Roman" w:hAnsi="Times New Roman" w:cs="Times New Roman"/>
                <w:b/>
                <w:sz w:val="24"/>
              </w:rPr>
              <w:t xml:space="preserve">  噪声预测结果      单位：dB（A）</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214"/>
              <w:gridCol w:w="1147"/>
              <w:gridCol w:w="1145"/>
              <w:gridCol w:w="1077"/>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Merge w:val="restart"/>
                  <w:noWrap w:val="0"/>
                  <w:vAlign w:val="center"/>
                </w:tcPr>
                <w:p>
                  <w:pPr>
                    <w:jc w:val="center"/>
                    <w:rPr>
                      <w:rFonts w:ascii="Times New Roman" w:hAnsi="Times New Roman" w:cs="Times New Roman"/>
                      <w:b/>
                      <w:bCs/>
                      <w:color w:val="auto"/>
                      <w:kern w:val="0"/>
                      <w:sz w:val="21"/>
                      <w:szCs w:val="21"/>
                    </w:rPr>
                  </w:pPr>
                  <w:r>
                    <w:rPr>
                      <w:rFonts w:ascii="Times New Roman" w:hAnsi="Times New Roman" w:cs="Times New Roman"/>
                      <w:b/>
                      <w:bCs/>
                      <w:color w:val="auto"/>
                      <w:kern w:val="0"/>
                      <w:sz w:val="21"/>
                      <w:szCs w:val="21"/>
                    </w:rPr>
                    <w:t>预测点</w:t>
                  </w:r>
                </w:p>
              </w:tc>
              <w:tc>
                <w:tcPr>
                  <w:tcW w:w="1480" w:type="dxa"/>
                  <w:gridSpan w:val="2"/>
                  <w:noWrap w:val="0"/>
                  <w:vAlign w:val="center"/>
                </w:tcPr>
                <w:p>
                  <w:pPr>
                    <w:jc w:val="center"/>
                    <w:rPr>
                      <w:rFonts w:ascii="Times New Roman" w:hAnsi="Times New Roman" w:cs="Times New Roman"/>
                      <w:b/>
                      <w:bCs/>
                      <w:snapToGrid w:val="0"/>
                      <w:color w:val="auto"/>
                      <w:kern w:val="0"/>
                      <w:sz w:val="21"/>
                      <w:szCs w:val="21"/>
                    </w:rPr>
                  </w:pPr>
                  <w:r>
                    <w:rPr>
                      <w:rFonts w:ascii="Times New Roman" w:hAnsi="Times New Roman" w:cs="Times New Roman"/>
                      <w:b/>
                      <w:bCs/>
                      <w:snapToGrid w:val="0"/>
                      <w:color w:val="auto"/>
                      <w:kern w:val="0"/>
                      <w:sz w:val="21"/>
                      <w:szCs w:val="21"/>
                    </w:rPr>
                    <w:t>预测值</w:t>
                  </w:r>
                </w:p>
              </w:tc>
              <w:tc>
                <w:tcPr>
                  <w:tcW w:w="1393" w:type="dxa"/>
                  <w:gridSpan w:val="2"/>
                  <w:noWrap w:val="0"/>
                  <w:vAlign w:val="center"/>
                </w:tcPr>
                <w:p>
                  <w:pPr>
                    <w:jc w:val="center"/>
                    <w:rPr>
                      <w:rFonts w:ascii="Times New Roman" w:hAnsi="Times New Roman" w:cs="Times New Roman"/>
                      <w:b/>
                      <w:bCs/>
                      <w:color w:val="auto"/>
                      <w:kern w:val="0"/>
                      <w:sz w:val="21"/>
                      <w:szCs w:val="21"/>
                    </w:rPr>
                  </w:pPr>
                  <w:r>
                    <w:rPr>
                      <w:rFonts w:ascii="Times New Roman" w:hAnsi="Times New Roman" w:cs="Times New Roman"/>
                      <w:b/>
                      <w:bCs/>
                      <w:color w:val="auto"/>
                      <w:kern w:val="0"/>
                      <w:sz w:val="21"/>
                      <w:szCs w:val="21"/>
                    </w:rPr>
                    <w:t>标准值</w:t>
                  </w:r>
                </w:p>
              </w:tc>
              <w:tc>
                <w:tcPr>
                  <w:tcW w:w="1068" w:type="dxa"/>
                  <w:vMerge w:val="restart"/>
                  <w:noWrap w:val="0"/>
                  <w:vAlign w:val="center"/>
                </w:tcPr>
                <w:p>
                  <w:pPr>
                    <w:jc w:val="center"/>
                    <w:rPr>
                      <w:rFonts w:ascii="Times New Roman" w:hAnsi="Times New Roman" w:cs="Times New Roman"/>
                      <w:b/>
                      <w:bCs/>
                      <w:color w:val="auto"/>
                      <w:kern w:val="0"/>
                      <w:sz w:val="21"/>
                      <w:szCs w:val="21"/>
                    </w:rPr>
                  </w:pPr>
                  <w:r>
                    <w:rPr>
                      <w:rFonts w:ascii="Times New Roman" w:hAnsi="Times New Roman" w:cs="Times New Roman"/>
                      <w:b/>
                      <w:bCs/>
                      <w:color w:val="auto"/>
                      <w:kern w:val="0"/>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vMerge w:val="continue"/>
                  <w:noWrap w:val="0"/>
                  <w:vAlign w:val="center"/>
                </w:tcPr>
                <w:p>
                  <w:pPr>
                    <w:jc w:val="center"/>
                    <w:rPr>
                      <w:rFonts w:ascii="Times New Roman" w:hAnsi="Times New Roman" w:cs="Times New Roman"/>
                      <w:color w:val="auto"/>
                      <w:sz w:val="21"/>
                      <w:szCs w:val="21"/>
                    </w:rPr>
                  </w:pPr>
                </w:p>
              </w:tc>
              <w:tc>
                <w:tcPr>
                  <w:tcW w:w="761" w:type="dxa"/>
                  <w:noWrap w:val="0"/>
                  <w:vAlign w:val="center"/>
                </w:tcPr>
                <w:p>
                  <w:pPr>
                    <w:jc w:val="center"/>
                    <w:rPr>
                      <w:rFonts w:ascii="Times New Roman" w:hAnsi="Times New Roman" w:cs="Times New Roman"/>
                      <w:color w:val="auto"/>
                      <w:sz w:val="21"/>
                      <w:szCs w:val="21"/>
                    </w:rPr>
                  </w:pPr>
                  <w:r>
                    <w:rPr>
                      <w:rFonts w:ascii="Times New Roman" w:hAnsi="Times New Roman" w:cs="Times New Roman"/>
                      <w:b/>
                      <w:bCs/>
                      <w:snapToGrid w:val="0"/>
                      <w:color w:val="auto"/>
                      <w:kern w:val="0"/>
                      <w:sz w:val="21"/>
                      <w:szCs w:val="21"/>
                    </w:rPr>
                    <w:t>昼间</w:t>
                  </w:r>
                </w:p>
              </w:tc>
              <w:tc>
                <w:tcPr>
                  <w:tcW w:w="719" w:type="dxa"/>
                  <w:noWrap w:val="0"/>
                  <w:vAlign w:val="center"/>
                </w:tcPr>
                <w:p>
                  <w:pPr>
                    <w:jc w:val="center"/>
                    <w:rPr>
                      <w:rFonts w:ascii="Times New Roman" w:hAnsi="Times New Roman" w:cs="Times New Roman"/>
                      <w:color w:val="auto"/>
                      <w:sz w:val="21"/>
                      <w:szCs w:val="21"/>
                    </w:rPr>
                  </w:pPr>
                  <w:r>
                    <w:rPr>
                      <w:rFonts w:ascii="Times New Roman" w:hAnsi="Times New Roman" w:cs="Times New Roman"/>
                      <w:b/>
                      <w:bCs/>
                      <w:color w:val="auto"/>
                      <w:sz w:val="21"/>
                      <w:szCs w:val="21"/>
                    </w:rPr>
                    <w:t>夜间</w:t>
                  </w:r>
                </w:p>
              </w:tc>
              <w:tc>
                <w:tcPr>
                  <w:tcW w:w="718" w:type="dxa"/>
                  <w:noWrap w:val="0"/>
                  <w:vAlign w:val="center"/>
                </w:tcPr>
                <w:p>
                  <w:pPr>
                    <w:jc w:val="center"/>
                    <w:rPr>
                      <w:rFonts w:ascii="Times New Roman" w:hAnsi="Times New Roman" w:cs="Times New Roman"/>
                      <w:b/>
                      <w:bCs/>
                      <w:color w:val="auto"/>
                      <w:kern w:val="0"/>
                      <w:sz w:val="21"/>
                      <w:szCs w:val="21"/>
                    </w:rPr>
                  </w:pPr>
                  <w:r>
                    <w:rPr>
                      <w:rFonts w:ascii="Times New Roman" w:hAnsi="Times New Roman" w:cs="Times New Roman"/>
                      <w:b/>
                      <w:bCs/>
                      <w:color w:val="auto"/>
                      <w:kern w:val="0"/>
                      <w:sz w:val="21"/>
                      <w:szCs w:val="21"/>
                    </w:rPr>
                    <w:t>昼间</w:t>
                  </w:r>
                </w:p>
              </w:tc>
              <w:tc>
                <w:tcPr>
                  <w:tcW w:w="675" w:type="dxa"/>
                  <w:noWrap w:val="0"/>
                  <w:vAlign w:val="center"/>
                </w:tcPr>
                <w:p>
                  <w:pPr>
                    <w:jc w:val="center"/>
                    <w:rPr>
                      <w:rFonts w:ascii="Times New Roman" w:hAnsi="Times New Roman" w:cs="Times New Roman"/>
                      <w:b/>
                      <w:bCs/>
                      <w:color w:val="auto"/>
                      <w:kern w:val="0"/>
                      <w:sz w:val="21"/>
                      <w:szCs w:val="21"/>
                    </w:rPr>
                  </w:pPr>
                  <w:r>
                    <w:rPr>
                      <w:rFonts w:ascii="Times New Roman" w:hAnsi="Times New Roman" w:cs="Times New Roman"/>
                      <w:b/>
                      <w:bCs/>
                      <w:color w:val="auto"/>
                      <w:kern w:val="0"/>
                      <w:sz w:val="21"/>
                      <w:szCs w:val="21"/>
                    </w:rPr>
                    <w:t>夜间</w:t>
                  </w:r>
                </w:p>
              </w:tc>
              <w:tc>
                <w:tcPr>
                  <w:tcW w:w="1068" w:type="dxa"/>
                  <w:vMerge w:val="continue"/>
                  <w:noWrap w:val="0"/>
                  <w:vAlign w:val="center"/>
                </w:tcPr>
                <w:p>
                  <w:pPr>
                    <w:jc w:val="cente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pPr>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东厂界</w:t>
                  </w:r>
                </w:p>
              </w:tc>
              <w:tc>
                <w:tcPr>
                  <w:tcW w:w="761" w:type="dxa"/>
                  <w:noWrap w:val="0"/>
                  <w:vAlign w:val="center"/>
                </w:tcPr>
                <w:p>
                  <w:pPr>
                    <w:jc w:val="center"/>
                    <w:rPr>
                      <w:rFonts w:hint="default" w:ascii="Times New Roman" w:hAnsi="Times New Roman" w:eastAsia="宋体" w:cs="Times New Roman"/>
                      <w:color w:val="auto"/>
                      <w:kern w:val="0"/>
                      <w:sz w:val="21"/>
                      <w:szCs w:val="21"/>
                      <w:lang w:val="en-US" w:eastAsia="zh-CN"/>
                    </w:rPr>
                  </w:pPr>
                  <w:r>
                    <w:rPr>
                      <w:rFonts w:ascii="Times New Roman" w:hAnsi="Times New Roman" w:cs="Times New Roman"/>
                      <w:color w:val="auto"/>
                      <w:kern w:val="0"/>
                      <w:sz w:val="21"/>
                      <w:szCs w:val="21"/>
                    </w:rPr>
                    <w:t>47.</w:t>
                  </w:r>
                  <w:r>
                    <w:rPr>
                      <w:rFonts w:hint="eastAsia" w:cs="Times New Roman"/>
                      <w:color w:val="auto"/>
                      <w:kern w:val="0"/>
                      <w:sz w:val="21"/>
                      <w:szCs w:val="21"/>
                      <w:lang w:val="en-US" w:eastAsia="zh-CN"/>
                    </w:rPr>
                    <w:t>8</w:t>
                  </w:r>
                </w:p>
              </w:tc>
              <w:tc>
                <w:tcPr>
                  <w:tcW w:w="719" w:type="dxa"/>
                  <w:noWrap w:val="0"/>
                  <w:vAlign w:val="center"/>
                </w:tcPr>
                <w:p>
                  <w:pPr>
                    <w:jc w:val="center"/>
                    <w:rPr>
                      <w:rFonts w:hint="eastAsia" w:ascii="Times New Roman" w:hAnsi="Times New Roman" w:eastAsia="宋体" w:cs="Times New Roman"/>
                      <w:color w:val="auto"/>
                      <w:kern w:val="0"/>
                      <w:sz w:val="21"/>
                      <w:szCs w:val="21"/>
                      <w:lang w:val="en-US" w:eastAsia="zh-CN"/>
                    </w:rPr>
                  </w:pPr>
                  <w:r>
                    <w:rPr>
                      <w:rFonts w:ascii="Times New Roman" w:hAnsi="Times New Roman" w:cs="Times New Roman"/>
                      <w:color w:val="auto"/>
                      <w:kern w:val="0"/>
                      <w:sz w:val="21"/>
                      <w:szCs w:val="21"/>
                    </w:rPr>
                    <w:t>47.</w:t>
                  </w:r>
                  <w:r>
                    <w:rPr>
                      <w:rFonts w:hint="eastAsia" w:cs="Times New Roman"/>
                      <w:color w:val="auto"/>
                      <w:kern w:val="0"/>
                      <w:sz w:val="21"/>
                      <w:szCs w:val="21"/>
                      <w:lang w:val="en-US" w:eastAsia="zh-CN"/>
                    </w:rPr>
                    <w:t>8</w:t>
                  </w:r>
                </w:p>
              </w:tc>
              <w:tc>
                <w:tcPr>
                  <w:tcW w:w="718" w:type="dxa"/>
                  <w:noWrap w:val="0"/>
                  <w:vAlign w:val="center"/>
                </w:tcPr>
                <w:p>
                  <w:pPr>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60</w:t>
                  </w:r>
                </w:p>
              </w:tc>
              <w:tc>
                <w:tcPr>
                  <w:tcW w:w="675" w:type="dxa"/>
                  <w:noWrap w:val="0"/>
                  <w:vAlign w:val="center"/>
                </w:tcPr>
                <w:p>
                  <w:pPr>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50</w:t>
                  </w:r>
                </w:p>
              </w:tc>
              <w:tc>
                <w:tcPr>
                  <w:tcW w:w="1068" w:type="dxa"/>
                  <w:noWrap w:val="0"/>
                  <w:vAlign w:val="center"/>
                </w:tcPr>
                <w:p>
                  <w:pPr>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pPr>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南厂界</w:t>
                  </w:r>
                </w:p>
              </w:tc>
              <w:tc>
                <w:tcPr>
                  <w:tcW w:w="761" w:type="dxa"/>
                  <w:noWrap w:val="0"/>
                  <w:vAlign w:val="center"/>
                </w:tcPr>
                <w:p>
                  <w:pPr>
                    <w:jc w:val="center"/>
                    <w:rPr>
                      <w:rFonts w:hint="default" w:ascii="Times New Roman" w:hAnsi="Times New Roman" w:eastAsia="宋体" w:cs="Times New Roman"/>
                      <w:color w:val="auto"/>
                      <w:kern w:val="0"/>
                      <w:sz w:val="21"/>
                      <w:szCs w:val="21"/>
                      <w:lang w:val="en-US" w:eastAsia="zh-CN"/>
                    </w:rPr>
                  </w:pPr>
                  <w:r>
                    <w:rPr>
                      <w:rFonts w:ascii="Times New Roman" w:hAnsi="Times New Roman" w:cs="Times New Roman"/>
                      <w:color w:val="auto"/>
                      <w:kern w:val="0"/>
                      <w:sz w:val="21"/>
                      <w:szCs w:val="21"/>
                    </w:rPr>
                    <w:t>4</w:t>
                  </w:r>
                  <w:r>
                    <w:rPr>
                      <w:rFonts w:hint="eastAsia" w:cs="Times New Roman"/>
                      <w:color w:val="auto"/>
                      <w:kern w:val="0"/>
                      <w:sz w:val="21"/>
                      <w:szCs w:val="21"/>
                      <w:lang w:val="en-US" w:eastAsia="zh-CN"/>
                    </w:rPr>
                    <w:t>5.7</w:t>
                  </w:r>
                </w:p>
              </w:tc>
              <w:tc>
                <w:tcPr>
                  <w:tcW w:w="719" w:type="dxa"/>
                  <w:noWrap w:val="0"/>
                  <w:vAlign w:val="center"/>
                </w:tcPr>
                <w:p>
                  <w:pPr>
                    <w:jc w:val="center"/>
                    <w:rPr>
                      <w:rFonts w:hint="default" w:ascii="Times New Roman" w:hAnsi="Times New Roman" w:eastAsia="宋体" w:cs="Times New Roman"/>
                      <w:color w:val="auto"/>
                      <w:kern w:val="0"/>
                      <w:sz w:val="21"/>
                      <w:szCs w:val="21"/>
                      <w:lang w:val="en-US" w:eastAsia="zh-CN"/>
                    </w:rPr>
                  </w:pPr>
                  <w:r>
                    <w:rPr>
                      <w:rFonts w:ascii="Times New Roman" w:hAnsi="Times New Roman" w:cs="Times New Roman"/>
                      <w:color w:val="auto"/>
                      <w:kern w:val="0"/>
                      <w:sz w:val="21"/>
                      <w:szCs w:val="21"/>
                    </w:rPr>
                    <w:t>4</w:t>
                  </w:r>
                  <w:r>
                    <w:rPr>
                      <w:rFonts w:hint="eastAsia" w:cs="Times New Roman"/>
                      <w:color w:val="auto"/>
                      <w:kern w:val="0"/>
                      <w:sz w:val="21"/>
                      <w:szCs w:val="21"/>
                      <w:lang w:val="en-US" w:eastAsia="zh-CN"/>
                    </w:rPr>
                    <w:t>5.7</w:t>
                  </w:r>
                </w:p>
              </w:tc>
              <w:tc>
                <w:tcPr>
                  <w:tcW w:w="718" w:type="dxa"/>
                  <w:noWrap w:val="0"/>
                  <w:vAlign w:val="center"/>
                </w:tcPr>
                <w:p>
                  <w:pPr>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60</w:t>
                  </w:r>
                </w:p>
              </w:tc>
              <w:tc>
                <w:tcPr>
                  <w:tcW w:w="675" w:type="dxa"/>
                  <w:noWrap w:val="0"/>
                  <w:vAlign w:val="center"/>
                </w:tcPr>
                <w:p>
                  <w:pPr>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50</w:t>
                  </w:r>
                </w:p>
              </w:tc>
              <w:tc>
                <w:tcPr>
                  <w:tcW w:w="1068" w:type="dxa"/>
                  <w:noWrap w:val="0"/>
                  <w:vAlign w:val="center"/>
                </w:tcPr>
                <w:p>
                  <w:pPr>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pPr>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西厂界</w:t>
                  </w:r>
                </w:p>
              </w:tc>
              <w:tc>
                <w:tcPr>
                  <w:tcW w:w="761" w:type="dxa"/>
                  <w:noWrap w:val="0"/>
                  <w:vAlign w:val="center"/>
                </w:tcPr>
                <w:p>
                  <w:pPr>
                    <w:jc w:val="center"/>
                    <w:rPr>
                      <w:rFonts w:hint="default" w:ascii="Times New Roman" w:hAnsi="Times New Roman" w:eastAsia="宋体" w:cs="Times New Roman"/>
                      <w:color w:val="auto"/>
                      <w:kern w:val="0"/>
                      <w:sz w:val="21"/>
                      <w:szCs w:val="21"/>
                      <w:lang w:val="en-US" w:eastAsia="zh-CN"/>
                    </w:rPr>
                  </w:pPr>
                  <w:r>
                    <w:rPr>
                      <w:rFonts w:ascii="Times New Roman" w:hAnsi="Times New Roman" w:cs="Times New Roman"/>
                      <w:color w:val="auto"/>
                      <w:kern w:val="0"/>
                      <w:sz w:val="21"/>
                      <w:szCs w:val="21"/>
                    </w:rPr>
                    <w:t>4</w:t>
                  </w:r>
                  <w:r>
                    <w:rPr>
                      <w:rFonts w:hint="eastAsia" w:cs="Times New Roman"/>
                      <w:color w:val="auto"/>
                      <w:kern w:val="0"/>
                      <w:sz w:val="21"/>
                      <w:szCs w:val="21"/>
                      <w:lang w:val="en-US" w:eastAsia="zh-CN"/>
                    </w:rPr>
                    <w:t>8.7</w:t>
                  </w:r>
                </w:p>
              </w:tc>
              <w:tc>
                <w:tcPr>
                  <w:tcW w:w="719" w:type="dxa"/>
                  <w:noWrap w:val="0"/>
                  <w:vAlign w:val="center"/>
                </w:tcPr>
                <w:p>
                  <w:pPr>
                    <w:jc w:val="center"/>
                    <w:rPr>
                      <w:rFonts w:hint="eastAsia" w:ascii="Times New Roman" w:hAnsi="Times New Roman" w:eastAsia="宋体" w:cs="Times New Roman"/>
                      <w:color w:val="auto"/>
                      <w:kern w:val="0"/>
                      <w:sz w:val="21"/>
                      <w:szCs w:val="21"/>
                      <w:lang w:val="en-US" w:eastAsia="zh-CN"/>
                    </w:rPr>
                  </w:pPr>
                  <w:r>
                    <w:rPr>
                      <w:rFonts w:ascii="Times New Roman" w:hAnsi="Times New Roman" w:cs="Times New Roman"/>
                      <w:color w:val="auto"/>
                      <w:kern w:val="0"/>
                      <w:sz w:val="21"/>
                      <w:szCs w:val="21"/>
                    </w:rPr>
                    <w:t>4</w:t>
                  </w:r>
                  <w:r>
                    <w:rPr>
                      <w:rFonts w:hint="eastAsia" w:cs="Times New Roman"/>
                      <w:color w:val="auto"/>
                      <w:kern w:val="0"/>
                      <w:sz w:val="21"/>
                      <w:szCs w:val="21"/>
                      <w:lang w:val="en-US" w:eastAsia="zh-CN"/>
                    </w:rPr>
                    <w:t>8.7</w:t>
                  </w:r>
                </w:p>
              </w:tc>
              <w:tc>
                <w:tcPr>
                  <w:tcW w:w="718" w:type="dxa"/>
                  <w:noWrap w:val="0"/>
                  <w:vAlign w:val="center"/>
                </w:tcPr>
                <w:p>
                  <w:pPr>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60</w:t>
                  </w:r>
                </w:p>
              </w:tc>
              <w:tc>
                <w:tcPr>
                  <w:tcW w:w="675" w:type="dxa"/>
                  <w:noWrap w:val="0"/>
                  <w:vAlign w:val="center"/>
                </w:tcPr>
                <w:p>
                  <w:pPr>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50</w:t>
                  </w:r>
                </w:p>
              </w:tc>
              <w:tc>
                <w:tcPr>
                  <w:tcW w:w="1068" w:type="dxa"/>
                  <w:noWrap w:val="0"/>
                  <w:vAlign w:val="center"/>
                </w:tcPr>
                <w:p>
                  <w:pPr>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pPr>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北厂界</w:t>
                  </w:r>
                </w:p>
              </w:tc>
              <w:tc>
                <w:tcPr>
                  <w:tcW w:w="761" w:type="dxa"/>
                  <w:noWrap w:val="0"/>
                  <w:vAlign w:val="center"/>
                </w:tcPr>
                <w:p>
                  <w:pPr>
                    <w:jc w:val="center"/>
                    <w:rPr>
                      <w:rFonts w:hint="default" w:ascii="Times New Roman" w:hAnsi="Times New Roman" w:eastAsia="宋体" w:cs="Times New Roman"/>
                      <w:color w:val="auto"/>
                      <w:kern w:val="0"/>
                      <w:sz w:val="21"/>
                      <w:szCs w:val="21"/>
                      <w:lang w:val="en-US" w:eastAsia="zh-CN"/>
                    </w:rPr>
                  </w:pPr>
                  <w:r>
                    <w:rPr>
                      <w:rFonts w:ascii="Times New Roman" w:hAnsi="Times New Roman" w:cs="Times New Roman"/>
                      <w:color w:val="auto"/>
                      <w:kern w:val="0"/>
                      <w:sz w:val="21"/>
                      <w:szCs w:val="21"/>
                    </w:rPr>
                    <w:t>4</w:t>
                  </w:r>
                  <w:r>
                    <w:rPr>
                      <w:rFonts w:hint="eastAsia" w:cs="Times New Roman"/>
                      <w:color w:val="auto"/>
                      <w:kern w:val="0"/>
                      <w:sz w:val="21"/>
                      <w:szCs w:val="21"/>
                      <w:lang w:val="en-US" w:eastAsia="zh-CN"/>
                    </w:rPr>
                    <w:t>7.5</w:t>
                  </w:r>
                </w:p>
              </w:tc>
              <w:tc>
                <w:tcPr>
                  <w:tcW w:w="719" w:type="dxa"/>
                  <w:noWrap w:val="0"/>
                  <w:vAlign w:val="center"/>
                </w:tcPr>
                <w:p>
                  <w:pPr>
                    <w:jc w:val="center"/>
                    <w:rPr>
                      <w:rFonts w:hint="default" w:ascii="Times New Roman" w:hAnsi="Times New Roman" w:eastAsia="宋体" w:cs="Times New Roman"/>
                      <w:color w:val="auto"/>
                      <w:kern w:val="0"/>
                      <w:sz w:val="21"/>
                      <w:szCs w:val="21"/>
                      <w:lang w:val="en-US" w:eastAsia="zh-CN"/>
                    </w:rPr>
                  </w:pPr>
                  <w:r>
                    <w:rPr>
                      <w:rFonts w:ascii="Times New Roman" w:hAnsi="Times New Roman" w:cs="Times New Roman"/>
                      <w:color w:val="auto"/>
                      <w:kern w:val="0"/>
                      <w:sz w:val="21"/>
                      <w:szCs w:val="21"/>
                    </w:rPr>
                    <w:t>4</w:t>
                  </w:r>
                  <w:r>
                    <w:rPr>
                      <w:rFonts w:hint="eastAsia" w:cs="Times New Roman"/>
                      <w:color w:val="auto"/>
                      <w:kern w:val="0"/>
                      <w:sz w:val="21"/>
                      <w:szCs w:val="21"/>
                      <w:lang w:val="en-US" w:eastAsia="zh-CN"/>
                    </w:rPr>
                    <w:t>7.5</w:t>
                  </w:r>
                </w:p>
              </w:tc>
              <w:tc>
                <w:tcPr>
                  <w:tcW w:w="718" w:type="dxa"/>
                  <w:noWrap w:val="0"/>
                  <w:vAlign w:val="center"/>
                </w:tcPr>
                <w:p>
                  <w:pPr>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60</w:t>
                  </w:r>
                </w:p>
              </w:tc>
              <w:tc>
                <w:tcPr>
                  <w:tcW w:w="675" w:type="dxa"/>
                  <w:noWrap w:val="0"/>
                  <w:vAlign w:val="center"/>
                </w:tcPr>
                <w:p>
                  <w:pPr>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50</w:t>
                  </w:r>
                </w:p>
              </w:tc>
              <w:tc>
                <w:tcPr>
                  <w:tcW w:w="1068" w:type="dxa"/>
                  <w:noWrap w:val="0"/>
                  <w:vAlign w:val="center"/>
                </w:tcPr>
                <w:p>
                  <w:pPr>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dxa"/>
                  <w:noWrap w:val="0"/>
                  <w:vAlign w:val="center"/>
                </w:tcPr>
                <w:p>
                  <w:pPr>
                    <w:jc w:val="center"/>
                    <w:rPr>
                      <w:rFonts w:ascii="Times New Roman" w:hAnsi="Times New Roman" w:cs="Times New Roman"/>
                      <w:color w:val="auto"/>
                      <w:kern w:val="0"/>
                      <w:sz w:val="21"/>
                      <w:szCs w:val="21"/>
                    </w:rPr>
                  </w:pPr>
                  <w:r>
                    <w:rPr>
                      <w:rFonts w:hint="eastAsia" w:cs="Times New Roman"/>
                      <w:color w:val="auto"/>
                      <w:kern w:val="0"/>
                      <w:sz w:val="21"/>
                      <w:szCs w:val="21"/>
                      <w:lang w:val="en-US" w:eastAsia="zh-CN"/>
                    </w:rPr>
                    <w:t>杜庄</w:t>
                  </w:r>
                  <w:r>
                    <w:rPr>
                      <w:rFonts w:ascii="Times New Roman" w:hAnsi="Times New Roman" w:cs="Times New Roman"/>
                      <w:color w:val="auto"/>
                      <w:kern w:val="0"/>
                      <w:sz w:val="21"/>
                      <w:szCs w:val="21"/>
                    </w:rPr>
                    <w:t>村</w:t>
                  </w:r>
                </w:p>
              </w:tc>
              <w:tc>
                <w:tcPr>
                  <w:tcW w:w="761" w:type="dxa"/>
                  <w:noWrap w:val="0"/>
                  <w:vAlign w:val="center"/>
                </w:tcPr>
                <w:p>
                  <w:pPr>
                    <w:jc w:val="center"/>
                    <w:rPr>
                      <w:rFonts w:hint="default" w:ascii="Times New Roman" w:hAnsi="Times New Roman" w:eastAsia="宋体" w:cs="Times New Roman"/>
                      <w:color w:val="auto"/>
                      <w:kern w:val="0"/>
                      <w:sz w:val="21"/>
                      <w:szCs w:val="21"/>
                      <w:lang w:val="en-US" w:eastAsia="zh-CN"/>
                    </w:rPr>
                  </w:pPr>
                  <w:r>
                    <w:rPr>
                      <w:rFonts w:ascii="Times New Roman" w:hAnsi="Times New Roman" w:cs="Times New Roman"/>
                      <w:color w:val="auto"/>
                      <w:kern w:val="0"/>
                      <w:sz w:val="21"/>
                      <w:szCs w:val="21"/>
                    </w:rPr>
                    <w:t>4</w:t>
                  </w:r>
                  <w:r>
                    <w:rPr>
                      <w:rFonts w:hint="eastAsia" w:cs="Times New Roman"/>
                      <w:color w:val="auto"/>
                      <w:kern w:val="0"/>
                      <w:sz w:val="21"/>
                      <w:szCs w:val="21"/>
                      <w:lang w:val="en-US" w:eastAsia="zh-CN"/>
                    </w:rPr>
                    <w:t>8.1</w:t>
                  </w:r>
                </w:p>
              </w:tc>
              <w:tc>
                <w:tcPr>
                  <w:tcW w:w="719" w:type="dxa"/>
                  <w:noWrap w:val="0"/>
                  <w:vAlign w:val="center"/>
                </w:tcPr>
                <w:p>
                  <w:pPr>
                    <w:jc w:val="center"/>
                    <w:rPr>
                      <w:rFonts w:hint="default" w:ascii="Times New Roman" w:hAnsi="Times New Roman" w:eastAsia="宋体" w:cs="Times New Roman"/>
                      <w:color w:val="auto"/>
                      <w:kern w:val="0"/>
                      <w:sz w:val="21"/>
                      <w:szCs w:val="21"/>
                      <w:lang w:val="en-US" w:eastAsia="zh-CN"/>
                    </w:rPr>
                  </w:pPr>
                  <w:r>
                    <w:rPr>
                      <w:rFonts w:ascii="Times New Roman" w:hAnsi="Times New Roman" w:cs="Times New Roman"/>
                      <w:color w:val="auto"/>
                      <w:kern w:val="0"/>
                      <w:sz w:val="21"/>
                      <w:szCs w:val="21"/>
                    </w:rPr>
                    <w:t>4</w:t>
                  </w:r>
                  <w:r>
                    <w:rPr>
                      <w:rFonts w:hint="eastAsia" w:cs="Times New Roman"/>
                      <w:color w:val="auto"/>
                      <w:kern w:val="0"/>
                      <w:sz w:val="21"/>
                      <w:szCs w:val="21"/>
                      <w:lang w:val="en-US" w:eastAsia="zh-CN"/>
                    </w:rPr>
                    <w:t>8.1</w:t>
                  </w:r>
                </w:p>
              </w:tc>
              <w:tc>
                <w:tcPr>
                  <w:tcW w:w="718" w:type="dxa"/>
                  <w:noWrap w:val="0"/>
                  <w:vAlign w:val="center"/>
                </w:tcPr>
                <w:p>
                  <w:pPr>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60</w:t>
                  </w:r>
                </w:p>
              </w:tc>
              <w:tc>
                <w:tcPr>
                  <w:tcW w:w="675" w:type="dxa"/>
                  <w:noWrap w:val="0"/>
                  <w:vAlign w:val="center"/>
                </w:tcPr>
                <w:p>
                  <w:pPr>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50</w:t>
                  </w:r>
                </w:p>
              </w:tc>
              <w:tc>
                <w:tcPr>
                  <w:tcW w:w="1068" w:type="dxa"/>
                  <w:noWrap w:val="0"/>
                  <w:vAlign w:val="center"/>
                </w:tcPr>
                <w:p>
                  <w:pPr>
                    <w:jc w:val="center"/>
                    <w:rPr>
                      <w:rFonts w:ascii="Times New Roman" w:hAnsi="Times New Roman" w:cs="Times New Roman"/>
                      <w:color w:val="auto"/>
                      <w:kern w:val="0"/>
                      <w:sz w:val="21"/>
                      <w:szCs w:val="21"/>
                    </w:rPr>
                  </w:pPr>
                  <w:r>
                    <w:rPr>
                      <w:rFonts w:ascii="Times New Roman" w:hAnsi="Times New Roman" w:cs="Times New Roman"/>
                      <w:color w:val="auto"/>
                      <w:kern w:val="0"/>
                      <w:sz w:val="21"/>
                      <w:szCs w:val="21"/>
                    </w:rPr>
                    <w:t>达标</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ascii="Times New Roman" w:hAnsi="Times New Roman" w:cs="Times New Roman"/>
                <w:bCs/>
                <w:sz w:val="24"/>
              </w:rPr>
            </w:pPr>
            <w:r>
              <w:rPr>
                <w:rFonts w:ascii="Times New Roman" w:hAnsi="Times New Roman" w:cs="Times New Roman"/>
                <w:bCs/>
                <w:sz w:val="24"/>
              </w:rPr>
              <w:t>根据预测结果可知，经以上防护措施及墙体隔声和距离的自然衰减等措施后，项目四周厂</w:t>
            </w:r>
            <w:r>
              <w:rPr>
                <w:rFonts w:ascii="Times New Roman" w:hAnsi="Times New Roman" w:cs="Times New Roman"/>
                <w:bCs/>
                <w:color w:val="000000"/>
                <w:sz w:val="24"/>
              </w:rPr>
              <w:t>界均满足《工业企业厂界环境噪声排放标准》（GB12348-2008）中2类标准要求</w:t>
            </w:r>
            <w:r>
              <w:rPr>
                <w:rFonts w:hint="eastAsia" w:ascii="Times New Roman" w:hAnsi="Times New Roman" w:cs="Times New Roman"/>
                <w:bCs/>
                <w:color w:val="000000"/>
                <w:sz w:val="24"/>
                <w:lang w:val="en-US" w:eastAsia="zh-CN"/>
              </w:rPr>
              <w:t>，项目夜间生产</w:t>
            </w:r>
            <w:r>
              <w:rPr>
                <w:rFonts w:hint="eastAsia" w:cs="Times New Roman"/>
                <w:bCs/>
                <w:color w:val="000000"/>
                <w:sz w:val="24"/>
                <w:lang w:val="en-US" w:eastAsia="zh-CN"/>
              </w:rPr>
              <w:t>，杜庄</w:t>
            </w:r>
            <w:r>
              <w:rPr>
                <w:rFonts w:hint="eastAsia" w:ascii="Times New Roman" w:hAnsi="Times New Roman" w:cs="Times New Roman"/>
                <w:bCs/>
                <w:color w:val="000000"/>
                <w:sz w:val="24"/>
                <w:lang w:val="en-US" w:eastAsia="zh-CN"/>
              </w:rPr>
              <w:t>村</w:t>
            </w:r>
            <w:r>
              <w:rPr>
                <w:rFonts w:hint="eastAsia" w:cs="Times New Roman"/>
                <w:bCs/>
                <w:color w:val="000000"/>
                <w:sz w:val="24"/>
                <w:lang w:val="en-US" w:eastAsia="zh-CN"/>
              </w:rPr>
              <w:t>北侧敏感点</w:t>
            </w:r>
            <w:r>
              <w:rPr>
                <w:rFonts w:hint="eastAsia" w:ascii="Times New Roman" w:hAnsi="Times New Roman" w:cs="Times New Roman"/>
                <w:bCs/>
                <w:color w:val="000000"/>
                <w:sz w:val="24"/>
                <w:lang w:val="en-US" w:eastAsia="zh-CN"/>
              </w:rPr>
              <w:t>位于厂区北侧，生产车间位于厂区中部偏南侧，远离居民区，经过设备安装减振、消声设施、墙体隔声、车辆运输过程减速慢行、禁止鸣笛等措施，</w:t>
            </w:r>
            <w:r>
              <w:rPr>
                <w:rFonts w:ascii="Times New Roman" w:hAnsi="Times New Roman" w:cs="Times New Roman"/>
                <w:bCs/>
                <w:color w:val="000000"/>
                <w:sz w:val="24"/>
              </w:rPr>
              <w:t>不</w:t>
            </w:r>
            <w:r>
              <w:rPr>
                <w:rFonts w:ascii="Times New Roman" w:hAnsi="Times New Roman" w:cs="Times New Roman"/>
                <w:bCs/>
                <w:sz w:val="24"/>
              </w:rPr>
              <w:t>会对周围声环境及内部造成明显影响。</w:t>
            </w:r>
          </w:p>
          <w:p>
            <w:pPr>
              <w:adjustRightInd w:val="0"/>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噪声降噪具体措施</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本项目生产设备在运行期间均会产生噪声，建设单位采取以下措施来减轻生产设备运行噪声的环境影响。</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（1）选用低噪声设备或带隔声、消声的设备，从源头减少噪声的产生。</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（2）合理布局设备位置，使高强度的噪声设备远离项目边界及环境敏感点。</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（3）设置较为隔声的生产车间。</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（4）对噪声值高的设备采取减振、消声、隔声等措施降低噪声值。</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（5）定期对生产设备进行保养维修，保证生产设备维持的良好使用状态，并严格遵守生产设备的操作规范。</w:t>
            </w:r>
          </w:p>
          <w:p>
            <w:pPr>
              <w:adjustRightInd w:val="0"/>
              <w:snapToGrid w:val="0"/>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lang w:eastAsia="zh-CN"/>
              </w:rPr>
              <w:t>（</w:t>
            </w:r>
            <w:r>
              <w:rPr>
                <w:rFonts w:hint="eastAsia" w:ascii="Times New Roman" w:hAnsi="Times New Roman" w:cs="Times New Roman"/>
                <w:bCs/>
                <w:sz w:val="24"/>
                <w:lang w:val="en-US" w:eastAsia="zh-CN"/>
              </w:rPr>
              <w:t>6</w:t>
            </w:r>
            <w:r>
              <w:rPr>
                <w:rFonts w:hint="eastAsia" w:ascii="Times New Roman" w:hAnsi="Times New Roman" w:cs="Times New Roman"/>
                <w:bCs/>
                <w:sz w:val="24"/>
                <w:lang w:eastAsia="zh-CN"/>
              </w:rPr>
              <w:t>）</w:t>
            </w:r>
            <w:r>
              <w:rPr>
                <w:rFonts w:ascii="Times New Roman" w:hAnsi="Times New Roman" w:cs="Times New Roman"/>
                <w:bCs/>
                <w:sz w:val="24"/>
              </w:rPr>
              <w:t>建设单位通过增加绿化，设置隔声屏障等措施降低环境噪声影响。</w:t>
            </w:r>
          </w:p>
          <w:p>
            <w:pPr>
              <w:adjustRightInd w:val="0"/>
              <w:snapToGrid w:val="0"/>
              <w:spacing w:line="360" w:lineRule="auto"/>
              <w:ind w:firstLine="480" w:firstLineChars="200"/>
              <w:rPr>
                <w:rFonts w:hint="default" w:ascii="Times New Roman" w:hAnsi="Times New Roman" w:eastAsia="宋体" w:cs="Times New Roman"/>
                <w:bCs/>
                <w:sz w:val="24"/>
                <w:lang w:val="en-US" w:eastAsia="zh-CN"/>
              </w:rPr>
            </w:pPr>
            <w:r>
              <w:rPr>
                <w:rFonts w:hint="eastAsia" w:ascii="Times New Roman" w:hAnsi="Times New Roman" w:cs="Times New Roman"/>
                <w:bCs/>
                <w:sz w:val="24"/>
                <w:lang w:eastAsia="zh-CN"/>
              </w:rPr>
              <w:t>（</w:t>
            </w:r>
            <w:r>
              <w:rPr>
                <w:rFonts w:hint="eastAsia" w:ascii="Times New Roman" w:hAnsi="Times New Roman" w:cs="Times New Roman"/>
                <w:bCs/>
                <w:sz w:val="24"/>
                <w:lang w:val="en-US" w:eastAsia="zh-CN"/>
              </w:rPr>
              <w:t>7</w:t>
            </w:r>
            <w:r>
              <w:rPr>
                <w:rFonts w:hint="eastAsia" w:ascii="Times New Roman" w:hAnsi="Times New Roman" w:cs="Times New Roman"/>
                <w:bCs/>
                <w:sz w:val="24"/>
                <w:lang w:eastAsia="zh-CN"/>
              </w:rPr>
              <w:t>）</w:t>
            </w:r>
            <w:r>
              <w:rPr>
                <w:rFonts w:hint="eastAsia" w:ascii="Times New Roman" w:hAnsi="Times New Roman" w:cs="Times New Roman"/>
                <w:bCs/>
                <w:sz w:val="24"/>
                <w:lang w:val="en-US" w:eastAsia="zh-CN"/>
              </w:rPr>
              <w:t>车辆运输过程中减速慢行、禁止鸣笛等。</w:t>
            </w:r>
          </w:p>
          <w:p>
            <w:pPr>
              <w:adjustRightInd w:val="0"/>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噪声监测计划</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根据《排污单位自行监测技术指南 总则》（HJ819-2017），项目噪声监测计划如下所示。</w:t>
            </w:r>
          </w:p>
          <w:p>
            <w:pPr>
              <w:autoSpaceDE w:val="0"/>
              <w:autoSpaceDN w:val="0"/>
              <w:adjustRightInd w:val="0"/>
              <w:jc w:val="center"/>
              <w:rPr>
                <w:rFonts w:ascii="Times New Roman" w:hAnsi="Times New Roman" w:cs="Times New Roman"/>
                <w:b/>
                <w:bCs/>
                <w:kern w:val="0"/>
                <w:sz w:val="24"/>
              </w:rPr>
            </w:pPr>
            <w:r>
              <w:rPr>
                <w:rFonts w:ascii="Times New Roman" w:hAnsi="Times New Roman" w:cs="Times New Roman"/>
                <w:b/>
                <w:bCs/>
                <w:kern w:val="0"/>
                <w:sz w:val="24"/>
                <w:lang w:bidi="ar"/>
              </w:rPr>
              <w:t>表4</w:t>
            </w:r>
            <w:r>
              <w:rPr>
                <w:rFonts w:hint="eastAsia" w:cs="Times New Roman"/>
                <w:b/>
                <w:bCs/>
                <w:kern w:val="0"/>
                <w:sz w:val="24"/>
                <w:lang w:val="en-US" w:eastAsia="zh-CN" w:bidi="ar"/>
              </w:rPr>
              <w:t xml:space="preserve">.9 </w:t>
            </w:r>
            <w:r>
              <w:rPr>
                <w:rFonts w:ascii="Times New Roman" w:hAnsi="Times New Roman" w:cs="Times New Roman"/>
                <w:b/>
                <w:bCs/>
                <w:kern w:val="0"/>
                <w:sz w:val="24"/>
                <w:lang w:bidi="ar"/>
              </w:rPr>
              <w:t xml:space="preserve"> 噪声监测计划表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733"/>
              <w:gridCol w:w="1185"/>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0" w:type="dxa"/>
                  <w:noWrap w:val="0"/>
                  <w:vAlign w:val="center"/>
                </w:tcPr>
                <w:p>
                  <w:pPr>
                    <w:pStyle w:val="60"/>
                    <w:spacing w:line="240" w:lineRule="auto"/>
                    <w:rPr>
                      <w:rFonts w:ascii="Times New Roman" w:hAnsi="Times New Roman" w:cs="Times New Roman"/>
                      <w:b/>
                      <w:bCs/>
                      <w:color w:val="000000"/>
                      <w:sz w:val="21"/>
                      <w:szCs w:val="21"/>
                    </w:rPr>
                  </w:pPr>
                  <w:r>
                    <w:rPr>
                      <w:rFonts w:ascii="Times New Roman" w:hAnsi="Times New Roman" w:cs="Times New Roman"/>
                      <w:b/>
                      <w:bCs/>
                      <w:color w:val="000000"/>
                      <w:sz w:val="21"/>
                      <w:szCs w:val="21"/>
                    </w:rPr>
                    <w:t>监测点位置</w:t>
                  </w:r>
                </w:p>
              </w:tc>
              <w:tc>
                <w:tcPr>
                  <w:tcW w:w="1733" w:type="dxa"/>
                  <w:noWrap w:val="0"/>
                  <w:vAlign w:val="center"/>
                </w:tcPr>
                <w:p>
                  <w:pPr>
                    <w:pStyle w:val="60"/>
                    <w:spacing w:line="240" w:lineRule="auto"/>
                    <w:rPr>
                      <w:rFonts w:ascii="Times New Roman" w:hAnsi="Times New Roman" w:cs="Times New Roman"/>
                      <w:b/>
                      <w:bCs/>
                      <w:color w:val="000000"/>
                      <w:sz w:val="21"/>
                      <w:szCs w:val="21"/>
                    </w:rPr>
                  </w:pPr>
                  <w:r>
                    <w:rPr>
                      <w:rFonts w:ascii="Times New Roman" w:hAnsi="Times New Roman" w:cs="Times New Roman"/>
                      <w:b/>
                      <w:bCs/>
                      <w:color w:val="000000"/>
                      <w:sz w:val="21"/>
                      <w:szCs w:val="21"/>
                    </w:rPr>
                    <w:t>监测指标</w:t>
                  </w:r>
                </w:p>
              </w:tc>
              <w:tc>
                <w:tcPr>
                  <w:tcW w:w="1185" w:type="dxa"/>
                  <w:noWrap w:val="0"/>
                  <w:vAlign w:val="center"/>
                </w:tcPr>
                <w:p>
                  <w:pPr>
                    <w:pStyle w:val="60"/>
                    <w:spacing w:line="240" w:lineRule="auto"/>
                    <w:rPr>
                      <w:rFonts w:ascii="Times New Roman" w:hAnsi="Times New Roman" w:cs="Times New Roman"/>
                      <w:b/>
                      <w:bCs/>
                      <w:color w:val="000000"/>
                      <w:sz w:val="21"/>
                      <w:szCs w:val="21"/>
                    </w:rPr>
                  </w:pPr>
                  <w:r>
                    <w:rPr>
                      <w:rFonts w:ascii="Times New Roman" w:hAnsi="Times New Roman" w:cs="Times New Roman"/>
                      <w:b/>
                      <w:bCs/>
                      <w:color w:val="000000"/>
                      <w:sz w:val="21"/>
                      <w:szCs w:val="21"/>
                    </w:rPr>
                    <w:t>监测频次</w:t>
                  </w:r>
                </w:p>
              </w:tc>
              <w:tc>
                <w:tcPr>
                  <w:tcW w:w="3686" w:type="dxa"/>
                  <w:noWrap w:val="0"/>
                  <w:vAlign w:val="center"/>
                </w:tcPr>
                <w:p>
                  <w:pPr>
                    <w:pStyle w:val="60"/>
                    <w:spacing w:line="240" w:lineRule="auto"/>
                    <w:rPr>
                      <w:rFonts w:ascii="Times New Roman" w:hAnsi="Times New Roman" w:cs="Times New Roman"/>
                      <w:b/>
                      <w:bCs/>
                      <w:color w:val="000000"/>
                      <w:sz w:val="21"/>
                      <w:szCs w:val="21"/>
                    </w:rPr>
                  </w:pPr>
                  <w:r>
                    <w:rPr>
                      <w:rFonts w:ascii="Times New Roman" w:hAnsi="Times New Roman" w:cs="Times New Roman"/>
                      <w:b/>
                      <w:bCs/>
                      <w:color w:val="000000"/>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0" w:type="dxa"/>
                  <w:noWrap w:val="0"/>
                  <w:vAlign w:val="center"/>
                </w:tcPr>
                <w:p>
                  <w:pPr>
                    <w:pStyle w:val="60"/>
                    <w:spacing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厂界四周各布设一个噪声监测点</w:t>
                  </w:r>
                </w:p>
              </w:tc>
              <w:tc>
                <w:tcPr>
                  <w:tcW w:w="1733" w:type="dxa"/>
                  <w:noWrap w:val="0"/>
                  <w:vAlign w:val="center"/>
                </w:tcPr>
                <w:p>
                  <w:pPr>
                    <w:pStyle w:val="60"/>
                    <w:spacing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连续等效A声级</w:t>
                  </w:r>
                </w:p>
              </w:tc>
              <w:tc>
                <w:tcPr>
                  <w:tcW w:w="1185" w:type="dxa"/>
                  <w:noWrap w:val="0"/>
                  <w:vAlign w:val="center"/>
                </w:tcPr>
                <w:p>
                  <w:pPr>
                    <w:pStyle w:val="60"/>
                    <w:spacing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每季一次</w:t>
                  </w:r>
                </w:p>
              </w:tc>
              <w:tc>
                <w:tcPr>
                  <w:tcW w:w="3686" w:type="dxa"/>
                  <w:noWrap w:val="0"/>
                  <w:vAlign w:val="center"/>
                </w:tcPr>
                <w:p>
                  <w:pPr>
                    <w:pStyle w:val="60"/>
                    <w:spacing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《工业企业厂界环境噪声排放标准》（GB12348-2008）的中2类标准</w:t>
                  </w:r>
                </w:p>
              </w:tc>
            </w:tr>
          </w:tbl>
          <w:p>
            <w:pPr>
              <w:adjustRightInd w:val="0"/>
              <w:snapToGrid w:val="0"/>
              <w:spacing w:before="120" w:beforeLines="50" w:line="360" w:lineRule="auto"/>
            </w:pPr>
            <w:r>
              <w:rPr>
                <w:rFonts w:hint="eastAsia"/>
                <w:b/>
                <w:bCs/>
              </w:rPr>
              <w:t>4、</w:t>
            </w:r>
            <w:r>
              <w:rPr>
                <w:b/>
                <w:bCs/>
              </w:rPr>
              <w:t>固体废物</w:t>
            </w:r>
          </w:p>
          <w:p>
            <w:pPr>
              <w:adjustRightInd w:val="0"/>
              <w:snapToGrid w:val="0"/>
              <w:spacing w:line="360" w:lineRule="auto"/>
              <w:ind w:firstLine="480" w:firstLineChars="200"/>
            </w:pPr>
            <w:r>
              <w:t>本项目运营期间的固体废物主要</w:t>
            </w:r>
            <w:r>
              <w:rPr>
                <w:rFonts w:hint="eastAsia"/>
                <w:lang w:val="en-US" w:eastAsia="zh-CN"/>
              </w:rPr>
              <w:t>为</w:t>
            </w:r>
            <w:r>
              <w:t>一般</w:t>
            </w:r>
            <w:r>
              <w:rPr>
                <w:rFonts w:hint="eastAsia"/>
              </w:rPr>
              <w:t>工业</w:t>
            </w:r>
            <w:r>
              <w:t>固废</w:t>
            </w:r>
            <w:r>
              <w:rPr>
                <w:rFonts w:hint="eastAsia"/>
                <w:lang w:eastAsia="zh-CN"/>
              </w:rPr>
              <w:t>、</w:t>
            </w:r>
            <w:r>
              <w:rPr>
                <w:rFonts w:hint="eastAsia"/>
                <w:lang w:val="en-US" w:eastAsia="zh-CN"/>
              </w:rPr>
              <w:t>危废</w:t>
            </w:r>
            <w:r>
              <w:t>和生活垃圾等。</w:t>
            </w:r>
          </w:p>
          <w:p>
            <w:pPr>
              <w:adjustRightInd w:val="0"/>
              <w:snapToGrid w:val="0"/>
              <w:spacing w:line="360" w:lineRule="auto"/>
              <w:ind w:firstLine="480" w:firstLineChars="200"/>
            </w:pPr>
            <w:r>
              <w:rPr>
                <w:rFonts w:hint="eastAsia"/>
              </w:rPr>
              <w:t>（1）</w:t>
            </w:r>
            <w:r>
              <w:t>一般</w:t>
            </w:r>
            <w:r>
              <w:rPr>
                <w:rFonts w:hint="eastAsia"/>
              </w:rPr>
              <w:t>工业</w:t>
            </w:r>
            <w:r>
              <w:t>固废</w:t>
            </w:r>
          </w:p>
          <w:p>
            <w:pPr>
              <w:spacing w:line="360" w:lineRule="auto"/>
              <w:ind w:firstLine="480" w:firstLineChars="200"/>
              <w:rPr>
                <w:rFonts w:ascii="Times New Roman" w:hAnsi="Times New Roman" w:cs="Times New Roman"/>
                <w:bCs/>
                <w:sz w:val="24"/>
              </w:rPr>
            </w:pPr>
            <w:r>
              <w:rPr>
                <w:rFonts w:hint="eastAsia" w:ascii="宋体" w:hAnsi="宋体" w:cs="宋体"/>
                <w:lang w:val="en-US" w:eastAsia="zh-CN"/>
              </w:rPr>
              <w:t>除尘器收集的粉尘：</w:t>
            </w:r>
            <w:r>
              <w:rPr>
                <w:rFonts w:ascii="Times New Roman" w:hAnsi="Times New Roman" w:cs="Times New Roman"/>
                <w:bCs/>
                <w:sz w:val="24"/>
              </w:rPr>
              <w:t>除尘器收集的粉尘为</w:t>
            </w:r>
            <w:r>
              <w:rPr>
                <w:rFonts w:hint="eastAsia" w:cs="Times New Roman"/>
                <w:bCs/>
                <w:sz w:val="24"/>
                <w:lang w:val="en-US" w:eastAsia="zh-CN"/>
              </w:rPr>
              <w:t>448.875</w:t>
            </w:r>
            <w:r>
              <w:rPr>
                <w:rFonts w:ascii="Times New Roman" w:hAnsi="Times New Roman" w:cs="Times New Roman"/>
                <w:bCs/>
                <w:sz w:val="24"/>
              </w:rPr>
              <w:t>t/a，经收集后定期回用于生产，不外排。根据《固体废物鉴别标准通则》（GB34330-2017）可知，粉尘属于其中“在物质破碎、粉碎、筛分、碾磨、切割、包装等加工处理过程中产生的不能直接作为产品或原材料或作为现场返料的回收粉尘、粉末”，故粉尘属于固废。根据《一般固体废物分类及代码》（GB/T 39198-2020）可知，废物代码为900-999-66。</w:t>
            </w:r>
          </w:p>
          <w:p>
            <w:pPr>
              <w:spacing w:line="360" w:lineRule="auto"/>
              <w:ind w:firstLine="480" w:firstLineChars="200"/>
              <w:rPr>
                <w:rFonts w:ascii="Times New Roman" w:hAnsi="Times New Roman" w:cs="Times New Roman"/>
                <w:color w:val="000000"/>
              </w:rPr>
            </w:pPr>
            <w:r>
              <w:rPr>
                <w:rFonts w:ascii="Times New Roman" w:hAnsi="Times New Roman" w:cs="Times New Roman"/>
                <w:bCs/>
                <w:color w:val="000000"/>
                <w:sz w:val="24"/>
              </w:rPr>
              <w:t>沉淀池底泥</w:t>
            </w:r>
            <w:r>
              <w:rPr>
                <w:rFonts w:hint="eastAsia" w:ascii="Times New Roman" w:hAnsi="Times New Roman" w:cs="Times New Roman"/>
                <w:bCs/>
                <w:color w:val="000000"/>
                <w:sz w:val="24"/>
                <w:lang w:eastAsia="zh-CN"/>
              </w:rPr>
              <w:t>：</w:t>
            </w:r>
            <w:r>
              <w:rPr>
                <w:rFonts w:ascii="Times New Roman" w:hAnsi="Times New Roman" w:cs="Times New Roman"/>
                <w:bCs/>
                <w:color w:val="000000"/>
                <w:sz w:val="24"/>
              </w:rPr>
              <w:t>沉淀池沉淀后的底泥产生量约为</w:t>
            </w:r>
            <w:r>
              <w:rPr>
                <w:rFonts w:hint="eastAsia" w:cs="Times New Roman"/>
                <w:bCs/>
                <w:color w:val="000000"/>
                <w:sz w:val="24"/>
                <w:lang w:val="en-US" w:eastAsia="zh-CN"/>
              </w:rPr>
              <w:t>20</w:t>
            </w:r>
            <w:r>
              <w:rPr>
                <w:rFonts w:ascii="Times New Roman" w:hAnsi="Times New Roman" w:cs="Times New Roman"/>
                <w:bCs/>
                <w:color w:val="000000"/>
                <w:sz w:val="24"/>
              </w:rPr>
              <w:t>t/a，底泥成分主要为砂石粉料</w:t>
            </w:r>
            <w:r>
              <w:rPr>
                <w:rFonts w:hint="eastAsia" w:ascii="Times New Roman" w:hAnsi="Times New Roman" w:cs="Times New Roman"/>
                <w:bCs/>
                <w:color w:val="000000"/>
                <w:sz w:val="24"/>
                <w:lang w:eastAsia="zh-CN"/>
              </w:rPr>
              <w:t>、</w:t>
            </w:r>
            <w:r>
              <w:rPr>
                <w:rFonts w:hint="eastAsia" w:ascii="Times New Roman" w:hAnsi="Times New Roman" w:cs="Times New Roman"/>
                <w:bCs/>
                <w:color w:val="000000"/>
                <w:sz w:val="24"/>
                <w:lang w:val="en-US" w:eastAsia="zh-CN"/>
              </w:rPr>
              <w:t>石子等</w:t>
            </w:r>
            <w:r>
              <w:rPr>
                <w:rFonts w:ascii="Times New Roman" w:hAnsi="Times New Roman" w:cs="Times New Roman"/>
                <w:bCs/>
                <w:color w:val="000000"/>
                <w:sz w:val="24"/>
              </w:rPr>
              <w:t>，定期清理出来，</w:t>
            </w:r>
            <w:r>
              <w:rPr>
                <w:rFonts w:hint="eastAsia" w:ascii="Times New Roman" w:hAnsi="Times New Roman" w:cs="Times New Roman"/>
                <w:bCs/>
                <w:color w:val="000000"/>
                <w:sz w:val="24"/>
                <w:lang w:val="en-US" w:eastAsia="zh-CN"/>
              </w:rPr>
              <w:t>经砂石分离机分离砂石粉料和石子，</w:t>
            </w:r>
            <w:r>
              <w:rPr>
                <w:rFonts w:hint="eastAsia" w:cs="Times New Roman"/>
                <w:bCs/>
                <w:color w:val="auto"/>
                <w:sz w:val="24"/>
                <w:lang w:val="en-US" w:eastAsia="zh-CN"/>
              </w:rPr>
              <w:t>晾干后回用于生产</w:t>
            </w:r>
            <w:r>
              <w:rPr>
                <w:rFonts w:ascii="Times New Roman" w:hAnsi="Times New Roman" w:cs="Times New Roman"/>
                <w:bCs/>
                <w:color w:val="auto"/>
                <w:sz w:val="24"/>
              </w:rPr>
              <w:t>。</w:t>
            </w:r>
            <w:r>
              <w:rPr>
                <w:rFonts w:ascii="Times New Roman" w:hAnsi="Times New Roman" w:cs="Times New Roman"/>
                <w:bCs/>
                <w:sz w:val="24"/>
              </w:rPr>
              <w:t>根据《固体废物鉴别标准通则》（GB34330-2017）可知，污泥属于其中“水净化和废水处理产生的污泥及其他废弃物质”，故污泥属于固废。根据《一般固体废物分类及代码》（GB/T 39198-2020）可知，废物代码为900-999-61。</w:t>
            </w:r>
          </w:p>
          <w:p>
            <w:pPr>
              <w:adjustRightInd w:val="0"/>
              <w:snapToGrid w:val="0"/>
              <w:spacing w:line="360" w:lineRule="auto"/>
              <w:ind w:firstLine="480" w:firstLineChars="200"/>
              <w:rPr>
                <w:rFonts w:hint="eastAsia" w:ascii="Times New Roman" w:hAnsi="Times New Roman" w:cs="Times New Roman"/>
                <w:bCs/>
                <w:color w:val="000000"/>
                <w:sz w:val="24"/>
                <w:lang w:val="en-US" w:eastAsia="zh-CN"/>
              </w:rPr>
            </w:pPr>
            <w:r>
              <w:rPr>
                <w:rFonts w:hint="eastAsia" w:ascii="Times New Roman" w:hAnsi="Times New Roman" w:cs="Times New Roman"/>
                <w:bCs/>
                <w:color w:val="000000"/>
                <w:sz w:val="24"/>
                <w:lang w:eastAsia="zh-CN"/>
              </w:rPr>
              <w:t>（</w:t>
            </w:r>
            <w:r>
              <w:rPr>
                <w:rFonts w:hint="eastAsia" w:ascii="Times New Roman" w:hAnsi="Times New Roman" w:cs="Times New Roman"/>
                <w:bCs/>
                <w:color w:val="000000"/>
                <w:sz w:val="24"/>
                <w:lang w:val="en-US" w:eastAsia="zh-CN"/>
              </w:rPr>
              <w:t>2</w:t>
            </w:r>
            <w:r>
              <w:rPr>
                <w:rFonts w:hint="eastAsia" w:ascii="Times New Roman" w:hAnsi="Times New Roman" w:cs="Times New Roman"/>
                <w:bCs/>
                <w:color w:val="000000"/>
                <w:sz w:val="24"/>
                <w:lang w:eastAsia="zh-CN"/>
              </w:rPr>
              <w:t>）</w:t>
            </w:r>
            <w:r>
              <w:rPr>
                <w:rFonts w:hint="eastAsia" w:ascii="Times New Roman" w:hAnsi="Times New Roman" w:cs="Times New Roman"/>
                <w:bCs/>
                <w:color w:val="000000"/>
                <w:sz w:val="24"/>
                <w:lang w:val="en-US" w:eastAsia="zh-CN"/>
              </w:rPr>
              <w:t>危险废物</w:t>
            </w:r>
          </w:p>
          <w:p>
            <w:pPr>
              <w:numPr>
                <w:ilvl w:val="0"/>
                <w:numId w:val="0"/>
              </w:numPr>
              <w:autoSpaceDE w:val="0"/>
              <w:autoSpaceDN w:val="0"/>
              <w:adjustRightInd w:val="0"/>
              <w:spacing w:line="360" w:lineRule="auto"/>
              <w:ind w:firstLine="480" w:firstLineChars="200"/>
              <w:rPr>
                <w:rFonts w:ascii="Times New Roman" w:hAnsi="Times New Roman" w:cs="Times New Roman"/>
                <w:kern w:val="0"/>
                <w:sz w:val="24"/>
              </w:rPr>
            </w:pPr>
            <w:r>
              <w:rPr>
                <w:rFonts w:ascii="Times New Roman" w:hAnsi="Times New Roman" w:cs="Times New Roman"/>
                <w:bCs/>
                <w:sz w:val="24"/>
              </w:rPr>
              <w:t>废机油</w:t>
            </w:r>
            <w:r>
              <w:rPr>
                <w:rFonts w:hint="eastAsia" w:ascii="Times New Roman" w:hAnsi="Times New Roman" w:cs="Times New Roman"/>
                <w:bCs/>
                <w:sz w:val="24"/>
                <w:lang w:eastAsia="zh-CN"/>
              </w:rPr>
              <w:t>：</w:t>
            </w:r>
            <w:r>
              <w:rPr>
                <w:rFonts w:ascii="Times New Roman" w:hAnsi="Times New Roman" w:cs="Times New Roman"/>
                <w:sz w:val="24"/>
              </w:rPr>
              <w:t>项目在维修车辆及设备过程中产生少量废机油，根据企业提供的资料数据，产生量约为</w:t>
            </w:r>
            <w:r>
              <w:rPr>
                <w:rFonts w:ascii="Times New Roman" w:hAnsi="Times New Roman" w:cs="Times New Roman"/>
                <w:color w:val="000000"/>
                <w:sz w:val="24"/>
              </w:rPr>
              <w:t>0.1t</w:t>
            </w:r>
            <w:r>
              <w:rPr>
                <w:rFonts w:ascii="Times New Roman" w:hAnsi="Times New Roman" w:cs="Times New Roman"/>
                <w:sz w:val="24"/>
              </w:rPr>
              <w:t>/a。根据《国家危险废物名录》（2021版），废机油属于危险废物，废物类别为HW08，废物代码为900-214-08。</w:t>
            </w:r>
            <w:r>
              <w:rPr>
                <w:rFonts w:ascii="Times New Roman" w:hAnsi="Times New Roman" w:cs="Times New Roman"/>
                <w:kern w:val="0"/>
                <w:sz w:val="24"/>
              </w:rPr>
              <w:t>经收集后放入专用的储存桶内暂存于危险废物暂存库内，由有资质单位进行处理。</w:t>
            </w:r>
          </w:p>
          <w:p>
            <w:pPr>
              <w:autoSpaceDE w:val="0"/>
              <w:autoSpaceDN w:val="0"/>
              <w:spacing w:line="360" w:lineRule="auto"/>
              <w:ind w:firstLine="480" w:firstLineChars="200"/>
              <w:rPr>
                <w:rFonts w:hint="default" w:ascii="宋体" w:hAnsi="宋体" w:eastAsia="宋体" w:cs="宋体"/>
                <w:lang w:val="en-US" w:eastAsia="zh-CN"/>
              </w:rPr>
            </w:pPr>
            <w:r>
              <w:rPr>
                <w:rFonts w:ascii="Times New Roman" w:hAnsi="Times New Roman" w:cs="Times New Roman"/>
                <w:kern w:val="0"/>
                <w:sz w:val="24"/>
              </w:rPr>
              <w:t>废机油桶</w:t>
            </w:r>
            <w:r>
              <w:rPr>
                <w:rFonts w:hint="eastAsia" w:ascii="Times New Roman" w:hAnsi="Times New Roman" w:cs="Times New Roman"/>
                <w:kern w:val="0"/>
                <w:sz w:val="24"/>
                <w:lang w:eastAsia="zh-CN"/>
              </w:rPr>
              <w:t>：</w:t>
            </w:r>
            <w:r>
              <w:rPr>
                <w:rFonts w:ascii="Times New Roman" w:hAnsi="Times New Roman" w:cs="Times New Roman"/>
                <w:sz w:val="24"/>
              </w:rPr>
              <w:t>项目在维修车辆及设备过程</w:t>
            </w:r>
            <w:r>
              <w:rPr>
                <w:rFonts w:ascii="Times New Roman" w:hAnsi="Times New Roman" w:cs="Times New Roman"/>
                <w:bCs/>
                <w:sz w:val="24"/>
              </w:rPr>
              <w:t>中会使用一定量的机油，因此，会产生一定量的机油废包装桶，根据企业提供的资料，废机油包装桶的产生量为</w:t>
            </w:r>
            <w:r>
              <w:rPr>
                <w:rFonts w:ascii="Times New Roman" w:hAnsi="Times New Roman" w:cs="Times New Roman"/>
                <w:bCs/>
                <w:color w:val="000000"/>
                <w:sz w:val="24"/>
              </w:rPr>
              <w:t>0.05t/a</w:t>
            </w:r>
            <w:r>
              <w:rPr>
                <w:rFonts w:ascii="Times New Roman" w:hAnsi="Times New Roman" w:cs="Times New Roman"/>
                <w:bCs/>
                <w:sz w:val="24"/>
              </w:rPr>
              <w:t>。</w:t>
            </w:r>
            <w:r>
              <w:rPr>
                <w:rFonts w:ascii="Times New Roman" w:hAnsi="Times New Roman" w:cs="Times New Roman"/>
                <w:sz w:val="24"/>
              </w:rPr>
              <w:t>根据《国家危险废物名录》（2021版），废机油桶属于危险废物，废物类别为HW08，废物代码为900-249-08。</w:t>
            </w:r>
            <w:r>
              <w:rPr>
                <w:rFonts w:ascii="Times New Roman" w:hAnsi="Times New Roman" w:cs="Times New Roman"/>
                <w:bCs/>
                <w:sz w:val="24"/>
              </w:rPr>
              <w:t>为控制含有或直接沾染危险废物的包装物、容器在运输过程中可能发生的环境风险，应当按照危险废物的有关规定和要求对其贮存、运输等环节进行环境监管，统一收集后由有资质单位处置。</w:t>
            </w:r>
          </w:p>
          <w:p>
            <w:pPr>
              <w:pStyle w:val="56"/>
              <w:autoSpaceDE w:val="0"/>
              <w:spacing w:line="360" w:lineRule="auto"/>
              <w:ind w:firstLine="480"/>
              <w:rPr>
                <w:rFonts w:hint="default" w:ascii="宋体" w:hAnsi="宋体" w:eastAsia="宋体" w:cs="宋体"/>
                <w:lang w:val="en-US" w:eastAsia="zh-CN"/>
              </w:rPr>
            </w:pPr>
            <w:r>
              <w:rPr>
                <w:rFonts w:hint="eastAsia" w:ascii="宋体" w:hAnsi="宋体" w:cs="宋体"/>
                <w:lang w:val="en-US" w:eastAsia="zh-CN"/>
              </w:rPr>
              <w:t>（</w:t>
            </w:r>
            <w:r>
              <w:rPr>
                <w:rFonts w:hint="default" w:ascii="Times New Roman" w:hAnsi="Times New Roman" w:cs="Times New Roman"/>
                <w:lang w:val="en-US" w:eastAsia="zh-CN"/>
              </w:rPr>
              <w:t>2</w:t>
            </w:r>
            <w:r>
              <w:rPr>
                <w:rFonts w:hint="eastAsia" w:ascii="宋体" w:hAnsi="宋体" w:cs="宋体"/>
                <w:lang w:val="en-US" w:eastAsia="zh-CN"/>
              </w:rPr>
              <w:t>）生活垃圾：</w:t>
            </w:r>
            <w:r>
              <w:rPr>
                <w:rFonts w:hint="default" w:ascii="Times New Roman" w:hAnsi="Times New Roman" w:cs="Times New Roman"/>
                <w:color w:val="000000"/>
              </w:rPr>
              <w:t>职工办公生活产生的生活垃圾，按每人每日0.5kg计（项目职工</w:t>
            </w:r>
            <w:r>
              <w:rPr>
                <w:rFonts w:hint="eastAsia" w:cs="Times New Roman"/>
                <w:color w:val="000000"/>
                <w:lang w:val="en-US" w:eastAsia="zh-CN"/>
              </w:rPr>
              <w:t>80</w:t>
            </w:r>
            <w:r>
              <w:rPr>
                <w:rFonts w:hint="default" w:ascii="Times New Roman" w:hAnsi="Times New Roman" w:cs="Times New Roman"/>
                <w:color w:val="000000"/>
              </w:rPr>
              <w:t>人），每年生活垃圾产生量</w:t>
            </w:r>
            <w:r>
              <w:rPr>
                <w:rFonts w:hint="eastAsia" w:cs="Times New Roman"/>
                <w:color w:val="000000"/>
                <w:lang w:val="en-US" w:eastAsia="zh-CN"/>
              </w:rPr>
              <w:t>12.4</w:t>
            </w:r>
            <w:r>
              <w:rPr>
                <w:rFonts w:hint="default" w:ascii="Times New Roman" w:hAnsi="Times New Roman" w:cs="Times New Roman"/>
                <w:color w:val="000000"/>
              </w:rPr>
              <w:t>t，生活垃圾实行分类袋装化，由市政环卫部门统一处理。</w:t>
            </w:r>
          </w:p>
          <w:p>
            <w:pPr>
              <w:adjustRightInd w:val="0"/>
              <w:snapToGrid w:val="0"/>
              <w:jc w:val="center"/>
            </w:pPr>
            <w:r>
              <w:rPr>
                <w:b/>
                <w:bCs/>
              </w:rPr>
              <w:t>表4.</w:t>
            </w:r>
            <w:r>
              <w:rPr>
                <w:rFonts w:hint="eastAsia"/>
                <w:b/>
                <w:bCs/>
              </w:rPr>
              <w:t>1</w:t>
            </w:r>
            <w:r>
              <w:rPr>
                <w:rFonts w:hint="eastAsia"/>
                <w:b/>
                <w:bCs/>
                <w:lang w:val="en-US" w:eastAsia="zh-CN"/>
              </w:rPr>
              <w:t>0</w:t>
            </w:r>
            <w:r>
              <w:rPr>
                <w:rFonts w:hint="eastAsia"/>
                <w:b/>
                <w:bCs/>
              </w:rPr>
              <w:t xml:space="preserve"> </w:t>
            </w:r>
            <w:r>
              <w:rPr>
                <w:rFonts w:hint="eastAsia"/>
                <w:b/>
                <w:bCs/>
                <w:lang w:val="en-US" w:eastAsia="zh-CN"/>
              </w:rPr>
              <w:t xml:space="preserve"> </w:t>
            </w:r>
            <w:r>
              <w:rPr>
                <w:b/>
              </w:rPr>
              <w:t>本项目固体废物产生及处理处置情况一览表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170"/>
              <w:gridCol w:w="1170"/>
              <w:gridCol w:w="769"/>
              <w:gridCol w:w="1154"/>
              <w:gridCol w:w="113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pct"/>
                  <w:tcBorders>
                    <w:tl2br w:val="nil"/>
                    <w:tr2bl w:val="nil"/>
                  </w:tcBorders>
                  <w:vAlign w:val="center"/>
                </w:tcPr>
                <w:p>
                  <w:pPr>
                    <w:jc w:val="center"/>
                    <w:rPr>
                      <w:b/>
                      <w:bCs/>
                      <w:sz w:val="21"/>
                      <w:szCs w:val="21"/>
                    </w:rPr>
                  </w:pPr>
                  <w:r>
                    <w:rPr>
                      <w:rFonts w:hint="eastAsia"/>
                      <w:b/>
                      <w:bCs/>
                      <w:sz w:val="21"/>
                      <w:szCs w:val="21"/>
                    </w:rPr>
                    <w:t>产生环节</w:t>
                  </w:r>
                </w:p>
              </w:tc>
              <w:tc>
                <w:tcPr>
                  <w:tcW w:w="732" w:type="pct"/>
                  <w:tcBorders>
                    <w:tl2br w:val="nil"/>
                    <w:tr2bl w:val="nil"/>
                  </w:tcBorders>
                  <w:vAlign w:val="center"/>
                </w:tcPr>
                <w:p>
                  <w:pPr>
                    <w:jc w:val="center"/>
                    <w:rPr>
                      <w:b/>
                      <w:bCs/>
                      <w:sz w:val="21"/>
                      <w:szCs w:val="21"/>
                    </w:rPr>
                  </w:pPr>
                  <w:r>
                    <w:rPr>
                      <w:rFonts w:hint="eastAsia"/>
                      <w:b/>
                      <w:bCs/>
                      <w:sz w:val="21"/>
                      <w:szCs w:val="21"/>
                    </w:rPr>
                    <w:t>废物属性</w:t>
                  </w:r>
                </w:p>
              </w:tc>
              <w:tc>
                <w:tcPr>
                  <w:tcW w:w="732" w:type="pct"/>
                  <w:tcBorders>
                    <w:tl2br w:val="nil"/>
                    <w:tr2bl w:val="nil"/>
                  </w:tcBorders>
                  <w:vAlign w:val="center"/>
                </w:tcPr>
                <w:p>
                  <w:pPr>
                    <w:jc w:val="center"/>
                    <w:rPr>
                      <w:b/>
                      <w:bCs/>
                      <w:sz w:val="21"/>
                      <w:szCs w:val="21"/>
                    </w:rPr>
                  </w:pPr>
                  <w:r>
                    <w:rPr>
                      <w:rFonts w:hint="eastAsia"/>
                      <w:b/>
                      <w:bCs/>
                      <w:sz w:val="21"/>
                      <w:szCs w:val="21"/>
                    </w:rPr>
                    <w:t>固废名称</w:t>
                  </w:r>
                </w:p>
              </w:tc>
              <w:tc>
                <w:tcPr>
                  <w:tcW w:w="481" w:type="pct"/>
                  <w:tcBorders>
                    <w:tl2br w:val="nil"/>
                    <w:tr2bl w:val="nil"/>
                  </w:tcBorders>
                  <w:vAlign w:val="center"/>
                </w:tcPr>
                <w:p>
                  <w:pPr>
                    <w:jc w:val="center"/>
                    <w:rPr>
                      <w:b/>
                      <w:bCs/>
                      <w:sz w:val="21"/>
                      <w:szCs w:val="21"/>
                    </w:rPr>
                  </w:pPr>
                  <w:r>
                    <w:rPr>
                      <w:rFonts w:hint="eastAsia"/>
                      <w:b/>
                      <w:bCs/>
                      <w:sz w:val="21"/>
                      <w:szCs w:val="21"/>
                    </w:rPr>
                    <w:t>状态</w:t>
                  </w:r>
                </w:p>
              </w:tc>
              <w:tc>
                <w:tcPr>
                  <w:tcW w:w="722" w:type="pct"/>
                  <w:tcBorders>
                    <w:tl2br w:val="nil"/>
                    <w:tr2bl w:val="nil"/>
                  </w:tcBorders>
                  <w:vAlign w:val="center"/>
                </w:tcPr>
                <w:p>
                  <w:pPr>
                    <w:jc w:val="center"/>
                    <w:rPr>
                      <w:b/>
                      <w:bCs/>
                      <w:sz w:val="21"/>
                      <w:szCs w:val="21"/>
                    </w:rPr>
                  </w:pPr>
                  <w:r>
                    <w:rPr>
                      <w:rFonts w:hint="eastAsia"/>
                      <w:b/>
                      <w:bCs/>
                      <w:sz w:val="21"/>
                      <w:szCs w:val="21"/>
                    </w:rPr>
                    <w:t>贮存方式</w:t>
                  </w:r>
                </w:p>
              </w:tc>
              <w:tc>
                <w:tcPr>
                  <w:tcW w:w="709" w:type="pct"/>
                  <w:tcBorders>
                    <w:tl2br w:val="nil"/>
                    <w:tr2bl w:val="nil"/>
                  </w:tcBorders>
                  <w:vAlign w:val="center"/>
                </w:tcPr>
                <w:p>
                  <w:pPr>
                    <w:jc w:val="center"/>
                    <w:rPr>
                      <w:b/>
                      <w:bCs/>
                      <w:sz w:val="21"/>
                      <w:szCs w:val="21"/>
                    </w:rPr>
                  </w:pPr>
                  <w:r>
                    <w:rPr>
                      <w:rFonts w:hint="eastAsia"/>
                      <w:b/>
                      <w:bCs/>
                      <w:sz w:val="21"/>
                      <w:szCs w:val="21"/>
                    </w:rPr>
                    <w:t>利用和处置量</w:t>
                  </w:r>
                </w:p>
              </w:tc>
              <w:tc>
                <w:tcPr>
                  <w:tcW w:w="882" w:type="pct"/>
                  <w:tcBorders>
                    <w:tl2br w:val="nil"/>
                    <w:tr2bl w:val="nil"/>
                  </w:tcBorders>
                  <w:vAlign w:val="center"/>
                </w:tcPr>
                <w:p>
                  <w:pPr>
                    <w:jc w:val="center"/>
                    <w:rPr>
                      <w:b/>
                      <w:bCs/>
                      <w:sz w:val="21"/>
                      <w:szCs w:val="21"/>
                    </w:rPr>
                  </w:pPr>
                  <w:r>
                    <w:rPr>
                      <w:rFonts w:hint="eastAsia"/>
                      <w:b/>
                      <w:bCs/>
                      <w:sz w:val="21"/>
                      <w:szCs w:val="21"/>
                    </w:rPr>
                    <w:t>利用处置方式和去向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9"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ascii="Times New Roman" w:hAnsi="Times New Roman" w:cs="Times New Roman"/>
                      <w:sz w:val="21"/>
                      <w:szCs w:val="21"/>
                      <w:lang w:bidi="ar"/>
                    </w:rPr>
                    <w:t>废气处理</w:t>
                  </w:r>
                </w:p>
              </w:tc>
              <w:tc>
                <w:tcPr>
                  <w:tcW w:w="732" w:type="pct"/>
                  <w:tcBorders>
                    <w:tl2br w:val="nil"/>
                    <w:tr2bl w:val="nil"/>
                  </w:tcBorders>
                  <w:vAlign w:val="center"/>
                </w:tcPr>
                <w:p>
                  <w:pPr>
                    <w:jc w:val="center"/>
                    <w:rPr>
                      <w:rFonts w:hint="eastAsia"/>
                      <w:sz w:val="21"/>
                      <w:szCs w:val="21"/>
                    </w:rPr>
                  </w:pPr>
                  <w:r>
                    <w:rPr>
                      <w:rFonts w:hint="eastAsia"/>
                      <w:sz w:val="21"/>
                      <w:szCs w:val="21"/>
                    </w:rPr>
                    <w:t>一般固废</w:t>
                  </w:r>
                </w:p>
              </w:tc>
              <w:tc>
                <w:tcPr>
                  <w:tcW w:w="732" w:type="pct"/>
                  <w:tcBorders>
                    <w:tl2br w:val="nil"/>
                    <w:tr2bl w:val="nil"/>
                  </w:tcBorders>
                  <w:vAlign w:val="center"/>
                </w:tcPr>
                <w:p>
                  <w:pPr>
                    <w:jc w:val="center"/>
                    <w:rPr>
                      <w:rFonts w:hint="eastAsia" w:eastAsia="宋体"/>
                      <w:sz w:val="21"/>
                      <w:szCs w:val="21"/>
                      <w:lang w:val="en-US" w:eastAsia="zh-CN"/>
                    </w:rPr>
                  </w:pPr>
                  <w:r>
                    <w:rPr>
                      <w:rFonts w:hint="eastAsia"/>
                      <w:sz w:val="21"/>
                      <w:szCs w:val="21"/>
                    </w:rPr>
                    <w:t>粉尘</w:t>
                  </w:r>
                </w:p>
              </w:tc>
              <w:tc>
                <w:tcPr>
                  <w:tcW w:w="481" w:type="pct"/>
                  <w:tcBorders>
                    <w:tl2br w:val="nil"/>
                    <w:tr2bl w:val="nil"/>
                  </w:tcBorders>
                  <w:vAlign w:val="center"/>
                </w:tcPr>
                <w:p>
                  <w:pPr>
                    <w:jc w:val="center"/>
                    <w:rPr>
                      <w:rFonts w:hint="eastAsia"/>
                      <w:sz w:val="21"/>
                      <w:szCs w:val="21"/>
                    </w:rPr>
                  </w:pPr>
                  <w:r>
                    <w:rPr>
                      <w:rFonts w:hint="eastAsia"/>
                      <w:sz w:val="21"/>
                      <w:szCs w:val="21"/>
                    </w:rPr>
                    <w:t>固态</w:t>
                  </w:r>
                </w:p>
              </w:tc>
              <w:tc>
                <w:tcPr>
                  <w:tcW w:w="722" w:type="pct"/>
                  <w:tcBorders>
                    <w:tl2br w:val="nil"/>
                    <w:tr2bl w:val="nil"/>
                  </w:tcBorders>
                  <w:vAlign w:val="center"/>
                </w:tcPr>
                <w:p>
                  <w:pPr>
                    <w:jc w:val="center"/>
                    <w:rPr>
                      <w:rFonts w:hint="eastAsia"/>
                      <w:sz w:val="21"/>
                      <w:szCs w:val="21"/>
                    </w:rPr>
                  </w:pPr>
                  <w:r>
                    <w:rPr>
                      <w:rFonts w:hint="eastAsia"/>
                      <w:sz w:val="21"/>
                      <w:szCs w:val="21"/>
                    </w:rPr>
                    <w:t>在一般固废区集中存放</w:t>
                  </w:r>
                </w:p>
              </w:tc>
              <w:tc>
                <w:tcPr>
                  <w:tcW w:w="709" w:type="pct"/>
                  <w:tcBorders>
                    <w:tl2br w:val="nil"/>
                    <w:tr2bl w:val="nil"/>
                  </w:tcBorders>
                  <w:vAlign w:val="center"/>
                </w:tcPr>
                <w:p>
                  <w:pPr>
                    <w:jc w:val="center"/>
                    <w:rPr>
                      <w:rFonts w:hint="default"/>
                      <w:sz w:val="21"/>
                      <w:szCs w:val="21"/>
                      <w:lang w:val="en-US" w:eastAsia="zh-CN"/>
                    </w:rPr>
                  </w:pPr>
                  <w:r>
                    <w:rPr>
                      <w:rFonts w:hint="eastAsia" w:cs="Times New Roman"/>
                      <w:sz w:val="21"/>
                      <w:szCs w:val="21"/>
                      <w:lang w:val="en-US" w:eastAsia="zh-CN"/>
                    </w:rPr>
                    <w:t>448.875</w:t>
                  </w:r>
                  <w:r>
                    <w:rPr>
                      <w:rFonts w:hint="eastAsia" w:ascii="Times New Roman" w:hAnsi="Times New Roman" w:cs="Times New Roman"/>
                      <w:sz w:val="21"/>
                      <w:szCs w:val="21"/>
                      <w:lang w:val="en-US" w:eastAsia="zh-CN"/>
                    </w:rPr>
                    <w:t>t</w:t>
                  </w:r>
                  <w:r>
                    <w:rPr>
                      <w:rFonts w:hint="eastAsia"/>
                      <w:sz w:val="21"/>
                      <w:szCs w:val="21"/>
                    </w:rPr>
                    <w:t>/a</w:t>
                  </w:r>
                </w:p>
              </w:tc>
              <w:tc>
                <w:tcPr>
                  <w:tcW w:w="882" w:type="pct"/>
                  <w:tcBorders>
                    <w:tl2br w:val="nil"/>
                    <w:tr2bl w:val="nil"/>
                  </w:tcBorders>
                  <w:vAlign w:val="center"/>
                </w:tcPr>
                <w:p>
                  <w:pPr>
                    <w:jc w:val="center"/>
                    <w:rPr>
                      <w:rFonts w:hint="default"/>
                      <w:sz w:val="21"/>
                      <w:szCs w:val="21"/>
                      <w:lang w:val="en-US" w:eastAsia="zh-CN"/>
                    </w:rPr>
                  </w:pPr>
                  <w:r>
                    <w:rPr>
                      <w:rFonts w:hint="eastAsia"/>
                      <w:sz w:val="21"/>
                      <w:szCs w:val="21"/>
                      <w:lang w:val="en-US" w:eastAsia="zh-CN"/>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9" w:type="dxa"/>
                  <w:tcBorders>
                    <w:tl2br w:val="nil"/>
                    <w:tr2bl w:val="nil"/>
                  </w:tcBorders>
                  <w:vAlign w:val="center"/>
                </w:tcPr>
                <w:p>
                  <w:pPr>
                    <w:jc w:val="center"/>
                    <w:rPr>
                      <w:rFonts w:hint="default" w:eastAsia="宋体"/>
                      <w:color w:val="auto"/>
                      <w:sz w:val="21"/>
                      <w:szCs w:val="21"/>
                      <w:lang w:val="en-US" w:eastAsia="zh-CN"/>
                    </w:rPr>
                  </w:pPr>
                  <w:r>
                    <w:rPr>
                      <w:rFonts w:ascii="Times New Roman" w:hAnsi="Times New Roman" w:cs="Times New Roman"/>
                      <w:color w:val="auto"/>
                      <w:sz w:val="21"/>
                      <w:szCs w:val="21"/>
                      <w:lang w:bidi="ar"/>
                    </w:rPr>
                    <w:t>废水处理</w:t>
                  </w:r>
                </w:p>
              </w:tc>
              <w:tc>
                <w:tcPr>
                  <w:tcW w:w="732" w:type="pct"/>
                  <w:tcBorders>
                    <w:tl2br w:val="nil"/>
                    <w:tr2bl w:val="nil"/>
                  </w:tcBorders>
                  <w:vAlign w:val="center"/>
                </w:tcPr>
                <w:p>
                  <w:pPr>
                    <w:jc w:val="center"/>
                    <w:rPr>
                      <w:color w:val="auto"/>
                      <w:sz w:val="21"/>
                      <w:szCs w:val="21"/>
                    </w:rPr>
                  </w:pPr>
                  <w:r>
                    <w:rPr>
                      <w:rFonts w:hint="eastAsia"/>
                      <w:color w:val="auto"/>
                      <w:sz w:val="21"/>
                      <w:szCs w:val="21"/>
                    </w:rPr>
                    <w:t>一般固废</w:t>
                  </w:r>
                </w:p>
              </w:tc>
              <w:tc>
                <w:tcPr>
                  <w:tcW w:w="732"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沉淀池底泥</w:t>
                  </w:r>
                </w:p>
              </w:tc>
              <w:tc>
                <w:tcPr>
                  <w:tcW w:w="481" w:type="pct"/>
                  <w:tcBorders>
                    <w:tl2br w:val="nil"/>
                    <w:tr2bl w:val="nil"/>
                  </w:tcBorders>
                  <w:vAlign w:val="center"/>
                </w:tcPr>
                <w:p>
                  <w:pPr>
                    <w:jc w:val="center"/>
                    <w:rPr>
                      <w:color w:val="auto"/>
                      <w:sz w:val="21"/>
                      <w:szCs w:val="21"/>
                    </w:rPr>
                  </w:pPr>
                  <w:r>
                    <w:rPr>
                      <w:rFonts w:hint="eastAsia"/>
                      <w:color w:val="auto"/>
                      <w:sz w:val="21"/>
                      <w:szCs w:val="21"/>
                    </w:rPr>
                    <w:t>固态</w:t>
                  </w:r>
                </w:p>
              </w:tc>
              <w:tc>
                <w:tcPr>
                  <w:tcW w:w="722" w:type="pct"/>
                  <w:tcBorders>
                    <w:tl2br w:val="nil"/>
                    <w:tr2bl w:val="nil"/>
                  </w:tcBorders>
                  <w:vAlign w:val="center"/>
                </w:tcPr>
                <w:p>
                  <w:pPr>
                    <w:jc w:val="center"/>
                    <w:rPr>
                      <w:color w:val="auto"/>
                      <w:sz w:val="21"/>
                      <w:szCs w:val="21"/>
                    </w:rPr>
                  </w:pPr>
                  <w:r>
                    <w:rPr>
                      <w:rFonts w:hint="eastAsia"/>
                      <w:color w:val="auto"/>
                      <w:sz w:val="21"/>
                      <w:szCs w:val="21"/>
                    </w:rPr>
                    <w:t>在一般固废区集中存放</w:t>
                  </w:r>
                </w:p>
              </w:tc>
              <w:tc>
                <w:tcPr>
                  <w:tcW w:w="709" w:type="pct"/>
                  <w:tcBorders>
                    <w:tl2br w:val="nil"/>
                    <w:tr2bl w:val="nil"/>
                  </w:tcBorders>
                  <w:vAlign w:val="center"/>
                </w:tcPr>
                <w:p>
                  <w:pPr>
                    <w:jc w:val="center"/>
                    <w:rPr>
                      <w:color w:val="auto"/>
                      <w:sz w:val="21"/>
                      <w:szCs w:val="21"/>
                    </w:rPr>
                  </w:pPr>
                  <w:r>
                    <w:rPr>
                      <w:rFonts w:hint="eastAsia" w:cs="Times New Roman"/>
                      <w:color w:val="auto"/>
                      <w:sz w:val="21"/>
                      <w:szCs w:val="21"/>
                      <w:lang w:val="en-US" w:eastAsia="zh-CN"/>
                    </w:rPr>
                    <w:t>20</w:t>
                  </w:r>
                  <w:r>
                    <w:rPr>
                      <w:rFonts w:hint="eastAsia" w:ascii="Times New Roman" w:hAnsi="Times New Roman" w:cs="Times New Roman"/>
                      <w:color w:val="auto"/>
                      <w:sz w:val="21"/>
                      <w:szCs w:val="21"/>
                      <w:lang w:val="en-US" w:eastAsia="zh-CN"/>
                    </w:rPr>
                    <w:t>t</w:t>
                  </w:r>
                  <w:r>
                    <w:rPr>
                      <w:rFonts w:hint="eastAsia"/>
                      <w:color w:val="auto"/>
                      <w:sz w:val="21"/>
                      <w:szCs w:val="21"/>
                    </w:rPr>
                    <w:t>/a</w:t>
                  </w:r>
                </w:p>
              </w:tc>
              <w:tc>
                <w:tcPr>
                  <w:tcW w:w="882" w:type="pct"/>
                  <w:tcBorders>
                    <w:tl2br w:val="nil"/>
                    <w:tr2bl w:val="nil"/>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pct"/>
                  <w:tcBorders>
                    <w:tl2br w:val="nil"/>
                    <w:tr2bl w:val="nil"/>
                  </w:tcBorders>
                  <w:vAlign w:val="center"/>
                </w:tcPr>
                <w:p>
                  <w:pPr>
                    <w:jc w:val="center"/>
                    <w:rPr>
                      <w:sz w:val="21"/>
                      <w:szCs w:val="21"/>
                    </w:rPr>
                  </w:pPr>
                  <w:r>
                    <w:rPr>
                      <w:rFonts w:hint="eastAsia"/>
                      <w:sz w:val="21"/>
                      <w:szCs w:val="21"/>
                    </w:rPr>
                    <w:t>办公</w:t>
                  </w:r>
                </w:p>
                <w:p>
                  <w:pPr>
                    <w:jc w:val="center"/>
                    <w:rPr>
                      <w:sz w:val="21"/>
                      <w:szCs w:val="21"/>
                    </w:rPr>
                  </w:pPr>
                  <w:r>
                    <w:rPr>
                      <w:rFonts w:hint="eastAsia"/>
                      <w:sz w:val="21"/>
                      <w:szCs w:val="21"/>
                    </w:rPr>
                    <w:t>生活</w:t>
                  </w:r>
                </w:p>
              </w:tc>
              <w:tc>
                <w:tcPr>
                  <w:tcW w:w="732" w:type="pct"/>
                  <w:tcBorders>
                    <w:tl2br w:val="nil"/>
                    <w:tr2bl w:val="nil"/>
                  </w:tcBorders>
                  <w:vAlign w:val="center"/>
                </w:tcPr>
                <w:p>
                  <w:pPr>
                    <w:jc w:val="center"/>
                    <w:rPr>
                      <w:sz w:val="21"/>
                      <w:szCs w:val="21"/>
                    </w:rPr>
                  </w:pPr>
                  <w:r>
                    <w:rPr>
                      <w:rFonts w:hint="eastAsia"/>
                      <w:sz w:val="21"/>
                      <w:szCs w:val="21"/>
                    </w:rPr>
                    <w:t>生活垃圾</w:t>
                  </w:r>
                </w:p>
              </w:tc>
              <w:tc>
                <w:tcPr>
                  <w:tcW w:w="732" w:type="pct"/>
                  <w:tcBorders>
                    <w:tl2br w:val="nil"/>
                    <w:tr2bl w:val="nil"/>
                  </w:tcBorders>
                  <w:vAlign w:val="center"/>
                </w:tcPr>
                <w:p>
                  <w:pPr>
                    <w:jc w:val="center"/>
                    <w:rPr>
                      <w:sz w:val="21"/>
                      <w:szCs w:val="21"/>
                    </w:rPr>
                  </w:pPr>
                  <w:r>
                    <w:rPr>
                      <w:rFonts w:hint="eastAsia"/>
                      <w:sz w:val="21"/>
                      <w:szCs w:val="21"/>
                    </w:rPr>
                    <w:t>生活</w:t>
                  </w:r>
                </w:p>
                <w:p>
                  <w:pPr>
                    <w:jc w:val="center"/>
                    <w:rPr>
                      <w:sz w:val="21"/>
                      <w:szCs w:val="21"/>
                    </w:rPr>
                  </w:pPr>
                  <w:r>
                    <w:rPr>
                      <w:rFonts w:hint="eastAsia"/>
                      <w:sz w:val="21"/>
                      <w:szCs w:val="21"/>
                    </w:rPr>
                    <w:t>垃圾</w:t>
                  </w:r>
                </w:p>
              </w:tc>
              <w:tc>
                <w:tcPr>
                  <w:tcW w:w="481" w:type="pct"/>
                  <w:tcBorders>
                    <w:tl2br w:val="nil"/>
                    <w:tr2bl w:val="nil"/>
                  </w:tcBorders>
                  <w:vAlign w:val="center"/>
                </w:tcPr>
                <w:p>
                  <w:pPr>
                    <w:jc w:val="center"/>
                    <w:rPr>
                      <w:sz w:val="21"/>
                      <w:szCs w:val="21"/>
                    </w:rPr>
                  </w:pPr>
                  <w:r>
                    <w:rPr>
                      <w:rFonts w:hint="eastAsia"/>
                      <w:sz w:val="21"/>
                      <w:szCs w:val="21"/>
                    </w:rPr>
                    <w:t>固态</w:t>
                  </w:r>
                </w:p>
              </w:tc>
              <w:tc>
                <w:tcPr>
                  <w:tcW w:w="722" w:type="pct"/>
                  <w:tcBorders>
                    <w:tl2br w:val="nil"/>
                    <w:tr2bl w:val="nil"/>
                  </w:tcBorders>
                  <w:vAlign w:val="center"/>
                </w:tcPr>
                <w:p>
                  <w:pPr>
                    <w:jc w:val="center"/>
                    <w:rPr>
                      <w:sz w:val="21"/>
                      <w:szCs w:val="21"/>
                    </w:rPr>
                  </w:pPr>
                  <w:r>
                    <w:rPr>
                      <w:rFonts w:hint="eastAsia"/>
                      <w:sz w:val="21"/>
                      <w:szCs w:val="21"/>
                    </w:rPr>
                    <w:t>厂内垃圾收集处单独存放</w:t>
                  </w:r>
                </w:p>
              </w:tc>
              <w:tc>
                <w:tcPr>
                  <w:tcW w:w="709" w:type="pct"/>
                  <w:tcBorders>
                    <w:tl2br w:val="nil"/>
                    <w:tr2bl w:val="nil"/>
                  </w:tcBorders>
                  <w:vAlign w:val="center"/>
                </w:tcPr>
                <w:p>
                  <w:pPr>
                    <w:jc w:val="center"/>
                    <w:rPr>
                      <w:sz w:val="21"/>
                      <w:szCs w:val="21"/>
                    </w:rPr>
                  </w:pPr>
                  <w:r>
                    <w:rPr>
                      <w:rFonts w:hint="eastAsia"/>
                      <w:sz w:val="21"/>
                      <w:szCs w:val="21"/>
                      <w:lang w:val="en-US" w:eastAsia="zh-CN"/>
                    </w:rPr>
                    <w:t>12.4</w:t>
                  </w:r>
                  <w:r>
                    <w:rPr>
                      <w:rFonts w:hint="eastAsia"/>
                      <w:sz w:val="21"/>
                      <w:szCs w:val="21"/>
                    </w:rPr>
                    <w:t>t/a</w:t>
                  </w:r>
                </w:p>
              </w:tc>
              <w:tc>
                <w:tcPr>
                  <w:tcW w:w="882" w:type="pct"/>
                  <w:tcBorders>
                    <w:tl2br w:val="nil"/>
                    <w:tr2bl w:val="nil"/>
                  </w:tcBorders>
                  <w:vAlign w:val="center"/>
                </w:tcPr>
                <w:p>
                  <w:pPr>
                    <w:jc w:val="center"/>
                    <w:rPr>
                      <w:sz w:val="21"/>
                      <w:szCs w:val="21"/>
                    </w:rPr>
                  </w:pPr>
                  <w:r>
                    <w:rPr>
                      <w:rFonts w:hint="eastAsia"/>
                      <w:sz w:val="21"/>
                      <w:szCs w:val="21"/>
                    </w:rPr>
                    <w:t>由环卫部门统一清运处理</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ascii="Times New Roman" w:hAnsi="Times New Roman" w:cs="Times New Roman"/>
                <w:b/>
                <w:sz w:val="24"/>
              </w:rPr>
            </w:pPr>
            <w:r>
              <w:rPr>
                <w:rFonts w:ascii="Times New Roman" w:hAnsi="Times New Roman" w:cs="Times New Roman"/>
                <w:b/>
                <w:sz w:val="24"/>
                <w:lang w:bidi="ar"/>
              </w:rPr>
              <w:t>表4</w:t>
            </w:r>
            <w:r>
              <w:rPr>
                <w:rFonts w:hint="eastAsia" w:ascii="Times New Roman" w:hAnsi="Times New Roman" w:cs="Times New Roman"/>
                <w:b/>
                <w:sz w:val="24"/>
                <w:lang w:val="en-US" w:eastAsia="zh-CN" w:bidi="ar"/>
              </w:rPr>
              <w:t>.</w:t>
            </w:r>
            <w:r>
              <w:rPr>
                <w:rFonts w:ascii="Times New Roman" w:hAnsi="Times New Roman" w:cs="Times New Roman"/>
                <w:b/>
                <w:sz w:val="24"/>
                <w:lang w:bidi="ar"/>
              </w:rPr>
              <w:t>1</w:t>
            </w:r>
            <w:r>
              <w:rPr>
                <w:rFonts w:hint="eastAsia" w:cs="Times New Roman"/>
                <w:b/>
                <w:sz w:val="24"/>
                <w:lang w:val="en-US" w:eastAsia="zh-CN" w:bidi="ar"/>
              </w:rPr>
              <w:t>1</w:t>
            </w:r>
            <w:r>
              <w:rPr>
                <w:rFonts w:ascii="Times New Roman" w:hAnsi="Times New Roman" w:cs="Times New Roman"/>
                <w:b/>
                <w:sz w:val="24"/>
                <w:lang w:bidi="ar"/>
              </w:rPr>
              <w:t xml:space="preserve"> </w:t>
            </w:r>
            <w:r>
              <w:rPr>
                <w:rFonts w:hint="eastAsia" w:cs="Times New Roman"/>
                <w:b/>
                <w:sz w:val="24"/>
                <w:lang w:val="en-US" w:eastAsia="zh-CN" w:bidi="ar"/>
              </w:rPr>
              <w:t xml:space="preserve"> </w:t>
            </w:r>
            <w:r>
              <w:rPr>
                <w:rFonts w:ascii="Times New Roman" w:hAnsi="Times New Roman" w:cs="Times New Roman"/>
                <w:b/>
                <w:sz w:val="24"/>
                <w:lang w:bidi="ar"/>
              </w:rPr>
              <w:t>项目危险废物产生情况一览表</w:t>
            </w:r>
          </w:p>
          <w:tbl>
            <w:tblPr>
              <w:tblStyle w:val="26"/>
              <w:tblW w:w="5000" w:type="pct"/>
              <w:jc w:val="center"/>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008"/>
              <w:gridCol w:w="1208"/>
              <w:gridCol w:w="845"/>
              <w:gridCol w:w="1066"/>
              <w:gridCol w:w="667"/>
              <w:gridCol w:w="691"/>
              <w:gridCol w:w="1208"/>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pct"/>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Times New Roman"/>
                      <w:b/>
                      <w:sz w:val="21"/>
                      <w:szCs w:val="21"/>
                    </w:rPr>
                  </w:pPr>
                  <w:r>
                    <w:rPr>
                      <w:rFonts w:ascii="Times New Roman" w:hAnsi="Times New Roman" w:cs="Times New Roman"/>
                      <w:b/>
                      <w:sz w:val="21"/>
                      <w:szCs w:val="21"/>
                      <w:lang w:bidi="ar"/>
                    </w:rPr>
                    <w:t>危险废物名称</w:t>
                  </w:r>
                </w:p>
              </w:tc>
              <w:tc>
                <w:tcPr>
                  <w:tcW w:w="630" w:type="pct"/>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Times New Roman"/>
                      <w:b/>
                      <w:sz w:val="21"/>
                      <w:szCs w:val="21"/>
                    </w:rPr>
                  </w:pPr>
                  <w:r>
                    <w:rPr>
                      <w:rFonts w:ascii="Times New Roman" w:hAnsi="Times New Roman" w:cs="Times New Roman"/>
                      <w:b/>
                      <w:sz w:val="21"/>
                      <w:szCs w:val="21"/>
                      <w:lang w:bidi="ar"/>
                    </w:rPr>
                    <w:t>危险废物类别</w:t>
                  </w:r>
                </w:p>
              </w:tc>
              <w:tc>
                <w:tcPr>
                  <w:tcW w:w="755" w:type="pct"/>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Times New Roman"/>
                      <w:b/>
                      <w:sz w:val="21"/>
                      <w:szCs w:val="21"/>
                    </w:rPr>
                  </w:pPr>
                  <w:r>
                    <w:rPr>
                      <w:rFonts w:ascii="Times New Roman" w:hAnsi="Times New Roman" w:cs="Times New Roman"/>
                      <w:b/>
                      <w:sz w:val="21"/>
                      <w:szCs w:val="21"/>
                      <w:lang w:bidi="ar"/>
                    </w:rPr>
                    <w:t>危险废物代码</w:t>
                  </w:r>
                </w:p>
              </w:tc>
              <w:tc>
                <w:tcPr>
                  <w:tcW w:w="528" w:type="pct"/>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Times New Roman"/>
                      <w:b/>
                      <w:sz w:val="21"/>
                      <w:szCs w:val="21"/>
                    </w:rPr>
                  </w:pPr>
                  <w:r>
                    <w:rPr>
                      <w:rFonts w:ascii="Times New Roman" w:hAnsi="Times New Roman" w:cs="Times New Roman"/>
                      <w:b/>
                      <w:sz w:val="21"/>
                      <w:szCs w:val="21"/>
                      <w:lang w:bidi="ar"/>
                    </w:rPr>
                    <w:t>产生量</w:t>
                  </w:r>
                  <w:r>
                    <w:rPr>
                      <w:rFonts w:ascii="Times New Roman" w:hAnsi="Times New Roman" w:cs="Times New Roman"/>
                      <w:b/>
                      <w:sz w:val="21"/>
                      <w:szCs w:val="21"/>
                    </w:rPr>
                    <w:t>t/a</w:t>
                  </w:r>
                </w:p>
              </w:tc>
              <w:tc>
                <w:tcPr>
                  <w:tcW w:w="666" w:type="pct"/>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Times New Roman"/>
                      <w:b/>
                      <w:sz w:val="21"/>
                      <w:szCs w:val="21"/>
                    </w:rPr>
                  </w:pPr>
                  <w:r>
                    <w:rPr>
                      <w:rFonts w:ascii="Times New Roman" w:hAnsi="Times New Roman" w:cs="Times New Roman"/>
                      <w:b/>
                      <w:sz w:val="21"/>
                      <w:szCs w:val="21"/>
                      <w:lang w:bidi="ar"/>
                    </w:rPr>
                    <w:t>产生工序及装置</w:t>
                  </w:r>
                </w:p>
              </w:tc>
              <w:tc>
                <w:tcPr>
                  <w:tcW w:w="417" w:type="pct"/>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Times New Roman"/>
                      <w:b/>
                      <w:sz w:val="21"/>
                      <w:szCs w:val="21"/>
                    </w:rPr>
                  </w:pPr>
                  <w:r>
                    <w:rPr>
                      <w:rFonts w:ascii="Times New Roman" w:hAnsi="Times New Roman" w:cs="Times New Roman"/>
                      <w:b/>
                      <w:sz w:val="21"/>
                      <w:szCs w:val="21"/>
                    </w:rPr>
                    <w:t>形态</w:t>
                  </w:r>
                </w:p>
              </w:tc>
              <w:tc>
                <w:tcPr>
                  <w:tcW w:w="432" w:type="pct"/>
                  <w:tcBorders>
                    <w:top w:val="single" w:color="auto" w:sz="4" w:space="0"/>
                    <w:left w:val="nil"/>
                    <w:bottom w:val="single" w:color="auto" w:sz="4" w:space="0"/>
                    <w:right w:val="single" w:color="auto" w:sz="4" w:space="0"/>
                  </w:tcBorders>
                  <w:noWrap w:val="0"/>
                  <w:vAlign w:val="center"/>
                </w:tcPr>
                <w:p>
                  <w:pPr>
                    <w:jc w:val="center"/>
                    <w:outlineLvl w:val="0"/>
                    <w:rPr>
                      <w:rFonts w:ascii="Times New Roman" w:hAnsi="Times New Roman" w:cs="Times New Roman"/>
                      <w:b/>
                      <w:sz w:val="21"/>
                      <w:szCs w:val="21"/>
                    </w:rPr>
                  </w:pPr>
                  <w:r>
                    <w:rPr>
                      <w:rFonts w:ascii="Times New Roman" w:hAnsi="Times New Roman" w:cs="Times New Roman"/>
                      <w:b/>
                      <w:sz w:val="21"/>
                      <w:szCs w:val="21"/>
                    </w:rPr>
                    <w:t>危险特性</w:t>
                  </w:r>
                </w:p>
              </w:tc>
              <w:tc>
                <w:tcPr>
                  <w:tcW w:w="755" w:type="pct"/>
                  <w:tcBorders>
                    <w:top w:val="single" w:color="auto" w:sz="4" w:space="0"/>
                    <w:left w:val="nil"/>
                    <w:bottom w:val="single" w:color="auto" w:sz="4" w:space="0"/>
                    <w:right w:val="single" w:color="auto" w:sz="4" w:space="0"/>
                  </w:tcBorders>
                  <w:noWrap w:val="0"/>
                  <w:vAlign w:val="center"/>
                </w:tcPr>
                <w:p>
                  <w:pPr>
                    <w:jc w:val="center"/>
                    <w:outlineLvl w:val="0"/>
                    <w:rPr>
                      <w:rFonts w:ascii="Times New Roman" w:hAnsi="Times New Roman" w:cs="Times New Roman"/>
                      <w:b/>
                      <w:sz w:val="21"/>
                      <w:szCs w:val="21"/>
                      <w:lang w:bidi="ar"/>
                    </w:rPr>
                  </w:pPr>
                  <w:r>
                    <w:rPr>
                      <w:rFonts w:ascii="Times New Roman" w:hAnsi="Times New Roman" w:cs="Times New Roman"/>
                      <w:b/>
                      <w:sz w:val="21"/>
                      <w:szCs w:val="21"/>
                      <w:lang w:bidi="ar"/>
                    </w:rPr>
                    <w:t>污染防治措施</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废机油</w:t>
                  </w:r>
                </w:p>
              </w:tc>
              <w:tc>
                <w:tcPr>
                  <w:tcW w:w="63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rPr>
                    <w:t>HW08</w:t>
                  </w:r>
                </w:p>
              </w:tc>
              <w:tc>
                <w:tcPr>
                  <w:tcW w:w="75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rPr>
                    <w:t>900-214-08</w:t>
                  </w:r>
                </w:p>
              </w:tc>
              <w:tc>
                <w:tcPr>
                  <w:tcW w:w="5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rPr>
                    <w:t>0.1</w:t>
                  </w:r>
                </w:p>
              </w:tc>
              <w:tc>
                <w:tcPr>
                  <w:tcW w:w="666" w:type="pct"/>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Times New Roman"/>
                      <w:sz w:val="21"/>
                      <w:szCs w:val="21"/>
                    </w:rPr>
                  </w:pPr>
                  <w:r>
                    <w:rPr>
                      <w:rFonts w:ascii="Times New Roman" w:hAnsi="Times New Roman" w:cs="Times New Roman"/>
                      <w:sz w:val="21"/>
                      <w:szCs w:val="21"/>
                    </w:rPr>
                    <w:t>维修</w:t>
                  </w:r>
                </w:p>
              </w:tc>
              <w:tc>
                <w:tcPr>
                  <w:tcW w:w="417" w:type="pct"/>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Times New Roman"/>
                      <w:sz w:val="21"/>
                      <w:szCs w:val="21"/>
                    </w:rPr>
                  </w:pPr>
                  <w:r>
                    <w:rPr>
                      <w:rFonts w:ascii="Times New Roman" w:hAnsi="Times New Roman" w:cs="Times New Roman"/>
                      <w:sz w:val="21"/>
                      <w:szCs w:val="21"/>
                    </w:rPr>
                    <w:t>液态</w:t>
                  </w:r>
                </w:p>
              </w:tc>
              <w:tc>
                <w:tcPr>
                  <w:tcW w:w="432" w:type="pct"/>
                  <w:tcBorders>
                    <w:top w:val="single" w:color="auto" w:sz="4" w:space="0"/>
                    <w:left w:val="nil"/>
                    <w:bottom w:val="single" w:color="auto" w:sz="4" w:space="0"/>
                    <w:right w:val="single" w:color="auto" w:sz="4" w:space="0"/>
                  </w:tcBorders>
                  <w:noWrap w:val="0"/>
                  <w:vAlign w:val="center"/>
                </w:tcPr>
                <w:p>
                  <w:pPr>
                    <w:jc w:val="center"/>
                    <w:outlineLvl w:val="0"/>
                    <w:rPr>
                      <w:rFonts w:ascii="Times New Roman" w:hAnsi="Times New Roman" w:cs="Times New Roman"/>
                      <w:sz w:val="21"/>
                      <w:szCs w:val="21"/>
                      <w:lang w:bidi="ar"/>
                    </w:rPr>
                  </w:pPr>
                  <w:r>
                    <w:rPr>
                      <w:rFonts w:ascii="Times New Roman" w:hAnsi="Times New Roman" w:cs="Times New Roman"/>
                      <w:sz w:val="21"/>
                      <w:szCs w:val="21"/>
                      <w:lang w:bidi="ar"/>
                    </w:rPr>
                    <w:t>T，I</w:t>
                  </w:r>
                </w:p>
              </w:tc>
              <w:tc>
                <w:tcPr>
                  <w:tcW w:w="755" w:type="pct"/>
                  <w:vMerge w:val="restart"/>
                  <w:tcBorders>
                    <w:left w:val="nil"/>
                    <w:right w:val="single" w:color="auto" w:sz="4" w:space="0"/>
                  </w:tcBorders>
                  <w:noWrap w:val="0"/>
                  <w:vAlign w:val="center"/>
                </w:tcPr>
                <w:p>
                  <w:pPr>
                    <w:jc w:val="center"/>
                    <w:outlineLvl w:val="0"/>
                    <w:rPr>
                      <w:rFonts w:ascii="Times New Roman" w:hAnsi="Times New Roman" w:cs="Times New Roman"/>
                      <w:sz w:val="21"/>
                      <w:szCs w:val="21"/>
                      <w:lang w:bidi="ar"/>
                    </w:rPr>
                  </w:pPr>
                  <w:r>
                    <w:rPr>
                      <w:rFonts w:ascii="Times New Roman" w:hAnsi="Times New Roman" w:cs="Times New Roman"/>
                      <w:sz w:val="21"/>
                      <w:szCs w:val="21"/>
                      <w:lang w:bidi="ar"/>
                    </w:rPr>
                    <w:t>暂存在危废暂存间</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废机油桶</w:t>
                  </w:r>
                </w:p>
              </w:tc>
              <w:tc>
                <w:tcPr>
                  <w:tcW w:w="63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rPr>
                    <w:t>HW08</w:t>
                  </w:r>
                </w:p>
              </w:tc>
              <w:tc>
                <w:tcPr>
                  <w:tcW w:w="75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rPr>
                    <w:t>900-249-08</w:t>
                  </w:r>
                </w:p>
              </w:tc>
              <w:tc>
                <w:tcPr>
                  <w:tcW w:w="5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sz w:val="21"/>
                      <w:szCs w:val="21"/>
                      <w:lang w:bidi="ar"/>
                    </w:rPr>
                  </w:pPr>
                  <w:r>
                    <w:rPr>
                      <w:rFonts w:ascii="Times New Roman" w:hAnsi="Times New Roman" w:cs="Times New Roman"/>
                      <w:sz w:val="21"/>
                      <w:szCs w:val="21"/>
                    </w:rPr>
                    <w:t>0.05</w:t>
                  </w:r>
                </w:p>
              </w:tc>
              <w:tc>
                <w:tcPr>
                  <w:tcW w:w="666" w:type="pct"/>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Times New Roman"/>
                      <w:sz w:val="21"/>
                      <w:szCs w:val="21"/>
                    </w:rPr>
                  </w:pPr>
                  <w:r>
                    <w:rPr>
                      <w:rFonts w:ascii="Times New Roman" w:hAnsi="Times New Roman" w:cs="Times New Roman"/>
                      <w:sz w:val="21"/>
                      <w:szCs w:val="21"/>
                    </w:rPr>
                    <w:t>维修</w:t>
                  </w:r>
                </w:p>
              </w:tc>
              <w:tc>
                <w:tcPr>
                  <w:tcW w:w="417" w:type="pct"/>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Times New Roman"/>
                      <w:sz w:val="21"/>
                      <w:szCs w:val="21"/>
                    </w:rPr>
                  </w:pPr>
                  <w:r>
                    <w:rPr>
                      <w:rFonts w:ascii="Times New Roman" w:hAnsi="Times New Roman" w:cs="Times New Roman"/>
                      <w:sz w:val="21"/>
                      <w:szCs w:val="21"/>
                    </w:rPr>
                    <w:t>固态</w:t>
                  </w:r>
                </w:p>
              </w:tc>
              <w:tc>
                <w:tcPr>
                  <w:tcW w:w="432" w:type="pct"/>
                  <w:tcBorders>
                    <w:top w:val="single" w:color="auto" w:sz="4" w:space="0"/>
                    <w:left w:val="nil"/>
                    <w:bottom w:val="single" w:color="auto" w:sz="4" w:space="0"/>
                    <w:right w:val="single" w:color="auto" w:sz="4" w:space="0"/>
                  </w:tcBorders>
                  <w:noWrap w:val="0"/>
                  <w:vAlign w:val="center"/>
                </w:tcPr>
                <w:p>
                  <w:pPr>
                    <w:jc w:val="center"/>
                    <w:outlineLvl w:val="0"/>
                    <w:rPr>
                      <w:rFonts w:ascii="Times New Roman" w:hAnsi="Times New Roman" w:cs="Times New Roman"/>
                      <w:sz w:val="21"/>
                      <w:szCs w:val="21"/>
                      <w:lang w:bidi="ar"/>
                    </w:rPr>
                  </w:pPr>
                  <w:r>
                    <w:rPr>
                      <w:rFonts w:ascii="Times New Roman" w:hAnsi="Times New Roman" w:cs="Times New Roman"/>
                      <w:sz w:val="21"/>
                      <w:szCs w:val="21"/>
                      <w:lang w:bidi="ar"/>
                    </w:rPr>
                    <w:t>T，I</w:t>
                  </w:r>
                </w:p>
              </w:tc>
              <w:tc>
                <w:tcPr>
                  <w:tcW w:w="755" w:type="pct"/>
                  <w:vMerge w:val="continue"/>
                  <w:tcBorders>
                    <w:left w:val="nil"/>
                    <w:right w:val="single" w:color="auto" w:sz="4" w:space="0"/>
                  </w:tcBorders>
                  <w:noWrap w:val="0"/>
                  <w:vAlign w:val="center"/>
                </w:tcPr>
                <w:p>
                  <w:pPr>
                    <w:jc w:val="center"/>
                    <w:outlineLvl w:val="0"/>
                    <w:rPr>
                      <w:rFonts w:ascii="Times New Roman" w:hAnsi="Times New Roman" w:cs="Times New Roman"/>
                      <w:sz w:val="21"/>
                      <w:szCs w:val="21"/>
                      <w:lang w:bidi="ar"/>
                    </w:rPr>
                  </w:pPr>
                </w:p>
              </w:tc>
            </w:tr>
          </w:tbl>
          <w:p>
            <w:pPr>
              <w:widowControl/>
              <w:wordWrap w:val="0"/>
              <w:adjustRightInd w:val="0"/>
              <w:snapToGrid w:val="0"/>
              <w:spacing w:before="120" w:beforeLines="50" w:line="360" w:lineRule="auto"/>
              <w:ind w:firstLine="482" w:firstLineChars="200"/>
              <w:rPr>
                <w:b/>
                <w:bCs/>
                <w:kern w:val="0"/>
                <w:lang w:bidi="ar"/>
              </w:rPr>
            </w:pPr>
            <w:r>
              <w:rPr>
                <w:b/>
                <w:bCs/>
                <w:kern w:val="0"/>
                <w:lang w:bidi="ar"/>
              </w:rPr>
              <w:t>环境管理要求：</w:t>
            </w:r>
          </w:p>
          <w:p>
            <w:pPr>
              <w:widowControl/>
              <w:wordWrap w:val="0"/>
              <w:spacing w:line="360" w:lineRule="auto"/>
              <w:ind w:firstLine="480" w:firstLineChars="200"/>
              <w:rPr>
                <w:rFonts w:ascii="Times New Roman" w:hAnsi="Times New Roman" w:cs="Times New Roman"/>
                <w:kern w:val="0"/>
                <w:sz w:val="24"/>
                <w:lang w:bidi="ar"/>
              </w:rPr>
            </w:pPr>
            <w:r>
              <w:rPr>
                <w:rFonts w:ascii="Times New Roman" w:hAnsi="Times New Roman" w:cs="Times New Roman"/>
                <w:kern w:val="0"/>
                <w:sz w:val="24"/>
                <w:lang w:bidi="ar"/>
              </w:rPr>
              <w:t>项目一般固体废物存放一般固废暂存间（位于原料库内），暂存场地的设置应符合</w:t>
            </w:r>
            <w:r>
              <w:rPr>
                <w:rFonts w:ascii="Times New Roman" w:hAnsi="Times New Roman" w:cs="Times New Roman"/>
                <w:sz w:val="24"/>
              </w:rPr>
              <w:t>《一般工业固体废物贮存和填埋污染控制标准》（GB 18599-2020）</w:t>
            </w:r>
            <w:r>
              <w:rPr>
                <w:rFonts w:ascii="Times New Roman" w:hAnsi="Times New Roman" w:cs="Times New Roman"/>
                <w:kern w:val="0"/>
                <w:sz w:val="24"/>
                <w:lang w:bidi="ar"/>
              </w:rPr>
              <w:t>中的规定。一般固废暂存间设置要求做到以下几点：</w:t>
            </w:r>
          </w:p>
          <w:p>
            <w:pPr>
              <w:widowControl/>
              <w:wordWrap w:val="0"/>
              <w:spacing w:line="360" w:lineRule="auto"/>
              <w:ind w:firstLine="480" w:firstLineChars="200"/>
              <w:rPr>
                <w:rFonts w:ascii="Times New Roman" w:hAnsi="Times New Roman" w:cs="Times New Roman"/>
                <w:color w:val="000000"/>
                <w:kern w:val="0"/>
                <w:sz w:val="24"/>
                <w:lang w:bidi="ar"/>
              </w:rPr>
            </w:pPr>
            <w:r>
              <w:rPr>
                <w:rFonts w:ascii="Times New Roman" w:hAnsi="Times New Roman" w:cs="Times New Roman"/>
                <w:color w:val="000000"/>
                <w:kern w:val="0"/>
                <w:sz w:val="24"/>
                <w:lang w:bidi="ar"/>
              </w:rPr>
              <w:t>（1）应选在满足承载力要求的地基上，以避免地基下沉的影响，特别是不均匀或局部下沉的影响。</w:t>
            </w:r>
          </w:p>
          <w:p>
            <w:pPr>
              <w:widowControl/>
              <w:wordWrap w:val="0"/>
              <w:spacing w:line="360" w:lineRule="auto"/>
              <w:ind w:firstLine="480" w:firstLineChars="200"/>
              <w:rPr>
                <w:rFonts w:ascii="Times New Roman" w:hAnsi="Times New Roman" w:cs="Times New Roman"/>
                <w:color w:val="000000"/>
                <w:kern w:val="0"/>
                <w:sz w:val="24"/>
                <w:lang w:bidi="ar"/>
              </w:rPr>
            </w:pPr>
            <w:r>
              <w:rPr>
                <w:rFonts w:ascii="Times New Roman" w:hAnsi="Times New Roman" w:cs="Times New Roman"/>
                <w:color w:val="000000"/>
                <w:kern w:val="0"/>
                <w:sz w:val="24"/>
                <w:lang w:bidi="ar"/>
              </w:rPr>
              <w:t>（2）一般工业固体废物贮存场的选址应符合环境保护法律法规及相关法定规划要求。</w:t>
            </w:r>
          </w:p>
          <w:p>
            <w:pPr>
              <w:widowControl/>
              <w:wordWrap w:val="0"/>
              <w:spacing w:line="360" w:lineRule="auto"/>
              <w:ind w:firstLine="480" w:firstLineChars="200"/>
              <w:rPr>
                <w:rFonts w:ascii="Times New Roman" w:hAnsi="Times New Roman" w:cs="Times New Roman"/>
                <w:color w:val="000000"/>
                <w:kern w:val="0"/>
                <w:sz w:val="24"/>
                <w:lang w:bidi="ar"/>
              </w:rPr>
            </w:pPr>
            <w:r>
              <w:rPr>
                <w:rFonts w:ascii="Times New Roman" w:hAnsi="Times New Roman" w:cs="Times New Roman"/>
                <w:color w:val="000000"/>
                <w:kern w:val="0"/>
                <w:sz w:val="24"/>
                <w:lang w:bidi="ar"/>
              </w:rPr>
              <w:t>（3）贮存的环境保护图形标志，应按GB15562.2规定进行检查和维护。</w:t>
            </w:r>
          </w:p>
          <w:p>
            <w:pPr>
              <w:pStyle w:val="2"/>
              <w:spacing w:before="0" w:after="0" w:line="360" w:lineRule="auto"/>
              <w:ind w:right="0"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lang w:bidi="ar"/>
              </w:rPr>
              <w:t>（4）</w:t>
            </w:r>
            <w:r>
              <w:rPr>
                <w:rFonts w:ascii="Times New Roman" w:hAnsi="Times New Roman" w:cs="Times New Roman"/>
                <w:color w:val="000000"/>
                <w:sz w:val="24"/>
                <w:szCs w:val="24"/>
              </w:rPr>
              <w:t>贮存场不得选在生态保护红线区域、永久基本农田集中区域和其他需要特别保护的区域内。</w:t>
            </w:r>
          </w:p>
          <w:p>
            <w:pPr>
              <w:pStyle w:val="2"/>
              <w:spacing w:before="0" w:after="0" w:line="360" w:lineRule="auto"/>
              <w:ind w:right="0"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（5）应采用单人工复合衬层作为防渗衬层，并符合以下技术要求：</w:t>
            </w:r>
          </w:p>
          <w:p>
            <w:pPr>
              <w:pStyle w:val="2"/>
              <w:spacing w:before="0" w:after="0" w:line="360" w:lineRule="auto"/>
              <w:ind w:right="0"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a）人工合成材料应采用高密度聚乙烯膜，厚度不小于1.5mm，并满足GB/T17643规定的技术指标要求。采用其他人工合成材料的，其防渗性能至少相当于1.5mm高密度聚乙烯膜的防渗性能。</w:t>
            </w:r>
          </w:p>
          <w:p>
            <w:pPr>
              <w:pStyle w:val="2"/>
              <w:spacing w:before="0" w:after="0" w:line="360" w:lineRule="auto"/>
              <w:ind w:right="0"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b）粘土衬层厚度应不小于0.75m，且经压实、人工改性等措施处理后的饱和渗透系数不应大于1.0×10</w:t>
            </w: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cm/s。使用其他粘十类防渗衬层材料时，应具有同等以上隔水效力。</w:t>
            </w:r>
          </w:p>
          <w:p>
            <w:pPr>
              <w:pStyle w:val="2"/>
              <w:spacing w:before="0" w:after="0" w:line="360" w:lineRule="auto"/>
              <w:ind w:right="0"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（6）不相容的一般工业固体废物应设置不同的分区进行贮存。</w:t>
            </w:r>
          </w:p>
          <w:p>
            <w:pPr>
              <w:pStyle w:val="2"/>
              <w:spacing w:before="0" w:after="0" w:line="360" w:lineRule="auto"/>
              <w:ind w:right="0" w:firstLine="480" w:firstLineChars="200"/>
              <w:rPr>
                <w:rFonts w:ascii="Times New Roman" w:hAnsi="Times New Roman" w:cs="Times New Roman"/>
                <w:sz w:val="24"/>
                <w:szCs w:val="24"/>
              </w:rPr>
            </w:pPr>
            <w:r>
              <w:rPr>
                <w:rFonts w:ascii="Times New Roman" w:hAnsi="Times New Roman" w:cs="Times New Roman"/>
                <w:color w:val="000000"/>
                <w:sz w:val="24"/>
                <w:szCs w:val="24"/>
              </w:rPr>
              <w:t>（7）危险废物和生活垃圾不得进入一般工业固体废物贮存场及填埋场。国家及地方有关法律法规、标准另有规定的除外。</w:t>
            </w:r>
          </w:p>
          <w:p>
            <w:pPr>
              <w:widowControl/>
              <w:wordWrap w:val="0"/>
              <w:spacing w:line="360" w:lineRule="auto"/>
              <w:ind w:firstLine="480" w:firstLineChars="200"/>
              <w:rPr>
                <w:rFonts w:ascii="Times New Roman" w:hAnsi="Times New Roman" w:cs="Times New Roman"/>
                <w:kern w:val="0"/>
                <w:sz w:val="24"/>
                <w:lang w:bidi="ar"/>
              </w:rPr>
            </w:pPr>
            <w:r>
              <w:rPr>
                <w:rFonts w:ascii="Times New Roman" w:hAnsi="Times New Roman" w:cs="Times New Roman"/>
                <w:color w:val="auto"/>
                <w:kern w:val="0"/>
                <w:sz w:val="24"/>
                <w:lang w:bidi="ar"/>
              </w:rPr>
              <w:t>项目危险废物短暂存放，暂存在危险废物暂存间，位于</w:t>
            </w:r>
            <w:r>
              <w:rPr>
                <w:rFonts w:hint="eastAsia" w:cs="Times New Roman"/>
                <w:color w:val="auto"/>
                <w:kern w:val="0"/>
                <w:sz w:val="24"/>
                <w:lang w:val="en-US" w:eastAsia="zh-CN" w:bidi="ar"/>
              </w:rPr>
              <w:t>办公区南</w:t>
            </w:r>
            <w:r>
              <w:rPr>
                <w:rFonts w:ascii="Times New Roman" w:hAnsi="Times New Roman" w:cs="Times New Roman"/>
                <w:color w:val="auto"/>
                <w:kern w:val="0"/>
                <w:sz w:val="24"/>
                <w:lang w:bidi="ar"/>
              </w:rPr>
              <w:t>侧，建筑面积约为10m</w:t>
            </w:r>
            <w:r>
              <w:rPr>
                <w:rFonts w:ascii="Times New Roman" w:hAnsi="Times New Roman" w:cs="Times New Roman"/>
                <w:color w:val="auto"/>
                <w:kern w:val="0"/>
                <w:sz w:val="24"/>
                <w:vertAlign w:val="superscript"/>
                <w:lang w:bidi="ar"/>
              </w:rPr>
              <w:t>2</w:t>
            </w:r>
            <w:r>
              <w:rPr>
                <w:rFonts w:ascii="Times New Roman" w:hAnsi="Times New Roman" w:cs="Times New Roman"/>
                <w:color w:val="auto"/>
                <w:kern w:val="0"/>
                <w:sz w:val="24"/>
                <w:lang w:bidi="ar"/>
              </w:rPr>
              <w:t>；</w:t>
            </w:r>
            <w:r>
              <w:rPr>
                <w:rFonts w:ascii="Times New Roman" w:hAnsi="Times New Roman" w:cs="Times New Roman"/>
                <w:kern w:val="0"/>
                <w:sz w:val="24"/>
                <w:lang w:bidi="ar"/>
              </w:rPr>
              <w:t>暂存场地的设置应符合</w:t>
            </w:r>
            <w:r>
              <w:rPr>
                <w:rFonts w:ascii="Times New Roman" w:hAnsi="Times New Roman" w:cs="Times New Roman"/>
                <w:sz w:val="24"/>
              </w:rPr>
              <w:t>《危险废物贮存污染控制标准》（GB18957-2001）及其2013年修改单中有关规定。</w:t>
            </w:r>
            <w:r>
              <w:rPr>
                <w:rFonts w:ascii="Times New Roman" w:hAnsi="Times New Roman" w:cs="Times New Roman"/>
                <w:kern w:val="0"/>
                <w:sz w:val="24"/>
                <w:lang w:bidi="ar"/>
              </w:rPr>
              <w:t>危废暂存场地设置要求做到以下几点：</w:t>
            </w:r>
          </w:p>
          <w:p>
            <w:pPr>
              <w:widowControl/>
              <w:wordWrap w:val="0"/>
              <w:spacing w:line="360" w:lineRule="auto"/>
              <w:ind w:firstLine="480" w:firstLineChars="200"/>
              <w:rPr>
                <w:rFonts w:ascii="Times New Roman" w:hAnsi="Times New Roman" w:cs="Times New Roman"/>
                <w:sz w:val="24"/>
              </w:rPr>
            </w:pPr>
            <w:r>
              <w:rPr>
                <w:rFonts w:ascii="Times New Roman" w:hAnsi="Times New Roman" w:cs="Times New Roman"/>
                <w:kern w:val="0"/>
                <w:sz w:val="24"/>
                <w:lang w:bidi="ar"/>
              </w:rPr>
              <w:t>（1）危险废物贮存设施必须按《环境保护图形标志(GB15562.2)》的规定设置警示标志；</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（2）企业须健全危险废物相关管理制度，并严格落实。</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①企业须对危险废物储运场所张贴警示标识，危险废物包装物张贴警示标签；</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②规范危险废物台账记录、建立危险废物收集及储运有关档案，认真填写《危险废物项目区内转运记录表》，作好危险废物台账的记录，记录上须注明危险废物的名称、来源、数量、特性和包装容器的类别、入库日期、存放库位、废物出库日期及接收单位名称等，并即时存档以备查阅。</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（3）危险废物存储和管理的相关要求。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①必须将危险废物装入容器内密封装运，盛装危险废物的容器应当符合标准，材质要满足相应的强度要求且必须完好无损，容器材质和衬里要与危险废物相容（不相互反应）；</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②危险废物转移过程严格落实《危险废物转移联单管理办法》的相关规定，规范危险废物转移，做好每次外运处置废物的运输登记。</w:t>
            </w:r>
          </w:p>
          <w:p>
            <w:pPr>
              <w:adjustRightInd w:val="0"/>
              <w:snapToGrid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lang w:bidi="ar"/>
              </w:rPr>
              <w:t>项目固体废物处置符合</w:t>
            </w:r>
            <w:r>
              <w:rPr>
                <w:rFonts w:ascii="Times New Roman" w:hAnsi="Times New Roman" w:cs="Times New Roman"/>
                <w:sz w:val="24"/>
              </w:rPr>
              <w:t>《一般工业固体废物贮存和填埋污染控制标准》（GB 18599-2020）</w:t>
            </w:r>
            <w:r>
              <w:rPr>
                <w:rFonts w:ascii="Times New Roman" w:hAnsi="Times New Roman" w:cs="Times New Roman"/>
                <w:kern w:val="0"/>
                <w:sz w:val="24"/>
                <w:lang w:bidi="ar"/>
              </w:rPr>
              <w:t>、</w:t>
            </w:r>
            <w:r>
              <w:rPr>
                <w:rFonts w:ascii="Times New Roman" w:hAnsi="Times New Roman" w:cs="Times New Roman"/>
                <w:sz w:val="24"/>
              </w:rPr>
              <w:t>《危险废物贮存污染控制标准》（GB18957-2001）及其2013年修改单中</w:t>
            </w:r>
            <w:r>
              <w:rPr>
                <w:rFonts w:ascii="Times New Roman" w:hAnsi="Times New Roman" w:cs="Times New Roman"/>
                <w:kern w:val="0"/>
                <w:sz w:val="24"/>
                <w:lang w:bidi="ar"/>
              </w:rPr>
              <w:t>要求，</w:t>
            </w:r>
            <w:r>
              <w:rPr>
                <w:rFonts w:ascii="Times New Roman" w:hAnsi="Times New Roman" w:cs="Times New Roman"/>
                <w:kern w:val="0"/>
                <w:sz w:val="24"/>
              </w:rPr>
              <w:t>各固体废物均能得到妥善解决，对周围环境影响较小。</w:t>
            </w:r>
          </w:p>
          <w:p>
            <w:pPr>
              <w:pStyle w:val="67"/>
              <w:snapToGrid w:val="0"/>
              <w:spacing w:line="360" w:lineRule="auto"/>
              <w:rPr>
                <w:b/>
                <w:bCs/>
                <w:color w:val="auto"/>
              </w:rPr>
            </w:pPr>
            <w:r>
              <w:rPr>
                <w:rFonts w:hint="eastAsia"/>
                <w:b/>
                <w:bCs/>
                <w:color w:val="auto"/>
              </w:rPr>
              <w:t>5、地下水、土壤环境</w:t>
            </w:r>
          </w:p>
          <w:p>
            <w:pPr>
              <w:adjustRightInd w:val="0"/>
              <w:snapToGrid w:val="0"/>
              <w:spacing w:line="360" w:lineRule="auto"/>
              <w:ind w:firstLine="480" w:firstLineChars="200"/>
              <w:rPr>
                <w:bCs/>
              </w:rPr>
            </w:pPr>
            <w:r>
              <w:rPr>
                <w:rFonts w:hint="eastAsia"/>
                <w:bCs/>
              </w:rPr>
              <w:t>（1）分区防渗要求</w:t>
            </w:r>
          </w:p>
          <w:p>
            <w:pPr>
              <w:adjustRightInd w:val="0"/>
              <w:snapToGrid w:val="0"/>
              <w:spacing w:line="360" w:lineRule="auto"/>
              <w:ind w:firstLine="440" w:firstLineChars="200"/>
              <w:rPr>
                <w:bCs/>
              </w:rPr>
            </w:pPr>
            <w:r>
              <w:rPr>
                <w:rFonts w:ascii="Times New Roman" w:hAnsi="Times New Roman" w:cs="Times New Roman"/>
                <w:bCs/>
                <w:spacing w:val="-10"/>
                <w:sz w:val="24"/>
              </w:rPr>
              <w:t>厂区内沉淀池、化粪池</w:t>
            </w:r>
            <w:r>
              <w:rPr>
                <w:rFonts w:hint="eastAsia" w:ascii="Times New Roman" w:hAnsi="Times New Roman" w:cs="Times New Roman"/>
                <w:bCs/>
                <w:spacing w:val="-10"/>
                <w:sz w:val="24"/>
                <w:lang w:eastAsia="zh-CN"/>
              </w:rPr>
              <w:t>、</w:t>
            </w:r>
            <w:r>
              <w:rPr>
                <w:rFonts w:hint="eastAsia" w:ascii="Times New Roman" w:hAnsi="Times New Roman" w:cs="Times New Roman"/>
                <w:bCs/>
                <w:spacing w:val="-10"/>
                <w:sz w:val="24"/>
                <w:lang w:val="en-US" w:eastAsia="zh-CN"/>
              </w:rPr>
              <w:t>危废间</w:t>
            </w:r>
            <w:r>
              <w:rPr>
                <w:bCs/>
              </w:rPr>
              <w:t>如防渗措施不到位，将有可能污染地下水、土壤。</w:t>
            </w:r>
          </w:p>
          <w:p>
            <w:pPr>
              <w:adjustRightInd w:val="0"/>
              <w:snapToGrid w:val="0"/>
              <w:spacing w:line="360" w:lineRule="auto"/>
              <w:ind w:firstLine="480" w:firstLineChars="200"/>
              <w:rPr>
                <w:rFonts w:hint="default" w:ascii="Times New Roman" w:hAnsi="Times New Roman"/>
                <w:sz w:val="24"/>
              </w:rPr>
            </w:pPr>
            <w:r>
              <w:rPr>
                <w:snapToGrid w:val="0"/>
              </w:rPr>
              <w:t>项目在建设过程中，将</w:t>
            </w:r>
            <w:r>
              <w:rPr>
                <w:rFonts w:ascii="Times New Roman" w:hAnsi="Times New Roman" w:cs="Times New Roman"/>
                <w:bCs/>
                <w:spacing w:val="-10"/>
                <w:sz w:val="24"/>
              </w:rPr>
              <w:t>厂区内沉淀池、化粪池</w:t>
            </w:r>
            <w:r>
              <w:rPr>
                <w:rFonts w:hint="eastAsia" w:ascii="Times New Roman" w:hAnsi="Times New Roman" w:cs="Times New Roman"/>
                <w:bCs/>
                <w:spacing w:val="-10"/>
                <w:sz w:val="24"/>
                <w:lang w:eastAsia="zh-CN"/>
              </w:rPr>
              <w:t>、</w:t>
            </w:r>
            <w:r>
              <w:rPr>
                <w:rFonts w:hint="eastAsia" w:ascii="Times New Roman" w:hAnsi="Times New Roman" w:cs="Times New Roman"/>
                <w:bCs/>
                <w:spacing w:val="-10"/>
                <w:sz w:val="24"/>
                <w:lang w:val="en-US" w:eastAsia="zh-CN"/>
              </w:rPr>
              <w:t>危废间</w:t>
            </w:r>
            <w:r>
              <w:rPr>
                <w:snapToGrid w:val="0"/>
              </w:rPr>
              <w:t>等区域划分为重点防渗区。</w:t>
            </w:r>
            <w:r>
              <w:rPr>
                <w:rFonts w:hint="default" w:ascii="Times New Roman" w:hAnsi="Times New Roman" w:cs="Times New Roman"/>
                <w:sz w:val="24"/>
                <w:szCs w:val="24"/>
              </w:rPr>
              <w:t>防渗层为至少</w:t>
            </w:r>
            <w:r>
              <w:rPr>
                <w:rFonts w:hint="eastAsia" w:cs="Times New Roman"/>
                <w:sz w:val="24"/>
                <w:szCs w:val="24"/>
                <w:lang w:val="en-US" w:eastAsia="zh-CN"/>
              </w:rPr>
              <w:t>6</w:t>
            </w:r>
            <w:r>
              <w:rPr>
                <w:rFonts w:hint="default" w:ascii="Times New Roman" w:hAnsi="Times New Roman" w:cs="Times New Roman"/>
                <w:sz w:val="24"/>
                <w:szCs w:val="24"/>
              </w:rPr>
              <w:t>米厚粘土层（渗透系数≤10</w:t>
            </w:r>
            <w:r>
              <w:rPr>
                <w:rFonts w:hint="default" w:ascii="Times New Roman" w:hAnsi="Times New Roman" w:cs="Times New Roman"/>
                <w:sz w:val="24"/>
                <w:szCs w:val="24"/>
                <w:vertAlign w:val="superscript"/>
              </w:rPr>
              <w:t>-7</w:t>
            </w:r>
            <w:r>
              <w:rPr>
                <w:rFonts w:hint="default" w:ascii="Times New Roman" w:hAnsi="Times New Roman" w:cs="Times New Roman"/>
                <w:sz w:val="24"/>
                <w:szCs w:val="24"/>
              </w:rPr>
              <w:t>cm/s）</w:t>
            </w:r>
            <w:r>
              <w:rPr>
                <w:rFonts w:hint="default" w:ascii="Times New Roman" w:hAnsi="Times New Roman"/>
                <w:sz w:val="24"/>
              </w:rPr>
              <w:t>；或参照《危险废物填埋场污染控制标准》（GB18598-20</w:t>
            </w:r>
            <w:r>
              <w:rPr>
                <w:rFonts w:hint="eastAsia"/>
                <w:sz w:val="24"/>
                <w:lang w:val="en-US" w:eastAsia="zh-CN"/>
              </w:rPr>
              <w:t>19</w:t>
            </w:r>
            <w:r>
              <w:rPr>
                <w:rFonts w:hint="default" w:ascii="Times New Roman" w:hAnsi="Times New Roman"/>
                <w:sz w:val="24"/>
              </w:rPr>
              <w:t>）中对防渗层的要求为“人工合成材料衬层可以采用高密度聚乙烯（HDPE），其渗透系数不大于10</w:t>
            </w:r>
            <w:r>
              <w:rPr>
                <w:rFonts w:hint="default" w:ascii="Times New Roman" w:hAnsi="Times New Roman"/>
                <w:sz w:val="24"/>
                <w:vertAlign w:val="superscript"/>
              </w:rPr>
              <w:t>-10</w:t>
            </w:r>
            <w:r>
              <w:rPr>
                <w:rFonts w:hint="default" w:ascii="Times New Roman" w:hAnsi="Times New Roman"/>
                <w:sz w:val="24"/>
              </w:rPr>
              <w:t>cm/s，厚度不小于1.5mm。”建议防渗层的设置必须达到“双人工衬层，且人工衬层的材料渗透系数不大于10</w:t>
            </w:r>
            <w:r>
              <w:rPr>
                <w:rFonts w:hint="default" w:ascii="Times New Roman" w:hAnsi="Times New Roman"/>
                <w:sz w:val="24"/>
                <w:vertAlign w:val="superscript"/>
              </w:rPr>
              <w:t>-10</w:t>
            </w:r>
            <w:r>
              <w:rPr>
                <w:rFonts w:hint="default" w:ascii="Times New Roman" w:hAnsi="Times New Roman"/>
                <w:sz w:val="24"/>
              </w:rPr>
              <w:t>cm/s”的要求。</w:t>
            </w:r>
          </w:p>
          <w:p>
            <w:pPr>
              <w:keepNext w:val="0"/>
              <w:keepLines w:val="0"/>
              <w:suppressLineNumbers w:val="0"/>
              <w:adjustRightInd w:val="0"/>
              <w:snapToGrid w:val="0"/>
              <w:spacing w:before="0" w:beforeAutospacing="0" w:after="0" w:afterAutospacing="0" w:line="360" w:lineRule="auto"/>
              <w:ind w:left="0" w:right="0" w:firstLine="480" w:firstLineChars="200"/>
              <w:rPr>
                <w:rFonts w:ascii="Times New Roman" w:hAnsi="Times New Roman" w:cs="Times New Roman"/>
                <w:snapToGrid w:val="0"/>
                <w:sz w:val="24"/>
              </w:rPr>
            </w:pPr>
            <w:r>
              <w:rPr>
                <w:rFonts w:ascii="Times New Roman" w:hAnsi="Times New Roman" w:cs="Times New Roman"/>
                <w:sz w:val="24"/>
              </w:rPr>
              <w:t>生产车间等划分为一般防渗区，</w:t>
            </w:r>
            <w:r>
              <w:rPr>
                <w:rFonts w:hint="default" w:ascii="Times New Roman" w:hAnsi="Times New Roman"/>
                <w:snapToGrid w:val="0"/>
                <w:sz w:val="24"/>
              </w:rPr>
              <w:t>防渗层需满足等效黏土防水层Mb≥0.75m，K≤1.0×10</w:t>
            </w:r>
            <w:r>
              <w:rPr>
                <w:rFonts w:hint="default" w:ascii="Times New Roman" w:hAnsi="Times New Roman"/>
                <w:snapToGrid w:val="0"/>
                <w:sz w:val="24"/>
                <w:vertAlign w:val="superscript"/>
              </w:rPr>
              <w:t>-7</w:t>
            </w:r>
            <w:r>
              <w:rPr>
                <w:rFonts w:hint="default" w:ascii="Times New Roman" w:hAnsi="Times New Roman"/>
                <w:snapToGrid w:val="0"/>
                <w:sz w:val="24"/>
              </w:rPr>
              <w:t>cm/s；或参照《一般工业固体废物贮存和填埋污染控制标准》（GB18599-2020）中Ⅱ类场的要求：“当天然基础层的渗透系统大于1.0×10</w:t>
            </w:r>
            <w:r>
              <w:rPr>
                <w:rFonts w:hint="default" w:ascii="Times New Roman" w:hAnsi="Times New Roman"/>
                <w:snapToGrid w:val="0"/>
                <w:sz w:val="24"/>
                <w:vertAlign w:val="superscript"/>
              </w:rPr>
              <w:t>-7</w:t>
            </w:r>
            <w:r>
              <w:rPr>
                <w:rFonts w:hint="default" w:ascii="Times New Roman" w:hAnsi="Times New Roman"/>
                <w:snapToGrid w:val="0"/>
                <w:sz w:val="24"/>
              </w:rPr>
              <w:t>cm/s时，应采用天然或人工材料构筑防渗层，防渗层的厚度应相当于渗透系数1.0×10</w:t>
            </w:r>
            <w:r>
              <w:rPr>
                <w:rFonts w:hint="default" w:ascii="Times New Roman" w:hAnsi="Times New Roman"/>
                <w:snapToGrid w:val="0"/>
                <w:sz w:val="24"/>
                <w:vertAlign w:val="superscript"/>
              </w:rPr>
              <w:t>-7</w:t>
            </w:r>
            <w:r>
              <w:rPr>
                <w:rFonts w:hint="default" w:ascii="Times New Roman" w:hAnsi="Times New Roman"/>
                <w:snapToGrid w:val="0"/>
                <w:sz w:val="24"/>
              </w:rPr>
              <w:t>cm/s和厚度</w:t>
            </w:r>
            <w:r>
              <w:rPr>
                <w:rFonts w:hint="eastAsia"/>
                <w:snapToGrid w:val="0"/>
                <w:sz w:val="24"/>
                <w:lang w:val="en-US" w:eastAsia="zh-CN"/>
              </w:rPr>
              <w:t>1.</w:t>
            </w:r>
            <w:r>
              <w:rPr>
                <w:rFonts w:hint="default" w:ascii="Times New Roman" w:hAnsi="Times New Roman"/>
                <w:snapToGrid w:val="0"/>
                <w:sz w:val="24"/>
              </w:rPr>
              <w:t>5m的粘土层的防渗性能”。</w:t>
            </w:r>
          </w:p>
          <w:p>
            <w:pPr>
              <w:pStyle w:val="55"/>
              <w:spacing w:line="360" w:lineRule="auto"/>
              <w:jc w:val="left"/>
            </w:pPr>
            <w:r>
              <w:t>根据以上分区情况，对本项目场区防渗分区见下表。</w:t>
            </w:r>
          </w:p>
          <w:p>
            <w:pPr>
              <w:pStyle w:val="55"/>
              <w:spacing w:line="240" w:lineRule="auto"/>
              <w:ind w:firstLine="0" w:firstLineChars="0"/>
              <w:jc w:val="center"/>
              <w:rPr>
                <w:b/>
                <w:bCs/>
              </w:rPr>
            </w:pPr>
            <w:r>
              <w:rPr>
                <w:b/>
                <w:bCs/>
              </w:rPr>
              <w:t>表</w:t>
            </w:r>
            <w:r>
              <w:rPr>
                <w:rFonts w:hint="eastAsia"/>
                <w:b/>
                <w:bCs/>
              </w:rPr>
              <w:t>4.1</w:t>
            </w:r>
            <w:r>
              <w:rPr>
                <w:rFonts w:hint="eastAsia"/>
                <w:b/>
                <w:bCs/>
                <w:lang w:val="en-US" w:eastAsia="zh-CN"/>
              </w:rPr>
              <w:t xml:space="preserve">2 </w:t>
            </w:r>
            <w:r>
              <w:rPr>
                <w:rFonts w:hint="eastAsia"/>
                <w:b/>
                <w:bCs/>
              </w:rPr>
              <w:t>厂区各工作区防渗要求</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246"/>
              <w:gridCol w:w="1309"/>
              <w:gridCol w:w="1444"/>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5" w:type="dxa"/>
                  <w:vAlign w:val="center"/>
                </w:tcPr>
                <w:p>
                  <w:pPr>
                    <w:pStyle w:val="55"/>
                    <w:spacing w:line="240" w:lineRule="auto"/>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场区内</w:t>
                  </w:r>
                </w:p>
                <w:p>
                  <w:pPr>
                    <w:pStyle w:val="55"/>
                    <w:spacing w:line="240" w:lineRule="auto"/>
                    <w:ind w:firstLine="0" w:firstLineChars="0"/>
                    <w:jc w:val="center"/>
                    <w:rPr>
                      <w:b/>
                      <w:bCs/>
                      <w:sz w:val="21"/>
                      <w:szCs w:val="21"/>
                    </w:rPr>
                  </w:pPr>
                  <w:r>
                    <w:rPr>
                      <w:rFonts w:ascii="Times New Roman" w:hAnsi="Times New Roman" w:cs="Times New Roman"/>
                      <w:b/>
                      <w:bCs/>
                      <w:sz w:val="21"/>
                      <w:szCs w:val="21"/>
                    </w:rPr>
                    <w:t>建构筑物</w:t>
                  </w:r>
                </w:p>
              </w:tc>
              <w:tc>
                <w:tcPr>
                  <w:tcW w:w="1246" w:type="dxa"/>
                  <w:vAlign w:val="center"/>
                </w:tcPr>
                <w:p>
                  <w:pPr>
                    <w:pStyle w:val="55"/>
                    <w:spacing w:line="240" w:lineRule="auto"/>
                    <w:ind w:firstLine="0" w:firstLineChars="0"/>
                    <w:jc w:val="center"/>
                    <w:rPr>
                      <w:b/>
                      <w:bCs/>
                      <w:sz w:val="21"/>
                      <w:szCs w:val="21"/>
                    </w:rPr>
                  </w:pPr>
                  <w:r>
                    <w:rPr>
                      <w:rFonts w:ascii="Times New Roman" w:hAnsi="Times New Roman" w:cs="Times New Roman"/>
                      <w:b/>
                      <w:bCs/>
                      <w:sz w:val="21"/>
                      <w:szCs w:val="21"/>
                    </w:rPr>
                    <w:t>污染控制难易程度</w:t>
                  </w:r>
                </w:p>
              </w:tc>
              <w:tc>
                <w:tcPr>
                  <w:tcW w:w="1309" w:type="dxa"/>
                  <w:vAlign w:val="center"/>
                </w:tcPr>
                <w:p>
                  <w:pPr>
                    <w:pStyle w:val="55"/>
                    <w:spacing w:line="240" w:lineRule="auto"/>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污染物</w:t>
                  </w:r>
                </w:p>
                <w:p>
                  <w:pPr>
                    <w:pStyle w:val="55"/>
                    <w:spacing w:line="240" w:lineRule="auto"/>
                    <w:ind w:firstLine="0" w:firstLineChars="0"/>
                    <w:jc w:val="center"/>
                    <w:rPr>
                      <w:b/>
                      <w:bCs/>
                      <w:sz w:val="21"/>
                      <w:szCs w:val="21"/>
                    </w:rPr>
                  </w:pPr>
                  <w:r>
                    <w:rPr>
                      <w:rFonts w:ascii="Times New Roman" w:hAnsi="Times New Roman" w:cs="Times New Roman"/>
                      <w:b/>
                      <w:bCs/>
                      <w:sz w:val="21"/>
                      <w:szCs w:val="21"/>
                    </w:rPr>
                    <w:t>类型</w:t>
                  </w:r>
                </w:p>
              </w:tc>
              <w:tc>
                <w:tcPr>
                  <w:tcW w:w="1444" w:type="dxa"/>
                  <w:vAlign w:val="center"/>
                </w:tcPr>
                <w:p>
                  <w:pPr>
                    <w:pStyle w:val="55"/>
                    <w:spacing w:line="240" w:lineRule="auto"/>
                    <w:ind w:firstLine="0" w:firstLineChars="0"/>
                    <w:jc w:val="center"/>
                    <w:rPr>
                      <w:b/>
                      <w:bCs/>
                      <w:sz w:val="21"/>
                      <w:szCs w:val="21"/>
                    </w:rPr>
                  </w:pPr>
                  <w:r>
                    <w:rPr>
                      <w:rFonts w:ascii="Times New Roman" w:hAnsi="Times New Roman" w:cs="Times New Roman"/>
                      <w:b/>
                      <w:bCs/>
                      <w:sz w:val="21"/>
                      <w:szCs w:val="21"/>
                    </w:rPr>
                    <w:t>防渗分区</w:t>
                  </w:r>
                </w:p>
              </w:tc>
              <w:tc>
                <w:tcPr>
                  <w:tcW w:w="2390" w:type="dxa"/>
                  <w:vAlign w:val="center"/>
                </w:tcPr>
                <w:p>
                  <w:pPr>
                    <w:pStyle w:val="55"/>
                    <w:spacing w:line="240" w:lineRule="auto"/>
                    <w:ind w:firstLine="0" w:firstLineChars="0"/>
                    <w:jc w:val="center"/>
                    <w:rPr>
                      <w:b/>
                      <w:bCs/>
                      <w:sz w:val="21"/>
                      <w:szCs w:val="21"/>
                    </w:rPr>
                  </w:pPr>
                  <w:r>
                    <w:rPr>
                      <w:rFonts w:ascii="Times New Roman" w:hAnsi="Times New Roman" w:cs="Times New Roman"/>
                      <w:b/>
                      <w:bCs/>
                      <w:sz w:val="21"/>
                      <w:szCs w:val="21"/>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5" w:type="dxa"/>
                  <w:vAlign w:val="center"/>
                </w:tcPr>
                <w:p>
                  <w:pPr>
                    <w:pStyle w:val="55"/>
                    <w:spacing w:line="240" w:lineRule="auto"/>
                    <w:ind w:firstLine="0" w:firstLineChars="0"/>
                    <w:jc w:val="center"/>
                    <w:rPr>
                      <w:rFonts w:hint="default" w:eastAsia="宋体"/>
                      <w:sz w:val="21"/>
                      <w:szCs w:val="21"/>
                      <w:lang w:val="en-US" w:eastAsia="zh-CN"/>
                    </w:rPr>
                  </w:pPr>
                  <w:r>
                    <w:rPr>
                      <w:rFonts w:ascii="Times New Roman" w:hAnsi="Times New Roman" w:cs="Times New Roman"/>
                      <w:sz w:val="21"/>
                      <w:szCs w:val="21"/>
                    </w:rPr>
                    <w:t>危废暂存库</w:t>
                  </w:r>
                </w:p>
              </w:tc>
              <w:tc>
                <w:tcPr>
                  <w:tcW w:w="1246" w:type="dxa"/>
                  <w:vAlign w:val="center"/>
                </w:tcPr>
                <w:p>
                  <w:pPr>
                    <w:pStyle w:val="55"/>
                    <w:spacing w:line="240" w:lineRule="auto"/>
                    <w:ind w:firstLine="0" w:firstLineChars="0"/>
                    <w:jc w:val="center"/>
                    <w:rPr>
                      <w:sz w:val="21"/>
                      <w:szCs w:val="21"/>
                    </w:rPr>
                  </w:pPr>
                  <w:r>
                    <w:rPr>
                      <w:rFonts w:ascii="Times New Roman" w:hAnsi="Times New Roman" w:cs="Times New Roman"/>
                      <w:sz w:val="21"/>
                      <w:szCs w:val="21"/>
                    </w:rPr>
                    <w:t>难</w:t>
                  </w:r>
                </w:p>
              </w:tc>
              <w:tc>
                <w:tcPr>
                  <w:tcW w:w="1309" w:type="dxa"/>
                  <w:vAlign w:val="center"/>
                </w:tcPr>
                <w:p>
                  <w:pPr>
                    <w:pStyle w:val="55"/>
                    <w:spacing w:line="240" w:lineRule="auto"/>
                    <w:ind w:firstLine="0" w:firstLineChars="0"/>
                    <w:jc w:val="center"/>
                    <w:rPr>
                      <w:sz w:val="21"/>
                      <w:szCs w:val="21"/>
                    </w:rPr>
                  </w:pPr>
                  <w:r>
                    <w:rPr>
                      <w:rFonts w:ascii="Times New Roman" w:hAnsi="Times New Roman" w:cs="Times New Roman"/>
                      <w:sz w:val="21"/>
                      <w:szCs w:val="21"/>
                    </w:rPr>
                    <w:t>其他类型</w:t>
                  </w:r>
                </w:p>
              </w:tc>
              <w:tc>
                <w:tcPr>
                  <w:tcW w:w="1444" w:type="dxa"/>
                  <w:vAlign w:val="center"/>
                </w:tcPr>
                <w:p>
                  <w:pPr>
                    <w:pStyle w:val="55"/>
                    <w:spacing w:line="240" w:lineRule="auto"/>
                    <w:ind w:firstLine="0" w:firstLineChars="0"/>
                    <w:jc w:val="center"/>
                    <w:rPr>
                      <w:sz w:val="21"/>
                      <w:szCs w:val="21"/>
                    </w:rPr>
                  </w:pPr>
                  <w:r>
                    <w:rPr>
                      <w:rFonts w:ascii="Times New Roman" w:hAnsi="Times New Roman" w:cs="Times New Roman"/>
                      <w:sz w:val="21"/>
                      <w:szCs w:val="21"/>
                    </w:rPr>
                    <w:t>重点防渗区</w:t>
                  </w:r>
                </w:p>
              </w:tc>
              <w:tc>
                <w:tcPr>
                  <w:tcW w:w="2390" w:type="dxa"/>
                  <w:vMerge w:val="restart"/>
                  <w:vAlign w:val="center"/>
                </w:tcPr>
                <w:p>
                  <w:pPr>
                    <w:pStyle w:val="55"/>
                    <w:spacing w:line="240" w:lineRule="auto"/>
                    <w:ind w:firstLine="0" w:firstLineChars="0"/>
                    <w:jc w:val="center"/>
                    <w:rPr>
                      <w:sz w:val="21"/>
                      <w:szCs w:val="21"/>
                    </w:rPr>
                  </w:pPr>
                  <w:r>
                    <w:rPr>
                      <w:rFonts w:ascii="Times New Roman" w:hAnsi="Times New Roman" w:cs="Times New Roman"/>
                      <w:sz w:val="21"/>
                      <w:szCs w:val="21"/>
                    </w:rPr>
                    <w:t>基础必须防渗，防渗层为至少</w:t>
                  </w:r>
                  <w:r>
                    <w:rPr>
                      <w:rFonts w:hint="eastAsia" w:cs="Times New Roman"/>
                      <w:sz w:val="21"/>
                      <w:szCs w:val="21"/>
                      <w:lang w:val="en-US" w:eastAsia="zh-CN"/>
                    </w:rPr>
                    <w:t>6</w:t>
                  </w:r>
                  <w:r>
                    <w:rPr>
                      <w:rFonts w:ascii="Times New Roman" w:hAnsi="Times New Roman" w:cs="Times New Roman"/>
                      <w:sz w:val="21"/>
                      <w:szCs w:val="21"/>
                    </w:rPr>
                    <w:t>米厚粘土层（渗透系数≤10</w:t>
                  </w:r>
                  <w:r>
                    <w:rPr>
                      <w:rFonts w:ascii="Times New Roman" w:hAnsi="Times New Roman" w:cs="Times New Roman"/>
                      <w:sz w:val="21"/>
                      <w:szCs w:val="21"/>
                      <w:vertAlign w:val="superscript"/>
                    </w:rPr>
                    <w:t>-7</w:t>
                  </w:r>
                  <w:r>
                    <w:rPr>
                      <w:rFonts w:ascii="Times New Roman" w:hAnsi="Times New Roman" w:cs="Times New Roman"/>
                      <w:sz w:val="21"/>
                      <w:szCs w:val="21"/>
                    </w:rPr>
                    <w:t>cm/s），或2mm厚高密度聚乙烯，或至少2mm厚的其它人工材料，渗透系数≤10</w:t>
                  </w:r>
                  <w:r>
                    <w:rPr>
                      <w:rFonts w:ascii="Times New Roman" w:hAnsi="Times New Roman" w:cs="Times New Roman"/>
                      <w:sz w:val="21"/>
                      <w:szCs w:val="21"/>
                      <w:vertAlign w:val="superscript"/>
                    </w:rPr>
                    <w:t>-10</w:t>
                  </w:r>
                  <w:r>
                    <w:rPr>
                      <w:rFonts w:ascii="Times New Roman" w:hAnsi="Times New Roman" w:cs="Times New Roman"/>
                      <w:sz w:val="21"/>
                      <w:szCs w:val="21"/>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5" w:type="dxa"/>
                  <w:vAlign w:val="center"/>
                </w:tcPr>
                <w:p>
                  <w:pPr>
                    <w:pStyle w:val="55"/>
                    <w:spacing w:line="240" w:lineRule="auto"/>
                    <w:ind w:firstLine="0" w:firstLineChars="0"/>
                    <w:jc w:val="center"/>
                    <w:rPr>
                      <w:sz w:val="21"/>
                      <w:szCs w:val="21"/>
                    </w:rPr>
                  </w:pPr>
                  <w:r>
                    <w:rPr>
                      <w:rFonts w:ascii="Times New Roman" w:hAnsi="Times New Roman" w:cs="Times New Roman"/>
                      <w:sz w:val="21"/>
                      <w:szCs w:val="21"/>
                    </w:rPr>
                    <w:t>沉淀池、化粪池</w:t>
                  </w:r>
                </w:p>
              </w:tc>
              <w:tc>
                <w:tcPr>
                  <w:tcW w:w="1246" w:type="dxa"/>
                  <w:vAlign w:val="center"/>
                </w:tcPr>
                <w:p>
                  <w:pPr>
                    <w:pStyle w:val="55"/>
                    <w:spacing w:line="240" w:lineRule="auto"/>
                    <w:ind w:firstLine="0" w:firstLineChars="0"/>
                    <w:jc w:val="center"/>
                    <w:rPr>
                      <w:sz w:val="21"/>
                      <w:szCs w:val="21"/>
                    </w:rPr>
                  </w:pPr>
                  <w:r>
                    <w:rPr>
                      <w:rFonts w:ascii="Times New Roman" w:hAnsi="Times New Roman" w:cs="Times New Roman"/>
                      <w:sz w:val="21"/>
                      <w:szCs w:val="21"/>
                    </w:rPr>
                    <w:t>难</w:t>
                  </w:r>
                </w:p>
              </w:tc>
              <w:tc>
                <w:tcPr>
                  <w:tcW w:w="1309" w:type="dxa"/>
                  <w:vAlign w:val="center"/>
                </w:tcPr>
                <w:p>
                  <w:pPr>
                    <w:pStyle w:val="55"/>
                    <w:spacing w:line="240" w:lineRule="auto"/>
                    <w:ind w:firstLine="0" w:firstLineChars="0"/>
                    <w:jc w:val="center"/>
                    <w:rPr>
                      <w:sz w:val="21"/>
                      <w:szCs w:val="21"/>
                    </w:rPr>
                  </w:pPr>
                  <w:r>
                    <w:rPr>
                      <w:rFonts w:ascii="Times New Roman" w:hAnsi="Times New Roman" w:cs="Times New Roman"/>
                      <w:sz w:val="21"/>
                      <w:szCs w:val="21"/>
                    </w:rPr>
                    <w:t>其他类型</w:t>
                  </w:r>
                </w:p>
              </w:tc>
              <w:tc>
                <w:tcPr>
                  <w:tcW w:w="1444" w:type="dxa"/>
                  <w:vAlign w:val="center"/>
                </w:tcPr>
                <w:p>
                  <w:pPr>
                    <w:pStyle w:val="55"/>
                    <w:spacing w:line="240" w:lineRule="auto"/>
                    <w:ind w:firstLine="0" w:firstLineChars="0"/>
                    <w:jc w:val="center"/>
                    <w:rPr>
                      <w:sz w:val="21"/>
                      <w:szCs w:val="21"/>
                    </w:rPr>
                  </w:pPr>
                  <w:r>
                    <w:rPr>
                      <w:rFonts w:ascii="Times New Roman" w:hAnsi="Times New Roman" w:cs="Times New Roman"/>
                      <w:sz w:val="21"/>
                      <w:szCs w:val="21"/>
                    </w:rPr>
                    <w:t>重点防渗</w:t>
                  </w:r>
                </w:p>
              </w:tc>
              <w:tc>
                <w:tcPr>
                  <w:tcW w:w="2390" w:type="dxa"/>
                  <w:vMerge w:val="continue"/>
                  <w:vAlign w:val="center"/>
                </w:tcPr>
                <w:p>
                  <w:pPr>
                    <w:pStyle w:val="55"/>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5" w:type="dxa"/>
                  <w:vAlign w:val="center"/>
                </w:tcPr>
                <w:p>
                  <w:pPr>
                    <w:pStyle w:val="55"/>
                    <w:spacing w:line="240" w:lineRule="auto"/>
                    <w:ind w:firstLine="0" w:firstLineChars="0"/>
                    <w:jc w:val="center"/>
                    <w:rPr>
                      <w:sz w:val="21"/>
                      <w:szCs w:val="21"/>
                    </w:rPr>
                  </w:pPr>
                  <w:r>
                    <w:rPr>
                      <w:rFonts w:ascii="Times New Roman" w:hAnsi="Times New Roman" w:cs="Times New Roman"/>
                      <w:sz w:val="21"/>
                      <w:szCs w:val="21"/>
                    </w:rPr>
                    <w:t>生产车间</w:t>
                  </w:r>
                </w:p>
              </w:tc>
              <w:tc>
                <w:tcPr>
                  <w:tcW w:w="1246" w:type="dxa"/>
                  <w:vAlign w:val="center"/>
                </w:tcPr>
                <w:p>
                  <w:pPr>
                    <w:pStyle w:val="55"/>
                    <w:spacing w:line="240" w:lineRule="auto"/>
                    <w:ind w:firstLine="0" w:firstLineChars="0"/>
                    <w:jc w:val="center"/>
                    <w:rPr>
                      <w:sz w:val="21"/>
                      <w:szCs w:val="21"/>
                    </w:rPr>
                  </w:pPr>
                  <w:r>
                    <w:rPr>
                      <w:rFonts w:ascii="Times New Roman" w:hAnsi="Times New Roman" w:cs="Times New Roman"/>
                      <w:sz w:val="21"/>
                      <w:szCs w:val="21"/>
                    </w:rPr>
                    <w:t>难</w:t>
                  </w:r>
                </w:p>
              </w:tc>
              <w:tc>
                <w:tcPr>
                  <w:tcW w:w="1309" w:type="dxa"/>
                  <w:vAlign w:val="center"/>
                </w:tcPr>
                <w:p>
                  <w:pPr>
                    <w:pStyle w:val="55"/>
                    <w:spacing w:line="240" w:lineRule="auto"/>
                    <w:ind w:firstLine="0" w:firstLineChars="0"/>
                    <w:jc w:val="center"/>
                    <w:rPr>
                      <w:sz w:val="21"/>
                      <w:szCs w:val="21"/>
                    </w:rPr>
                  </w:pPr>
                  <w:r>
                    <w:rPr>
                      <w:rFonts w:ascii="Times New Roman" w:hAnsi="Times New Roman" w:cs="Times New Roman"/>
                      <w:sz w:val="21"/>
                      <w:szCs w:val="21"/>
                    </w:rPr>
                    <w:t>其他类型</w:t>
                  </w:r>
                </w:p>
              </w:tc>
              <w:tc>
                <w:tcPr>
                  <w:tcW w:w="1444" w:type="dxa"/>
                  <w:vAlign w:val="center"/>
                </w:tcPr>
                <w:p>
                  <w:pPr>
                    <w:pStyle w:val="55"/>
                    <w:spacing w:line="240" w:lineRule="auto"/>
                    <w:ind w:firstLine="0" w:firstLineChars="0"/>
                    <w:jc w:val="center"/>
                    <w:rPr>
                      <w:sz w:val="21"/>
                      <w:szCs w:val="21"/>
                    </w:rPr>
                  </w:pPr>
                  <w:r>
                    <w:rPr>
                      <w:rFonts w:ascii="Times New Roman" w:hAnsi="Times New Roman" w:cs="Times New Roman"/>
                      <w:sz w:val="21"/>
                      <w:szCs w:val="21"/>
                    </w:rPr>
                    <w:t>一般防渗区</w:t>
                  </w:r>
                </w:p>
              </w:tc>
              <w:tc>
                <w:tcPr>
                  <w:tcW w:w="2390" w:type="dxa"/>
                  <w:vAlign w:val="center"/>
                </w:tcPr>
                <w:p>
                  <w:pPr>
                    <w:pStyle w:val="55"/>
                    <w:spacing w:line="240" w:lineRule="auto"/>
                    <w:ind w:firstLine="0" w:firstLineChars="0"/>
                    <w:jc w:val="center"/>
                    <w:rPr>
                      <w:sz w:val="21"/>
                      <w:szCs w:val="21"/>
                    </w:rPr>
                  </w:pPr>
                  <w:r>
                    <w:rPr>
                      <w:rFonts w:ascii="Times New Roman" w:hAnsi="Times New Roman" w:cs="Times New Roman"/>
                      <w:color w:val="000000"/>
                      <w:sz w:val="21"/>
                      <w:szCs w:val="21"/>
                    </w:rPr>
                    <w:t>应采用天然或人工材料构筑防渗层，防渗层的厚度应相当于渗透系数1.0×10</w:t>
                  </w:r>
                  <w:r>
                    <w:rPr>
                      <w:rFonts w:ascii="Times New Roman" w:hAnsi="Times New Roman" w:cs="Times New Roman"/>
                      <w:color w:val="000000"/>
                      <w:sz w:val="21"/>
                      <w:szCs w:val="21"/>
                      <w:vertAlign w:val="superscript"/>
                    </w:rPr>
                    <w:t>-7</w:t>
                  </w:r>
                  <w:r>
                    <w:rPr>
                      <w:rFonts w:ascii="Times New Roman" w:hAnsi="Times New Roman" w:cs="Times New Roman"/>
                      <w:color w:val="000000"/>
                      <w:sz w:val="21"/>
                      <w:szCs w:val="21"/>
                    </w:rPr>
                    <w:t>cm/s和厚度</w:t>
                  </w:r>
                  <w:r>
                    <w:rPr>
                      <w:rFonts w:hint="eastAsia" w:cs="Times New Roman"/>
                      <w:color w:val="000000"/>
                      <w:sz w:val="21"/>
                      <w:szCs w:val="21"/>
                      <w:lang w:val="en-US" w:eastAsia="zh-CN"/>
                    </w:rPr>
                    <w:t>1.</w:t>
                  </w:r>
                  <w:r>
                    <w:rPr>
                      <w:rFonts w:ascii="Times New Roman" w:hAnsi="Times New Roman" w:cs="Times New Roman"/>
                      <w:color w:val="000000"/>
                      <w:sz w:val="21"/>
                      <w:szCs w:val="21"/>
                    </w:rPr>
                    <w:t>5m的粘土层的防渗性能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5" w:type="dxa"/>
                  <w:vAlign w:val="center"/>
                </w:tcPr>
                <w:p>
                  <w:pPr>
                    <w:pStyle w:val="55"/>
                    <w:spacing w:line="240" w:lineRule="auto"/>
                    <w:ind w:firstLine="0" w:firstLineChars="0"/>
                    <w:jc w:val="center"/>
                    <w:rPr>
                      <w:sz w:val="21"/>
                      <w:szCs w:val="21"/>
                    </w:rPr>
                  </w:pPr>
                  <w:r>
                    <w:rPr>
                      <w:rFonts w:ascii="Times New Roman" w:hAnsi="Times New Roman" w:cs="Times New Roman"/>
                      <w:sz w:val="21"/>
                      <w:szCs w:val="21"/>
                    </w:rPr>
                    <w:t>办公区域</w:t>
                  </w:r>
                </w:p>
              </w:tc>
              <w:tc>
                <w:tcPr>
                  <w:tcW w:w="1246" w:type="dxa"/>
                  <w:vAlign w:val="center"/>
                </w:tcPr>
                <w:p>
                  <w:pPr>
                    <w:pStyle w:val="55"/>
                    <w:spacing w:line="240" w:lineRule="auto"/>
                    <w:ind w:firstLine="0" w:firstLineChars="0"/>
                    <w:jc w:val="center"/>
                    <w:rPr>
                      <w:sz w:val="21"/>
                      <w:szCs w:val="21"/>
                    </w:rPr>
                  </w:pPr>
                  <w:r>
                    <w:rPr>
                      <w:rFonts w:ascii="Times New Roman" w:hAnsi="Times New Roman" w:cs="Times New Roman"/>
                      <w:sz w:val="21"/>
                      <w:szCs w:val="21"/>
                    </w:rPr>
                    <w:t>易</w:t>
                  </w:r>
                </w:p>
              </w:tc>
              <w:tc>
                <w:tcPr>
                  <w:tcW w:w="1309" w:type="dxa"/>
                  <w:vAlign w:val="center"/>
                </w:tcPr>
                <w:p>
                  <w:pPr>
                    <w:pStyle w:val="55"/>
                    <w:spacing w:line="240" w:lineRule="auto"/>
                    <w:ind w:firstLine="0" w:firstLineChars="0"/>
                    <w:jc w:val="center"/>
                    <w:rPr>
                      <w:sz w:val="21"/>
                      <w:szCs w:val="21"/>
                    </w:rPr>
                  </w:pPr>
                  <w:r>
                    <w:rPr>
                      <w:rFonts w:ascii="Times New Roman" w:hAnsi="Times New Roman" w:cs="Times New Roman"/>
                      <w:sz w:val="21"/>
                      <w:szCs w:val="21"/>
                    </w:rPr>
                    <w:t>其他类型</w:t>
                  </w:r>
                </w:p>
              </w:tc>
              <w:tc>
                <w:tcPr>
                  <w:tcW w:w="1444" w:type="dxa"/>
                  <w:vAlign w:val="center"/>
                </w:tcPr>
                <w:p>
                  <w:pPr>
                    <w:pStyle w:val="55"/>
                    <w:spacing w:line="240" w:lineRule="auto"/>
                    <w:ind w:firstLine="0" w:firstLineChars="0"/>
                    <w:jc w:val="center"/>
                    <w:rPr>
                      <w:sz w:val="21"/>
                      <w:szCs w:val="21"/>
                    </w:rPr>
                  </w:pPr>
                  <w:r>
                    <w:rPr>
                      <w:rFonts w:ascii="Times New Roman" w:hAnsi="Times New Roman" w:cs="Times New Roman"/>
                      <w:sz w:val="21"/>
                      <w:szCs w:val="21"/>
                    </w:rPr>
                    <w:t>简单防渗区</w:t>
                  </w:r>
                </w:p>
              </w:tc>
              <w:tc>
                <w:tcPr>
                  <w:tcW w:w="2390" w:type="dxa"/>
                  <w:vAlign w:val="center"/>
                </w:tcPr>
                <w:p>
                  <w:pPr>
                    <w:pStyle w:val="55"/>
                    <w:spacing w:line="240" w:lineRule="auto"/>
                    <w:ind w:firstLine="0" w:firstLineChars="0"/>
                    <w:jc w:val="center"/>
                    <w:rPr>
                      <w:sz w:val="21"/>
                      <w:szCs w:val="21"/>
                    </w:rPr>
                  </w:pPr>
                  <w:r>
                    <w:rPr>
                      <w:rFonts w:ascii="Times New Roman" w:hAnsi="Times New Roman" w:cs="Times New Roman"/>
                      <w:sz w:val="21"/>
                      <w:szCs w:val="21"/>
                    </w:rPr>
                    <w:t>一般地面硬化</w:t>
                  </w:r>
                </w:p>
              </w:tc>
            </w:tr>
          </w:tbl>
          <w:p>
            <w:pPr>
              <w:pStyle w:val="9"/>
              <w:adjustRightInd w:val="0"/>
              <w:snapToGrid w:val="0"/>
              <w:spacing w:before="120" w:beforeLines="50" w:line="360" w:lineRule="auto"/>
              <w:ind w:firstLine="0" w:firstLineChars="0"/>
              <w:rPr>
                <w:b/>
                <w:bCs/>
                <w:sz w:val="24"/>
              </w:rPr>
            </w:pPr>
            <w:r>
              <w:rPr>
                <w:rFonts w:hint="eastAsia"/>
                <w:b/>
                <w:bCs/>
                <w:sz w:val="24"/>
              </w:rPr>
              <w:t>6、环境生态</w:t>
            </w:r>
          </w:p>
          <w:p>
            <w:pPr>
              <w:adjustRightInd w:val="0"/>
              <w:snapToGrid w:val="0"/>
              <w:spacing w:line="360" w:lineRule="auto"/>
              <w:ind w:firstLine="440" w:firstLineChars="200"/>
              <w:rPr>
                <w:bCs/>
                <w:spacing w:val="-10"/>
                <w:szCs w:val="21"/>
              </w:rPr>
            </w:pPr>
            <w:r>
              <w:rPr>
                <w:bCs/>
                <w:color w:val="auto"/>
                <w:spacing w:val="-10"/>
              </w:rPr>
              <w:t>项目位于</w:t>
            </w:r>
            <w:r>
              <w:rPr>
                <w:rFonts w:hint="eastAsia" w:cs="Times New Roman"/>
                <w:color w:val="auto"/>
                <w:lang w:val="en-US" w:eastAsia="zh-CN"/>
              </w:rPr>
              <w:t>安徽省宿州市萧县杨楼镇陇海铁路南侧100号</w:t>
            </w:r>
            <w:r>
              <w:rPr>
                <w:bCs/>
                <w:color w:val="auto"/>
                <w:spacing w:val="-10"/>
              </w:rPr>
              <w:t>，</w:t>
            </w:r>
            <w:r>
              <w:rPr>
                <w:bCs/>
                <w:spacing w:val="-10"/>
              </w:rPr>
              <w:t>用地范围内不含生态环境保护目标，故不对生态环境进行影响分析</w:t>
            </w:r>
            <w:r>
              <w:rPr>
                <w:bCs/>
                <w:spacing w:val="-10"/>
                <w:szCs w:val="21"/>
              </w:rPr>
              <w:t>。</w:t>
            </w:r>
          </w:p>
          <w:p>
            <w:pPr>
              <w:adjustRightInd w:val="0"/>
              <w:snapToGrid w:val="0"/>
              <w:spacing w:line="360" w:lineRule="auto"/>
              <w:rPr>
                <w:b/>
                <w:bCs/>
              </w:rPr>
            </w:pPr>
            <w:r>
              <w:rPr>
                <w:rFonts w:hint="eastAsia"/>
                <w:b/>
                <w:bCs/>
              </w:rPr>
              <w:t>7、</w:t>
            </w:r>
            <w:r>
              <w:rPr>
                <w:b/>
                <w:bCs/>
              </w:rPr>
              <w:t>环境风险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color w:val="000000"/>
                <w:sz w:val="24"/>
                <w:szCs w:val="24"/>
                <w:lang w:eastAsia="zh-CN"/>
              </w:rPr>
            </w:pPr>
            <w:r>
              <w:rPr>
                <w:rStyle w:val="78"/>
                <w:rFonts w:hint="default" w:ascii="Times New Roman" w:hAnsi="Times New Roman" w:eastAsia="宋体" w:cs="Times New Roman"/>
                <w:color w:val="000000"/>
                <w:sz w:val="24"/>
                <w:szCs w:val="24"/>
                <w:highlight w:val="none"/>
              </w:rPr>
              <w:t>环境风险是指突发性事故对环境（或健康）的危害程度。建设项目环境风险评价，本次风险评价以《建设项目环境风险评价技术导则》（</w:t>
            </w:r>
            <w:r>
              <w:rPr>
                <w:rStyle w:val="79"/>
                <w:rFonts w:hint="default" w:ascii="Times New Roman" w:hAnsi="Times New Roman" w:eastAsia="宋体" w:cs="Times New Roman"/>
                <w:color w:val="000000"/>
                <w:sz w:val="24"/>
                <w:szCs w:val="24"/>
                <w:highlight w:val="none"/>
              </w:rPr>
              <w:t>HJ</w:t>
            </w:r>
            <w:r>
              <w:rPr>
                <w:rStyle w:val="79"/>
                <w:rFonts w:hint="eastAsia" w:ascii="Times New Roman" w:hAnsi="Times New Roman" w:eastAsia="宋体" w:cs="Times New Roman"/>
                <w:color w:val="000000"/>
                <w:sz w:val="24"/>
                <w:szCs w:val="24"/>
                <w:highlight w:val="none"/>
                <w:lang w:val="en-US" w:eastAsia="zh-CN"/>
              </w:rPr>
              <w:t xml:space="preserve"> </w:t>
            </w:r>
            <w:r>
              <w:rPr>
                <w:rStyle w:val="79"/>
                <w:rFonts w:hint="default" w:ascii="Times New Roman" w:hAnsi="Times New Roman" w:eastAsia="宋体" w:cs="Times New Roman"/>
                <w:color w:val="000000"/>
                <w:sz w:val="24"/>
                <w:szCs w:val="24"/>
                <w:highlight w:val="none"/>
              </w:rPr>
              <w:t>169-2018</w:t>
            </w:r>
            <w:r>
              <w:rPr>
                <w:rStyle w:val="78"/>
                <w:rFonts w:hint="default" w:ascii="Times New Roman" w:hAnsi="Times New Roman" w:eastAsia="宋体" w:cs="Times New Roman"/>
                <w:color w:val="000000"/>
                <w:sz w:val="24"/>
                <w:szCs w:val="24"/>
                <w:highlight w:val="none"/>
              </w:rPr>
              <w:t>）作为依据，以突发性事故的危险物质环境应急性损害防控为目标，对本项目的环境风险进行分析、预测和评估，提出环境风险预防、控制、减缓措施，明确环境风险监控及应急建议要求。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color w:val="000000"/>
                <w:sz w:val="24"/>
                <w:szCs w:val="24"/>
                <w:lang w:eastAsia="zh-CN"/>
              </w:rPr>
            </w:pPr>
            <w:r>
              <w:rPr>
                <w:rFonts w:hint="eastAsia" w:ascii="Times New Roman" w:hAnsi="Times New Roman" w:eastAsia="宋体" w:cs="Times New Roman"/>
                <w:b/>
                <w:color w:val="000000"/>
                <w:sz w:val="24"/>
                <w:szCs w:val="24"/>
                <w:lang w:eastAsia="zh-CN"/>
              </w:rPr>
              <w:t>（</w:t>
            </w:r>
            <w:r>
              <w:rPr>
                <w:rFonts w:hint="eastAsia" w:ascii="Times New Roman" w:hAnsi="Times New Roman" w:eastAsia="宋体" w:cs="Times New Roman"/>
                <w:b/>
                <w:color w:val="000000"/>
                <w:sz w:val="24"/>
                <w:szCs w:val="24"/>
                <w:lang w:val="en-US" w:eastAsia="zh-CN"/>
              </w:rPr>
              <w:t>1</w:t>
            </w:r>
            <w:r>
              <w:rPr>
                <w:rFonts w:hint="eastAsia" w:ascii="Times New Roman" w:hAnsi="Times New Roman" w:eastAsia="宋体" w:cs="Times New Roman"/>
                <w:b/>
                <w:color w:val="000000"/>
                <w:sz w:val="24"/>
                <w:szCs w:val="24"/>
                <w:lang w:eastAsia="zh-CN"/>
              </w:rPr>
              <w:t>）评价依据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Style w:val="78"/>
                <w:rFonts w:hint="eastAsia" w:ascii="Times New Roman" w:hAnsi="Times New Roman" w:eastAsia="宋体" w:cs="Times New Roman"/>
                <w:b w:val="0"/>
                <w:bCs/>
                <w:i w:val="0"/>
                <w:iCs w:val="0"/>
                <w:color w:val="000000"/>
                <w:sz w:val="24"/>
                <w:szCs w:val="24"/>
                <w:lang w:eastAsia="zh-CN"/>
              </w:rPr>
            </w:pPr>
            <w:r>
              <w:rPr>
                <w:rFonts w:hint="eastAsia" w:ascii="宋体" w:hAnsi="宋体" w:eastAsia="宋体" w:cs="宋体"/>
                <w:b w:val="0"/>
                <w:bCs/>
                <w:i w:val="0"/>
                <w:iCs w:val="0"/>
                <w:color w:val="000000"/>
                <w:sz w:val="24"/>
                <w:szCs w:val="24"/>
                <w:lang w:eastAsia="zh-CN"/>
              </w:rPr>
              <w:t>①</w:t>
            </w:r>
            <w:r>
              <w:rPr>
                <w:rFonts w:hint="eastAsia" w:ascii="宋体" w:hAnsi="宋体" w:eastAsia="宋体" w:cs="宋体"/>
                <w:b w:val="0"/>
                <w:bCs/>
                <w:i w:val="0"/>
                <w:iCs w:val="0"/>
                <w:color w:val="000000"/>
                <w:sz w:val="24"/>
                <w:szCs w:val="24"/>
                <w:lang w:val="en-US" w:eastAsia="zh-CN"/>
              </w:rPr>
              <w:t xml:space="preserve"> 风险调查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b/>
                <w:color w:val="000000"/>
                <w:sz w:val="24"/>
                <w:szCs w:val="24"/>
                <w:lang w:val="en-US" w:eastAsia="zh-CN"/>
              </w:rPr>
            </w:pPr>
            <w:r>
              <w:rPr>
                <w:rFonts w:hint="eastAsia" w:ascii="Times New Roman" w:hAnsi="Times New Roman" w:eastAsia="宋体" w:cs="Times New Roman"/>
                <w:b w:val="0"/>
                <w:bCs w:val="0"/>
                <w:color w:val="000000"/>
                <w:sz w:val="24"/>
                <w:szCs w:val="24"/>
                <w:lang w:val="en-US" w:eastAsia="zh-CN" w:bidi="ar-SA"/>
              </w:rPr>
              <w:t>本项目的原辅材料主要为</w:t>
            </w:r>
            <w:r>
              <w:rPr>
                <w:rFonts w:hint="eastAsia" w:cs="Times New Roman"/>
                <w:b w:val="0"/>
                <w:bCs w:val="0"/>
                <w:color w:val="000000"/>
                <w:sz w:val="24"/>
                <w:szCs w:val="24"/>
                <w:lang w:val="en-US" w:eastAsia="zh-CN" w:bidi="ar-SA"/>
              </w:rPr>
              <w:t>水泥和石子</w:t>
            </w:r>
            <w:r>
              <w:rPr>
                <w:rFonts w:hint="eastAsia" w:ascii="Times New Roman" w:hAnsi="Times New Roman" w:eastAsia="宋体" w:cs="Times New Roman"/>
                <w:b w:val="0"/>
                <w:bCs w:val="0"/>
                <w:color w:val="000000"/>
                <w:sz w:val="24"/>
                <w:szCs w:val="24"/>
                <w:lang w:val="en-US" w:eastAsia="zh-CN" w:bidi="ar-SA"/>
              </w:rPr>
              <w:t>，</w:t>
            </w:r>
            <w:r>
              <w:rPr>
                <w:rStyle w:val="78"/>
                <w:rFonts w:hint="default" w:ascii="Times New Roman" w:hAnsi="Times New Roman" w:eastAsia="宋体" w:cs="Times New Roman"/>
                <w:color w:val="000000"/>
                <w:sz w:val="24"/>
                <w:szCs w:val="24"/>
              </w:rPr>
              <w:t>项目建成生产过程中，</w:t>
            </w:r>
            <w:r>
              <w:rPr>
                <w:rStyle w:val="78"/>
                <w:rFonts w:hint="eastAsia" w:ascii="Times New Roman" w:hAnsi="Times New Roman" w:eastAsia="宋体" w:cs="Times New Roman"/>
                <w:color w:val="000000"/>
                <w:sz w:val="24"/>
                <w:szCs w:val="24"/>
                <w:lang w:val="en-US" w:eastAsia="zh-CN"/>
              </w:rPr>
              <w:t>不涉及危险</w:t>
            </w:r>
            <w:r>
              <w:rPr>
                <w:rStyle w:val="78"/>
                <w:rFonts w:hint="default" w:ascii="Times New Roman" w:hAnsi="Times New Roman" w:eastAsia="宋体" w:cs="Times New Roman"/>
                <w:color w:val="000000"/>
                <w:sz w:val="24"/>
                <w:szCs w:val="24"/>
              </w:rPr>
              <w:t>化学品</w:t>
            </w:r>
            <w:r>
              <w:rPr>
                <w:rStyle w:val="78"/>
                <w:rFonts w:hint="eastAsia" w:ascii="Times New Roman" w:hAnsi="Times New Roman" w:eastAsia="宋体" w:cs="Times New Roman"/>
                <w:color w:val="000000"/>
                <w:sz w:val="24"/>
                <w:szCs w:val="24"/>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Style w:val="78"/>
                <w:rFonts w:hint="default" w:ascii="Times New Roman" w:hAnsi="Times New Roman" w:eastAsia="宋体" w:cs="Times New Roman"/>
                <w:color w:val="000000"/>
                <w:sz w:val="24"/>
                <w:szCs w:val="24"/>
              </w:rPr>
            </w:pPr>
            <w:r>
              <w:rPr>
                <w:rStyle w:val="79"/>
                <w:rFonts w:hint="eastAsia" w:ascii="宋体" w:hAnsi="宋体" w:eastAsia="宋体" w:cs="宋体"/>
                <w:color w:val="000000"/>
                <w:sz w:val="24"/>
                <w:szCs w:val="24"/>
                <w:lang w:val="en-US" w:eastAsia="zh-CN"/>
              </w:rPr>
              <w:t>②</w:t>
            </w:r>
            <w:r>
              <w:rPr>
                <w:rStyle w:val="79"/>
                <w:rFonts w:hint="eastAsia" w:ascii="Times New Roman" w:hAnsi="Times New Roman" w:eastAsia="宋体" w:cs="Times New Roman"/>
                <w:color w:val="000000"/>
                <w:sz w:val="24"/>
                <w:szCs w:val="24"/>
                <w:lang w:val="en-US" w:eastAsia="zh-CN"/>
              </w:rPr>
              <w:t xml:space="preserve"> </w:t>
            </w:r>
            <w:r>
              <w:rPr>
                <w:rStyle w:val="78"/>
                <w:rFonts w:hint="default" w:ascii="Times New Roman" w:hAnsi="Times New Roman" w:eastAsia="宋体" w:cs="Times New Roman"/>
                <w:color w:val="000000"/>
                <w:sz w:val="24"/>
                <w:szCs w:val="24"/>
              </w:rPr>
              <w:t>环境风险潜势初判</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Style w:val="78"/>
                <w:rFonts w:hint="default" w:ascii="Times New Roman" w:hAnsi="Times New Roman" w:eastAsia="宋体" w:cs="Times New Roman"/>
                <w:color w:val="000000"/>
                <w:sz w:val="24"/>
                <w:szCs w:val="24"/>
              </w:rPr>
            </w:pPr>
            <w:r>
              <w:rPr>
                <w:rStyle w:val="78"/>
                <w:rFonts w:hint="default" w:ascii="Times New Roman" w:hAnsi="Times New Roman" w:eastAsia="宋体" w:cs="Times New Roman"/>
                <w:color w:val="000000"/>
                <w:sz w:val="24"/>
                <w:szCs w:val="24"/>
              </w:rPr>
              <w:t>根据建设项目涉及的物质和工艺系统的危险性及其所在地的环境敏感程序，结合事故情形下的环境影响途径，对建设项目潜在环境危害程度进行概化分析。危险物质的临界量（</w:t>
            </w:r>
            <w:r>
              <w:rPr>
                <w:rStyle w:val="79"/>
                <w:rFonts w:hint="default" w:ascii="Times New Roman" w:hAnsi="Times New Roman" w:eastAsia="宋体" w:cs="Times New Roman"/>
                <w:color w:val="000000"/>
                <w:sz w:val="24"/>
                <w:szCs w:val="24"/>
              </w:rPr>
              <w:t>Q</w:t>
            </w:r>
            <w:r>
              <w:rPr>
                <w:rStyle w:val="78"/>
                <w:rFonts w:hint="default" w:ascii="Times New Roman" w:hAnsi="Times New Roman" w:eastAsia="宋体" w:cs="Times New Roman"/>
                <w:color w:val="000000"/>
                <w:sz w:val="24"/>
                <w:szCs w:val="24"/>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Style w:val="78"/>
                <w:rFonts w:hint="default" w:ascii="Times New Roman" w:hAnsi="Times New Roman" w:eastAsia="宋体" w:cs="Times New Roman"/>
                <w:color w:val="000000"/>
                <w:sz w:val="24"/>
                <w:szCs w:val="24"/>
              </w:rPr>
            </w:pPr>
            <w:r>
              <w:rPr>
                <w:rStyle w:val="78"/>
                <w:rFonts w:hint="default" w:ascii="Times New Roman" w:hAnsi="Times New Roman" w:eastAsia="宋体" w:cs="Times New Roman"/>
                <w:color w:val="000000"/>
                <w:sz w:val="24"/>
                <w:szCs w:val="24"/>
              </w:rPr>
              <w:t>当只涉及一种危险物质时，计算该物质的总量与其临界量比值，即为</w:t>
            </w:r>
            <w:r>
              <w:rPr>
                <w:rStyle w:val="79"/>
                <w:rFonts w:hint="default" w:ascii="Times New Roman" w:hAnsi="Times New Roman" w:eastAsia="宋体" w:cs="Times New Roman"/>
                <w:color w:val="000000"/>
                <w:sz w:val="24"/>
                <w:szCs w:val="24"/>
              </w:rPr>
              <w:t>Q</w:t>
            </w:r>
            <w:r>
              <w:rPr>
                <w:rStyle w:val="78"/>
                <w:rFonts w:hint="default" w:ascii="Times New Roman" w:hAnsi="Times New Roman" w:eastAsia="宋体" w:cs="Times New Roman"/>
                <w:color w:val="000000"/>
                <w:sz w:val="24"/>
                <w:szCs w:val="24"/>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Style w:val="78"/>
                <w:rFonts w:hint="default" w:ascii="Times New Roman" w:hAnsi="Times New Roman" w:eastAsia="宋体" w:cs="Times New Roman"/>
                <w:color w:val="000000"/>
                <w:sz w:val="24"/>
                <w:szCs w:val="24"/>
              </w:rPr>
            </w:pPr>
            <w:r>
              <w:rPr>
                <w:rStyle w:val="78"/>
                <w:rFonts w:hint="default" w:ascii="Times New Roman" w:hAnsi="Times New Roman" w:eastAsia="宋体" w:cs="Times New Roman"/>
                <w:color w:val="000000"/>
                <w:sz w:val="24"/>
                <w:szCs w:val="24"/>
              </w:rPr>
              <w:t>当存在多种危险物质时，则按下式计算物质总量与其临界量比值（</w:t>
            </w:r>
            <w:r>
              <w:rPr>
                <w:rStyle w:val="79"/>
                <w:rFonts w:hint="default" w:ascii="Times New Roman" w:hAnsi="Times New Roman" w:eastAsia="宋体" w:cs="Times New Roman"/>
                <w:color w:val="000000"/>
                <w:sz w:val="24"/>
                <w:szCs w:val="24"/>
              </w:rPr>
              <w:t>Q</w:t>
            </w:r>
            <w:r>
              <w:rPr>
                <w:rStyle w:val="78"/>
                <w:rFonts w:hint="default" w:ascii="Times New Roman" w:hAnsi="Times New Roman" w:eastAsia="宋体" w:cs="Times New Roman"/>
                <w:color w:val="000000"/>
                <w:sz w:val="24"/>
                <w:szCs w:val="24"/>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b w:val="0"/>
                <w:bCs w:val="0"/>
                <w:color w:val="000000"/>
                <w:kern w:val="2"/>
                <w:sz w:val="24"/>
                <w:szCs w:val="28"/>
                <w:lang w:val="en-US" w:eastAsia="zh-CN" w:bidi="ar-SA"/>
              </w:rPr>
            </w:pPr>
            <w:r>
              <w:rPr>
                <w:rFonts w:hint="default" w:ascii="Times New Roman" w:hAnsi="Times New Roman" w:eastAsia="宋体" w:cs="Times New Roman"/>
                <w:b w:val="0"/>
                <w:bCs w:val="0"/>
                <w:color w:val="000000"/>
                <w:kern w:val="2"/>
                <w:sz w:val="24"/>
                <w:szCs w:val="28"/>
                <w:lang w:val="en-US" w:eastAsia="zh-CN" w:bidi="ar-SA"/>
              </w:rPr>
              <w:t>Q=q1/Q1＋q2/Q2＋…＋qn/Qn≥1</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2"/>
                <w:sz w:val="24"/>
                <w:szCs w:val="28"/>
                <w:lang w:val="en-US" w:eastAsia="zh-CN" w:bidi="ar-SA"/>
              </w:rPr>
            </w:pPr>
            <w:r>
              <w:rPr>
                <w:rFonts w:hint="default" w:ascii="Times New Roman" w:hAnsi="Times New Roman" w:eastAsia="宋体" w:cs="Times New Roman"/>
                <w:b w:val="0"/>
                <w:bCs w:val="0"/>
                <w:color w:val="000000"/>
                <w:kern w:val="2"/>
                <w:sz w:val="24"/>
                <w:szCs w:val="28"/>
                <w:lang w:val="en-US" w:eastAsia="zh-CN" w:bidi="ar-SA"/>
              </w:rPr>
              <w:t>式中：Q           ——</w:t>
            </w:r>
            <w:r>
              <w:rPr>
                <w:rStyle w:val="78"/>
                <w:rFonts w:hint="default" w:ascii="Times New Roman" w:hAnsi="Times New Roman" w:eastAsia="宋体" w:cs="Times New Roman"/>
                <w:color w:val="000000"/>
                <w:sz w:val="24"/>
                <w:szCs w:val="24"/>
              </w:rPr>
              <w:t>危险物质的临界量</w:t>
            </w:r>
            <w:r>
              <w:rPr>
                <w:rFonts w:hint="default" w:ascii="Times New Roman" w:hAnsi="Times New Roman" w:eastAsia="宋体" w:cs="Times New Roman"/>
                <w:b w:val="0"/>
                <w:bCs w:val="0"/>
                <w:color w:val="000000"/>
                <w:kern w:val="2"/>
                <w:sz w:val="24"/>
                <w:szCs w:val="28"/>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textAlignment w:val="auto"/>
              <w:rPr>
                <w:rFonts w:hint="default" w:ascii="Times New Roman" w:hAnsi="Times New Roman" w:eastAsia="宋体" w:cs="Times New Roman"/>
                <w:b w:val="0"/>
                <w:bCs w:val="0"/>
                <w:color w:val="000000"/>
                <w:kern w:val="2"/>
                <w:sz w:val="24"/>
                <w:szCs w:val="28"/>
                <w:lang w:val="en-US" w:eastAsia="zh-CN" w:bidi="ar-SA"/>
              </w:rPr>
            </w:pPr>
            <w:r>
              <w:rPr>
                <w:rFonts w:hint="default" w:ascii="Times New Roman" w:hAnsi="Times New Roman" w:eastAsia="宋体" w:cs="Times New Roman"/>
                <w:b w:val="0"/>
                <w:bCs w:val="0"/>
                <w:color w:val="000000"/>
                <w:kern w:val="2"/>
                <w:sz w:val="24"/>
                <w:szCs w:val="28"/>
                <w:lang w:val="en-US" w:eastAsia="zh-CN" w:bidi="ar-SA"/>
              </w:rPr>
              <w:t>q1，q2，…qn ——每种危险化学品实际存在量，t；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textAlignment w:val="auto"/>
              <w:rPr>
                <w:rFonts w:hint="default" w:ascii="Times New Roman" w:hAnsi="Times New Roman" w:eastAsia="宋体" w:cs="Times New Roman"/>
                <w:b w:val="0"/>
                <w:bCs w:val="0"/>
                <w:color w:val="000000"/>
                <w:kern w:val="2"/>
                <w:sz w:val="24"/>
                <w:szCs w:val="28"/>
                <w:lang w:val="en-US" w:eastAsia="zh-CN" w:bidi="ar-SA"/>
              </w:rPr>
            </w:pPr>
            <w:r>
              <w:rPr>
                <w:rFonts w:hint="default" w:ascii="Times New Roman" w:hAnsi="Times New Roman" w:eastAsia="宋体" w:cs="Times New Roman"/>
                <w:b w:val="0"/>
                <w:bCs w:val="0"/>
                <w:color w:val="000000"/>
                <w:kern w:val="2"/>
                <w:sz w:val="24"/>
                <w:szCs w:val="28"/>
                <w:lang w:val="en-US" w:eastAsia="zh-CN" w:bidi="ar-SA"/>
              </w:rPr>
              <w:t>Q1、Q2、…Qn——与各危险化学品相对应的临界量，t。</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eastAsia="zh-CN"/>
              </w:rPr>
              <w:t>根据《建设项目环境风险评价技术导则》</w:t>
            </w:r>
            <w:r>
              <w:rPr>
                <w:rFonts w:hint="default" w:ascii="Times New Roman" w:hAnsi="Times New Roman" w:eastAsia="宋体" w:cs="Times New Roman"/>
                <w:b w:val="0"/>
                <w:bCs w:val="0"/>
                <w:i w:val="0"/>
                <w:color w:val="000000"/>
                <w:sz w:val="24"/>
                <w:szCs w:val="24"/>
              </w:rPr>
              <w:t>（HJ</w:t>
            </w:r>
            <w:r>
              <w:rPr>
                <w:rFonts w:hint="default" w:ascii="Times New Roman" w:hAnsi="Times New Roman" w:eastAsia="宋体" w:cs="Times New Roman"/>
                <w:b w:val="0"/>
                <w:bCs w:val="0"/>
                <w:i w:val="0"/>
                <w:color w:val="000000"/>
                <w:sz w:val="24"/>
                <w:szCs w:val="24"/>
                <w:lang w:val="en-US" w:eastAsia="zh-CN"/>
              </w:rPr>
              <w:t xml:space="preserve"> </w:t>
            </w:r>
            <w:r>
              <w:rPr>
                <w:rFonts w:hint="default" w:ascii="Times New Roman" w:hAnsi="Times New Roman" w:eastAsia="宋体" w:cs="Times New Roman"/>
                <w:b w:val="0"/>
                <w:bCs w:val="0"/>
                <w:i w:val="0"/>
                <w:color w:val="000000"/>
                <w:sz w:val="24"/>
                <w:szCs w:val="24"/>
              </w:rPr>
              <w:t>169-2018）附录B</w:t>
            </w:r>
            <w:r>
              <w:rPr>
                <w:rFonts w:hint="default" w:ascii="Times New Roman" w:hAnsi="Times New Roman" w:eastAsia="宋体" w:cs="Times New Roman"/>
                <w:b w:val="0"/>
                <w:bCs w:val="0"/>
                <w:color w:val="000000"/>
                <w:sz w:val="24"/>
                <w:szCs w:val="24"/>
                <w:lang w:val="en-US" w:eastAsia="zh-CN"/>
              </w:rPr>
              <w:t>和《危险化学品重大危险源辨识》</w:t>
            </w:r>
            <w:r>
              <w:rPr>
                <w:rFonts w:hint="default" w:ascii="Times New Roman" w:hAnsi="Times New Roman" w:eastAsia="宋体" w:cs="Times New Roman"/>
                <w:b w:val="0"/>
                <w:bCs w:val="0"/>
                <w:i w:val="0"/>
                <w:color w:val="000000"/>
                <w:sz w:val="24"/>
                <w:szCs w:val="24"/>
                <w:lang w:eastAsia="zh-CN"/>
              </w:rPr>
              <w:t>（</w:t>
            </w:r>
            <w:r>
              <w:rPr>
                <w:rFonts w:hint="default" w:ascii="Times New Roman" w:hAnsi="Times New Roman" w:eastAsia="宋体" w:cs="Times New Roman"/>
                <w:b w:val="0"/>
                <w:bCs w:val="0"/>
                <w:i w:val="0"/>
                <w:color w:val="000000"/>
                <w:sz w:val="24"/>
                <w:szCs w:val="24"/>
              </w:rPr>
              <w:t>GB</w:t>
            </w:r>
            <w:r>
              <w:rPr>
                <w:rFonts w:hint="default" w:ascii="Times New Roman" w:hAnsi="Times New Roman" w:eastAsia="宋体" w:cs="Times New Roman"/>
                <w:b w:val="0"/>
                <w:bCs w:val="0"/>
                <w:i w:val="0"/>
                <w:color w:val="000000"/>
                <w:sz w:val="24"/>
                <w:szCs w:val="24"/>
                <w:lang w:val="en-US" w:eastAsia="zh-CN"/>
              </w:rPr>
              <w:t xml:space="preserve"> </w:t>
            </w:r>
            <w:r>
              <w:rPr>
                <w:rFonts w:hint="default" w:ascii="Times New Roman" w:hAnsi="Times New Roman" w:eastAsia="宋体" w:cs="Times New Roman"/>
                <w:b w:val="0"/>
                <w:bCs w:val="0"/>
                <w:i w:val="0"/>
                <w:color w:val="000000"/>
                <w:sz w:val="24"/>
                <w:szCs w:val="24"/>
              </w:rPr>
              <w:t>18218-2018）</w:t>
            </w:r>
            <w:r>
              <w:rPr>
                <w:rFonts w:hint="default" w:ascii="Times New Roman" w:hAnsi="Times New Roman" w:eastAsia="宋体" w:cs="Times New Roman"/>
                <w:b w:val="0"/>
                <w:bCs w:val="0"/>
                <w:color w:val="000000"/>
                <w:sz w:val="24"/>
                <w:szCs w:val="24"/>
                <w:lang w:val="en-US" w:eastAsia="zh-CN"/>
              </w:rPr>
              <w:t>所列标准对所涉及到的危险化学品对本项目进行危险源辨识，</w:t>
            </w:r>
            <w:r>
              <w:rPr>
                <w:rFonts w:hint="default" w:ascii="Times New Roman" w:hAnsi="Times New Roman" w:eastAsia="宋体" w:cs="Times New Roman"/>
                <w:b w:val="0"/>
                <w:bCs w:val="0"/>
                <w:color w:val="000000"/>
                <w:kern w:val="2"/>
                <w:sz w:val="24"/>
                <w:szCs w:val="24"/>
                <w:lang w:val="en-US" w:eastAsia="zh-CN" w:bidi="ar-SA"/>
              </w:rPr>
              <w:t>根据查询《危险货物品名表》</w:t>
            </w:r>
            <w:r>
              <w:rPr>
                <w:rFonts w:hint="eastAsia" w:ascii="Times New Roman" w:hAnsi="Times New Roman" w:cs="Times New Roman"/>
                <w:b w:val="0"/>
                <w:bCs w:val="0"/>
                <w:color w:val="000000"/>
                <w:kern w:val="2"/>
                <w:sz w:val="24"/>
                <w:szCs w:val="24"/>
                <w:lang w:val="en-US" w:eastAsia="zh-CN" w:bidi="ar-SA"/>
              </w:rPr>
              <w:t>（</w:t>
            </w:r>
            <w:r>
              <w:rPr>
                <w:rFonts w:hint="default" w:ascii="Times New Roman" w:hAnsi="Times New Roman" w:eastAsia="宋体" w:cs="Times New Roman"/>
                <w:b w:val="0"/>
                <w:bCs w:val="0"/>
                <w:color w:val="000000"/>
                <w:kern w:val="2"/>
                <w:sz w:val="24"/>
                <w:szCs w:val="24"/>
                <w:lang w:val="en-US" w:eastAsia="zh-CN" w:bidi="ar-SA"/>
              </w:rPr>
              <w:t>GB 12268-2012</w:t>
            </w:r>
            <w:r>
              <w:rPr>
                <w:rFonts w:hint="eastAsia" w:ascii="Times New Roman" w:hAnsi="Times New Roman" w:cs="Times New Roman"/>
                <w:b w:val="0"/>
                <w:bCs w:val="0"/>
                <w:color w:val="000000"/>
                <w:kern w:val="2"/>
                <w:sz w:val="24"/>
                <w:szCs w:val="24"/>
                <w:lang w:val="en-US" w:eastAsia="zh-CN" w:bidi="ar-SA"/>
              </w:rPr>
              <w:t>）</w:t>
            </w:r>
            <w:r>
              <w:rPr>
                <w:rFonts w:hint="default" w:ascii="Times New Roman" w:hAnsi="Times New Roman" w:eastAsia="宋体" w:cs="Times New Roman"/>
                <w:b w:val="0"/>
                <w:bCs w:val="0"/>
                <w:color w:val="000000"/>
                <w:sz w:val="24"/>
                <w:szCs w:val="24"/>
                <w:lang w:val="en-US" w:eastAsia="zh-CN"/>
              </w:rPr>
              <w:t>可知</w:t>
            </w:r>
            <w:r>
              <w:rPr>
                <w:rFonts w:hint="default" w:ascii="Times New Roman" w:hAnsi="Times New Roman" w:eastAsia="宋体" w:cs="Times New Roman"/>
                <w:b w:val="0"/>
                <w:bCs w:val="0"/>
                <w:color w:val="000000"/>
                <w:kern w:val="2"/>
                <w:sz w:val="24"/>
                <w:szCs w:val="24"/>
                <w:lang w:val="en-US" w:eastAsia="zh-CN" w:bidi="ar-SA"/>
              </w:rPr>
              <w:t>，</w:t>
            </w:r>
            <w:r>
              <w:rPr>
                <w:rFonts w:hint="eastAsia" w:ascii="Times New Roman" w:hAnsi="Times New Roman" w:cs="Times New Roman"/>
                <w:b w:val="0"/>
                <w:bCs w:val="0"/>
                <w:color w:val="000000"/>
                <w:kern w:val="2"/>
                <w:sz w:val="24"/>
                <w:szCs w:val="24"/>
                <w:lang w:val="en-US" w:eastAsia="zh-CN" w:bidi="ar-SA"/>
              </w:rPr>
              <w:t>本项目原辅材料不涉及</w:t>
            </w:r>
            <w:r>
              <w:rPr>
                <w:rFonts w:hint="default" w:ascii="Times New Roman" w:hAnsi="Times New Roman" w:eastAsia="宋体" w:cs="Times New Roman"/>
                <w:b w:val="0"/>
                <w:bCs w:val="0"/>
                <w:color w:val="000000"/>
                <w:kern w:val="2"/>
                <w:sz w:val="24"/>
                <w:szCs w:val="24"/>
                <w:lang w:val="en-US" w:eastAsia="zh-CN" w:bidi="ar-SA"/>
              </w:rPr>
              <w:t>危化品</w:t>
            </w:r>
            <w:r>
              <w:rPr>
                <w:rFonts w:hint="default" w:ascii="Times New Roman" w:hAnsi="Times New Roman" w:eastAsia="宋体" w:cs="Times New Roman"/>
                <w:b w:val="0"/>
                <w:bCs w:val="0"/>
                <w:color w:val="000000"/>
                <w:sz w:val="24"/>
                <w:szCs w:val="24"/>
                <w:lang w:val="en-US" w:eastAsia="zh-CN"/>
              </w:rPr>
              <w:t>，因此本评价仅对一些风险防范措施提出要求。</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textAlignment w:val="auto"/>
              <w:rPr>
                <w:rFonts w:hint="default" w:ascii="Times New Roman" w:hAnsi="Times New Roman" w:eastAsia="宋体" w:cs="Times New Roman"/>
                <w:b/>
                <w:bCs/>
                <w:color w:val="000000"/>
                <w:sz w:val="24"/>
                <w:szCs w:val="24"/>
                <w:lang w:val="en-US" w:eastAsia="zh-CN"/>
              </w:rPr>
            </w:pPr>
            <w:r>
              <w:rPr>
                <w:rFonts w:hint="eastAsia" w:ascii="Times New Roman" w:hAnsi="Times New Roman" w:cs="Times New Roman"/>
                <w:b/>
                <w:bCs/>
                <w:color w:val="000000"/>
                <w:sz w:val="24"/>
                <w:szCs w:val="24"/>
                <w:lang w:val="en-US" w:eastAsia="zh-CN"/>
              </w:rPr>
              <w:t>（2）</w:t>
            </w:r>
            <w:r>
              <w:rPr>
                <w:rFonts w:hint="default" w:ascii="Times New Roman" w:hAnsi="Times New Roman" w:eastAsia="宋体" w:cs="Times New Roman"/>
                <w:b/>
                <w:bCs/>
                <w:color w:val="000000"/>
                <w:sz w:val="24"/>
                <w:szCs w:val="24"/>
                <w:lang w:val="en-US" w:eastAsia="zh-CN"/>
              </w:rPr>
              <w:t>防范措施</w:t>
            </w:r>
          </w:p>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①</w:t>
            </w:r>
            <w:r>
              <w:rPr>
                <w:rFonts w:hint="default"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lang w:val="en-US" w:eastAsia="zh-CN"/>
              </w:rPr>
              <w:t>贮存过程风险防范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本项目</w:t>
            </w:r>
            <w:r>
              <w:rPr>
                <w:rFonts w:hint="eastAsia" w:ascii="Times New Roman" w:hAnsi="Times New Roman" w:eastAsia="宋体" w:cs="Times New Roman"/>
                <w:color w:val="000000"/>
                <w:sz w:val="24"/>
                <w:szCs w:val="24"/>
                <w:lang w:val="en-US" w:eastAsia="zh-CN"/>
              </w:rPr>
              <w:t>不</w:t>
            </w:r>
            <w:r>
              <w:rPr>
                <w:rFonts w:hint="default" w:ascii="Times New Roman" w:hAnsi="Times New Roman" w:eastAsia="宋体" w:cs="Times New Roman"/>
                <w:color w:val="000000"/>
                <w:sz w:val="24"/>
                <w:szCs w:val="24"/>
                <w:lang w:val="en-US" w:eastAsia="zh-CN"/>
              </w:rPr>
              <w:t>涉及</w:t>
            </w:r>
            <w:r>
              <w:rPr>
                <w:rFonts w:hint="default" w:ascii="Times New Roman" w:hAnsi="Times New Roman" w:eastAsia="宋体" w:cs="Times New Roman"/>
                <w:b w:val="0"/>
                <w:bCs w:val="0"/>
                <w:color w:val="000000"/>
                <w:kern w:val="2"/>
                <w:sz w:val="24"/>
                <w:szCs w:val="24"/>
                <w:lang w:val="en-US" w:eastAsia="zh-CN" w:bidi="ar-SA"/>
              </w:rPr>
              <w:t>危化品</w:t>
            </w:r>
            <w:r>
              <w:rPr>
                <w:rFonts w:hint="default"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lang w:val="en-US" w:eastAsia="zh-CN"/>
              </w:rPr>
              <w:t>原材料</w:t>
            </w:r>
            <w:r>
              <w:rPr>
                <w:rFonts w:hint="eastAsia" w:cs="Times New Roman"/>
                <w:color w:val="000000"/>
                <w:sz w:val="24"/>
                <w:szCs w:val="24"/>
                <w:lang w:val="en-US" w:eastAsia="zh-CN"/>
              </w:rPr>
              <w:t>水泥和石子</w:t>
            </w:r>
            <w:r>
              <w:rPr>
                <w:rFonts w:hint="eastAsia" w:cs="Times New Roman"/>
                <w:b w:val="0"/>
                <w:bCs w:val="0"/>
                <w:color w:val="000000"/>
                <w:sz w:val="24"/>
                <w:szCs w:val="24"/>
                <w:lang w:val="en-US" w:eastAsia="zh-CN" w:bidi="ar-SA"/>
              </w:rPr>
              <w:t>等</w:t>
            </w:r>
            <w:r>
              <w:rPr>
                <w:rFonts w:hint="default" w:ascii="Times New Roman" w:hAnsi="Times New Roman" w:eastAsia="宋体" w:cs="Times New Roman"/>
                <w:color w:val="000000"/>
                <w:sz w:val="24"/>
                <w:szCs w:val="24"/>
                <w:lang w:val="en-US" w:eastAsia="zh-CN"/>
              </w:rPr>
              <w:t>出入库必须检查验收登记，贮存期间定期养护，控制好贮存场所的温度和湿度，做好防火防爆措施；装卸、搬运时应轻装轻卸，注意自我防护。要严格遵守有关贮存的安全规定，具体包括《仓库防火安全管理规则》、《建筑设计防火规范》、《易燃易爆化学物品消防安全监督管理办法》等。</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②</w:t>
            </w:r>
            <w:r>
              <w:rPr>
                <w:rFonts w:hint="default"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lang w:val="en-US" w:eastAsia="zh-CN"/>
              </w:rPr>
              <w:t>生产过程风险防范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生产过程事故风险防范同样是安全生产的重要内容，本项目虽不涉及重大危险源，但仍应加强其安全管理。公司应组织员工认真学习贯彻相关安全手册，并将国家要求和安全技术规范转化为各自岗位的安全操作规程，并悬挂在岗位醒目位置，规范岗位操作，降低事故概率。事故性泄漏常与装置设备故障相关联，安全管理中要密切注意事故易发部位，做好运行监督检查与维修保养，防患于未然。必须组织专门人员每天每班多次进行周期性巡回检查，有跑冒滴漏或其他异常现象的应及时检修，必要时按照</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生产服从安全</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原则停车检修，严禁带病或不正常运转。生产工艺、检修时，对装置内和周围的各种易燃、易爆、可燃介质，必须采取完善的安全措施予以消除和隔离。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③</w:t>
            </w:r>
            <w:r>
              <w:rPr>
                <w:rFonts w:hint="eastAsia" w:ascii="Times New Roman" w:hAns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lang w:val="en-US" w:eastAsia="zh-CN"/>
              </w:rPr>
              <w:t>加强管理强化意识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安全生产是企业立厂之本，一定要强化风险意识、加强安全管理，具体如下</w:t>
            </w:r>
            <w:r>
              <w:rPr>
                <w:rFonts w:hint="eastAsia" w:ascii="Times New Roman" w:hAnsi="Times New Roman" w:eastAsia="宋体" w:cs="Times New Roman"/>
                <w:color w:val="000000"/>
                <w:sz w:val="24"/>
                <w:szCs w:val="24"/>
                <w:lang w:val="en-US" w:eastAsia="zh-CN"/>
              </w:rPr>
              <w:t>：</w:t>
            </w:r>
          </w:p>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a .</w:t>
            </w:r>
            <w:r>
              <w:rPr>
                <w:rFonts w:hint="default" w:ascii="Times New Roman" w:hAnsi="Times New Roman" w:eastAsia="宋体" w:cs="Times New Roman"/>
                <w:color w:val="000000"/>
                <w:sz w:val="24"/>
                <w:szCs w:val="24"/>
                <w:lang w:val="en-US" w:eastAsia="zh-CN"/>
              </w:rPr>
              <w:t>必须将</w:t>
            </w:r>
            <w:r>
              <w:rPr>
                <w:rFonts w:hint="eastAsia" w:ascii="Times New Roman" w:hAnsi="Times New Roman"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安全第一，预防为主</w:t>
            </w:r>
            <w:r>
              <w:rPr>
                <w:rFonts w:hint="eastAsia" w:ascii="Times New Roman" w:hAnsi="Times New Roman"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作为公司经营的基本原则。</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b .</w:t>
            </w:r>
            <w:r>
              <w:rPr>
                <w:rFonts w:hint="default" w:ascii="Times New Roman" w:hAnsi="Times New Roman" w:eastAsia="宋体" w:cs="Times New Roman"/>
                <w:color w:val="000000"/>
                <w:sz w:val="24"/>
                <w:szCs w:val="24"/>
                <w:lang w:val="en-US" w:eastAsia="zh-CN"/>
              </w:rPr>
              <w:t>必须进行广泛系统的培训，使所有操作人员熟悉自己的岗位，树立严谨规范的操作作风，并且在任何紧急状况下都能随时对工艺装置进行控制，并及时、独立、正确地实施相关应急措施。定期对全体职工进行安全教育，编制各级岗位及重要设备的安全检查表，并定期进行安全检查。危险性较大的操作岗位，企业应按操作人员的文化程度和技术等级。</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c .</w:t>
            </w:r>
            <w:r>
              <w:rPr>
                <w:rFonts w:hint="default" w:ascii="Times New Roman" w:hAnsi="Times New Roman" w:eastAsia="宋体" w:cs="Times New Roman"/>
                <w:color w:val="000000"/>
                <w:sz w:val="24"/>
                <w:szCs w:val="24"/>
                <w:lang w:val="en-US" w:eastAsia="zh-CN"/>
              </w:rPr>
              <w:t>全厂设立安全生产领导小组，由</w:t>
            </w:r>
            <w:r>
              <w:rPr>
                <w:rFonts w:hint="eastAsia" w:ascii="Times New Roman" w:hAnsi="Times New Roman" w:eastAsia="宋体" w:cs="Times New Roman"/>
                <w:color w:val="000000"/>
                <w:sz w:val="24"/>
                <w:szCs w:val="24"/>
                <w:lang w:val="en-US" w:eastAsia="zh-CN"/>
              </w:rPr>
              <w:t>厂长</w:t>
            </w:r>
            <w:r>
              <w:rPr>
                <w:rFonts w:hint="default" w:ascii="Times New Roman" w:hAnsi="Times New Roman" w:eastAsia="宋体" w:cs="Times New Roman"/>
                <w:color w:val="000000"/>
                <w:sz w:val="24"/>
                <w:szCs w:val="24"/>
                <w:lang w:val="en-US" w:eastAsia="zh-CN"/>
              </w:rPr>
              <w:t>亲自担任领导小组组长，形成领导负总责，全公司参与的管理模式。设立环保安全科，负责全厂的环保、安全管理，应由具有丰富经验的人才担当负责人。</w:t>
            </w:r>
          </w:p>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d .</w:t>
            </w:r>
            <w:r>
              <w:rPr>
                <w:rFonts w:hint="default" w:ascii="Times New Roman" w:hAnsi="Times New Roman" w:eastAsia="宋体" w:cs="Times New Roman"/>
                <w:color w:val="000000"/>
                <w:sz w:val="24"/>
                <w:szCs w:val="24"/>
                <w:lang w:val="en-US" w:eastAsia="zh-CN"/>
              </w:rPr>
              <w:t>建立完备的应急组织体系。建立风险应急领导小组，小组分为厂内和厂外两部分。厂内部分落实厂内应急防范措施，厂外部分负责上报当地政府、安全、消防、环保、监测站等相关部门。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e .</w:t>
            </w:r>
            <w:r>
              <w:rPr>
                <w:rFonts w:hint="default" w:ascii="Times New Roman" w:hAnsi="Times New Roman" w:eastAsia="宋体" w:cs="Times New Roman"/>
                <w:color w:val="000000"/>
                <w:sz w:val="24"/>
                <w:szCs w:val="24"/>
                <w:lang w:val="en-US" w:eastAsia="zh-CN"/>
              </w:rPr>
              <w:t>安全卫生专用设备</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如通风系统、报警系统、消防系统、劳动防护用品等</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，要指定专人负责管理和维修，保证能正常运行和有效使用。职工要学会使用周围的消防器材、安全设施和防护用品。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cs="宋体"/>
                <w:b/>
                <w:bCs/>
                <w:color w:val="000000"/>
                <w:sz w:val="24"/>
              </w:rPr>
            </w:pPr>
            <w:r>
              <w:rPr>
                <w:rFonts w:hint="eastAsia" w:ascii="宋体" w:hAnsi="宋体" w:cs="宋体"/>
                <w:b/>
                <w:bCs/>
                <w:color w:val="000000"/>
                <w:sz w:val="24"/>
              </w:rPr>
              <w:t>防范措施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cs="宋体"/>
                <w:color w:val="000000"/>
                <w:sz w:val="24"/>
              </w:rPr>
            </w:pPr>
            <w:r>
              <w:rPr>
                <w:rFonts w:hint="eastAsia" w:ascii="宋体" w:hAnsi="宋体" w:cs="宋体"/>
                <w:color w:val="000000"/>
                <w:sz w:val="24"/>
              </w:rPr>
              <w:t>①在生产过程中必须严格按照消防安全要求，配备必要的消防设施、电气装置，给排水系统和通风系统等。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cs="宋体"/>
                <w:color w:val="000000"/>
                <w:sz w:val="24"/>
              </w:rPr>
            </w:pPr>
            <w:r>
              <w:rPr>
                <w:rFonts w:hint="eastAsia" w:ascii="宋体" w:hAnsi="宋体" w:cs="宋体"/>
                <w:color w:val="000000"/>
                <w:sz w:val="24"/>
              </w:rPr>
              <w:t>②厂房内设置</w:t>
            </w:r>
            <w:r>
              <w:rPr>
                <w:rFonts w:hint="eastAsia" w:ascii="宋体" w:hAnsi="宋体" w:cs="宋体"/>
                <w:color w:val="000000"/>
                <w:sz w:val="24"/>
                <w:lang w:eastAsia="zh-CN"/>
              </w:rPr>
              <w:t>、</w:t>
            </w:r>
            <w:r>
              <w:rPr>
                <w:rFonts w:hint="eastAsia" w:ascii="宋体" w:hAnsi="宋体" w:cs="宋体"/>
                <w:color w:val="000000"/>
                <w:sz w:val="24"/>
              </w:rPr>
              <w:t>布置须严格执行国家有关防火防爆的规范、规定，设备之间保证有足够的安全间距，并按要求设置消防通道。</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96" w:firstLineChars="200"/>
              <w:textAlignment w:val="auto"/>
              <w:rPr>
                <w:rFonts w:hint="eastAsia" w:ascii="宋体" w:hAnsi="宋体" w:cs="宋体"/>
                <w:snapToGrid w:val="0"/>
                <w:color w:val="000000"/>
                <w:spacing w:val="4"/>
                <w:kern w:val="0"/>
                <w:sz w:val="24"/>
              </w:rPr>
            </w:pPr>
            <w:r>
              <w:rPr>
                <w:rFonts w:hint="eastAsia" w:ascii="宋体" w:hAnsi="宋体" w:cs="宋体"/>
                <w:snapToGrid w:val="0"/>
                <w:color w:val="000000"/>
                <w:spacing w:val="4"/>
                <w:kern w:val="0"/>
                <w:sz w:val="24"/>
              </w:rPr>
              <w:t>③</w:t>
            </w:r>
            <w:r>
              <w:rPr>
                <w:rFonts w:hint="eastAsia" w:ascii="宋体" w:hAnsi="宋体" w:cs="宋体"/>
                <w:color w:val="000000"/>
                <w:sz w:val="24"/>
              </w:rPr>
              <w:t>尽量采用技术先进和安全可靠的设备，并按国家有关规定在车间内设置必要的安全卫生设施。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cs="宋体"/>
                <w:color w:val="000000"/>
                <w:sz w:val="24"/>
              </w:rPr>
            </w:pPr>
            <w:r>
              <w:rPr>
                <w:rFonts w:hint="eastAsia" w:ascii="宋体" w:hAnsi="宋体" w:cs="宋体"/>
                <w:color w:val="000000"/>
                <w:sz w:val="24"/>
              </w:rPr>
              <w:t>④禁止员工在厂内吸烟</w:t>
            </w:r>
            <w:r>
              <w:rPr>
                <w:rFonts w:hint="eastAsia" w:ascii="宋体" w:hAnsi="宋体" w:cs="宋体"/>
                <w:color w:val="000000"/>
                <w:sz w:val="24"/>
                <w:lang w:eastAsia="zh-CN"/>
              </w:rPr>
              <w:t>、</w:t>
            </w:r>
            <w:r>
              <w:rPr>
                <w:rFonts w:hint="eastAsia" w:ascii="宋体" w:hAnsi="宋体" w:cs="宋体"/>
                <w:color w:val="000000"/>
                <w:sz w:val="24"/>
              </w:rPr>
              <w:t>点火</w:t>
            </w:r>
            <w:r>
              <w:rPr>
                <w:rFonts w:hint="eastAsia" w:ascii="宋体" w:hAnsi="宋体" w:cs="宋体"/>
                <w:color w:val="000000"/>
                <w:sz w:val="24"/>
                <w:lang w:val="en-US" w:eastAsia="zh-CN"/>
              </w:rPr>
              <w:t>等</w:t>
            </w:r>
            <w:r>
              <w:rPr>
                <w:rFonts w:hint="eastAsia" w:ascii="宋体" w:hAnsi="宋体" w:cs="宋体"/>
                <w:color w:val="000000"/>
                <w:sz w:val="24"/>
              </w:rPr>
              <w:t>，提高员工安全意识，加强消防培训，更多的立足自防自救。</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98" w:firstLineChars="200"/>
              <w:textAlignment w:val="auto"/>
              <w:rPr>
                <w:rFonts w:hint="eastAsia" w:ascii="宋体" w:hAnsi="宋体" w:cs="宋体"/>
                <w:b/>
                <w:bCs/>
                <w:snapToGrid w:val="0"/>
                <w:color w:val="000000"/>
                <w:spacing w:val="4"/>
                <w:kern w:val="0"/>
                <w:sz w:val="24"/>
              </w:rPr>
            </w:pPr>
            <w:r>
              <w:rPr>
                <w:rFonts w:hint="eastAsia" w:ascii="宋体" w:hAnsi="宋体" w:cs="宋体"/>
                <w:b/>
                <w:bCs/>
                <w:snapToGrid w:val="0"/>
                <w:color w:val="000000"/>
                <w:spacing w:val="4"/>
                <w:kern w:val="0"/>
                <w:sz w:val="24"/>
                <w:lang w:val="en-US" w:eastAsia="zh-CN"/>
              </w:rPr>
              <w:t>火灾</w:t>
            </w:r>
            <w:r>
              <w:rPr>
                <w:rFonts w:hint="eastAsia" w:ascii="宋体" w:hAnsi="宋体" w:cs="宋体"/>
                <w:b/>
                <w:bCs/>
                <w:snapToGrid w:val="0"/>
                <w:color w:val="000000"/>
                <w:spacing w:val="4"/>
                <w:kern w:val="0"/>
                <w:sz w:val="24"/>
              </w:rPr>
              <w:t>应急措施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96" w:firstLineChars="200"/>
              <w:textAlignment w:val="auto"/>
              <w:rPr>
                <w:rFonts w:hint="eastAsia" w:ascii="宋体" w:hAnsi="宋体" w:cs="宋体"/>
                <w:snapToGrid w:val="0"/>
                <w:color w:val="000000"/>
                <w:spacing w:val="4"/>
                <w:kern w:val="0"/>
                <w:sz w:val="24"/>
              </w:rPr>
            </w:pPr>
            <w:r>
              <w:rPr>
                <w:rFonts w:hint="eastAsia" w:ascii="宋体" w:hAnsi="宋体" w:cs="宋体"/>
                <w:snapToGrid w:val="0"/>
                <w:color w:val="000000"/>
                <w:spacing w:val="4"/>
                <w:kern w:val="0"/>
                <w:sz w:val="24"/>
              </w:rPr>
              <w:t>①发生火情，第一发现人应立即采取灭火器材等进行灭火，并高声呼喊，使附近人员能够听到或协助补救，同时，通知相关人员负责拨打火警电话“</w:t>
            </w:r>
            <w:r>
              <w:rPr>
                <w:rFonts w:hint="default" w:ascii="Times New Roman" w:hAnsi="Times New Roman" w:cs="Times New Roman"/>
                <w:color w:val="000000"/>
                <w:sz w:val="24"/>
              </w:rPr>
              <w:t>119</w:t>
            </w:r>
            <w:r>
              <w:rPr>
                <w:rFonts w:hint="eastAsia" w:ascii="宋体" w:hAnsi="宋体" w:cs="宋体"/>
                <w:snapToGrid w:val="0"/>
                <w:color w:val="000000"/>
                <w:spacing w:val="4"/>
                <w:kern w:val="0"/>
                <w:sz w:val="24"/>
              </w:rPr>
              <w:t>”，组织现场人员进行安全疏散。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96" w:firstLineChars="200"/>
              <w:textAlignment w:val="auto"/>
              <w:rPr>
                <w:rFonts w:hint="eastAsia" w:ascii="宋体" w:hAnsi="宋体" w:cs="宋体"/>
                <w:snapToGrid w:val="0"/>
                <w:color w:val="000000"/>
                <w:spacing w:val="4"/>
                <w:kern w:val="0"/>
                <w:sz w:val="24"/>
              </w:rPr>
            </w:pPr>
            <w:r>
              <w:rPr>
                <w:rFonts w:hint="eastAsia" w:ascii="宋体" w:hAnsi="宋体" w:cs="宋体"/>
                <w:snapToGrid w:val="0"/>
                <w:color w:val="000000"/>
                <w:spacing w:val="4"/>
                <w:kern w:val="0"/>
                <w:sz w:val="24"/>
              </w:rPr>
              <w:t>②如果是由于电路失火，必须先切断电源，严禁使用水或液体灭火器灭火以防触电事故发生。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96" w:firstLineChars="200"/>
              <w:textAlignment w:val="auto"/>
              <w:rPr>
                <w:rFonts w:hint="eastAsia" w:ascii="宋体" w:hAnsi="宋体" w:cs="宋体"/>
                <w:snapToGrid w:val="0"/>
                <w:color w:val="000000"/>
                <w:spacing w:val="4"/>
                <w:kern w:val="0"/>
                <w:sz w:val="24"/>
              </w:rPr>
            </w:pPr>
            <w:r>
              <w:rPr>
                <w:rFonts w:hint="eastAsia" w:ascii="宋体" w:hAnsi="宋体" w:cs="宋体"/>
                <w:snapToGrid w:val="0"/>
                <w:color w:val="000000"/>
                <w:spacing w:val="4"/>
                <w:kern w:val="0"/>
                <w:sz w:val="24"/>
              </w:rPr>
              <w:t>③火灾发生时，为防止有人被困，发生窒息伤害，应准备毛巾湿润后蒙在口、鼻上，防止有毒有害其他吸入肺中，造成窒息伤害。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96" w:firstLineChars="200"/>
              <w:textAlignment w:val="auto"/>
              <w:rPr>
                <w:rFonts w:hint="eastAsia" w:ascii="宋体" w:hAnsi="宋体" w:cs="宋体"/>
                <w:snapToGrid w:val="0"/>
                <w:color w:val="000000"/>
                <w:spacing w:val="4"/>
                <w:kern w:val="0"/>
                <w:sz w:val="24"/>
              </w:rPr>
            </w:pPr>
            <w:r>
              <w:rPr>
                <w:rFonts w:hint="eastAsia" w:ascii="宋体" w:hAnsi="宋体" w:cs="宋体"/>
                <w:snapToGrid w:val="0"/>
                <w:color w:val="000000"/>
                <w:spacing w:val="4"/>
                <w:kern w:val="0"/>
                <w:sz w:val="24"/>
              </w:rPr>
              <w:t>④火灾事故后，保护现场，组织抢救人员和财产，及时汇报上级。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b/>
                <w:bCs/>
                <w:color w:val="auto"/>
                <w:sz w:val="24"/>
                <w:szCs w:val="24"/>
                <w:lang w:val="en-US" w:eastAsia="zh-CN"/>
              </w:rPr>
            </w:pPr>
            <w:r>
              <w:rPr>
                <w:rFonts w:hint="default" w:ascii="宋体" w:hAnsi="宋体" w:eastAsia="宋体" w:cs="宋体"/>
                <w:color w:val="000000"/>
                <w:kern w:val="0"/>
                <w:sz w:val="24"/>
                <w:szCs w:val="24"/>
                <w:lang w:val="en-US" w:eastAsia="zh-CN" w:bidi="ar"/>
              </w:rPr>
              <w:t>综上，项目应严格按照消防及安监部门的要求，做好防范措施，设立健全的公司突发环境事故应急组织机构，以便采取更有效的措施来监测灾情及防止污染事故的进一步扩散。在采取以上措施的情况下，项目风险事故发生概率很低，本项目环境风险在可接受的范围内。</w:t>
            </w:r>
          </w:p>
          <w:p>
            <w:pPr>
              <w:adjustRightInd w:val="0"/>
              <w:snapToGrid w:val="0"/>
              <w:spacing w:line="360" w:lineRule="auto"/>
              <w:rPr>
                <w:b/>
                <w:bCs/>
                <w:spacing w:val="-10"/>
              </w:rPr>
            </w:pPr>
            <w:r>
              <w:rPr>
                <w:rFonts w:hint="eastAsia"/>
                <w:b/>
                <w:bCs/>
                <w:spacing w:val="-10"/>
              </w:rPr>
              <w:t>9</w:t>
            </w:r>
            <w:r>
              <w:rPr>
                <w:b/>
                <w:bCs/>
                <w:spacing w:val="-10"/>
              </w:rPr>
              <w:t>、电磁辐射</w:t>
            </w:r>
          </w:p>
          <w:p>
            <w:pPr>
              <w:snapToGrid w:val="0"/>
              <w:spacing w:line="360" w:lineRule="auto"/>
              <w:ind w:firstLine="440" w:firstLineChars="200"/>
              <w:rPr>
                <w:b/>
                <w:bCs/>
              </w:rPr>
            </w:pPr>
            <w:r>
              <w:rPr>
                <w:bCs/>
                <w:spacing w:val="-10"/>
              </w:rPr>
              <w:t>本项目不涉及电磁辐射，故不对该部分内容进行分析。</w:t>
            </w:r>
          </w:p>
          <w:p>
            <w:pPr>
              <w:snapToGrid w:val="0"/>
              <w:spacing w:line="360" w:lineRule="auto"/>
              <w:rPr>
                <w:b/>
                <w:bCs/>
              </w:rPr>
            </w:pPr>
            <w:r>
              <w:rPr>
                <w:rFonts w:hint="eastAsia"/>
                <w:b/>
                <w:bCs/>
              </w:rPr>
              <w:t>10、</w:t>
            </w:r>
            <w:r>
              <w:rPr>
                <w:b/>
                <w:bCs/>
              </w:rPr>
              <w:t>环保投资估算</w:t>
            </w:r>
          </w:p>
          <w:p>
            <w:pPr>
              <w:snapToGrid w:val="0"/>
              <w:spacing w:line="360" w:lineRule="auto"/>
              <w:ind w:firstLine="480" w:firstLineChars="200"/>
              <w:rPr>
                <w:b/>
                <w:lang w:val="zh-CN"/>
              </w:rPr>
            </w:pPr>
            <w:r>
              <w:rPr>
                <w:bCs/>
              </w:rPr>
              <w:t>项目总投资</w:t>
            </w:r>
            <w:r>
              <w:rPr>
                <w:rFonts w:hint="eastAsia"/>
                <w:bCs/>
                <w:lang w:val="en-US" w:eastAsia="zh-CN"/>
              </w:rPr>
              <w:t>4000</w:t>
            </w:r>
            <w:r>
              <w:rPr>
                <w:bCs/>
              </w:rPr>
              <w:t>万元，其中环保投资</w:t>
            </w:r>
            <w:r>
              <w:rPr>
                <w:rFonts w:hint="eastAsia"/>
                <w:bCs/>
                <w:lang w:val="en-US" w:eastAsia="zh-CN"/>
              </w:rPr>
              <w:t>80</w:t>
            </w:r>
            <w:r>
              <w:rPr>
                <w:bCs/>
              </w:rPr>
              <w:t>万元，约占总投资</w:t>
            </w:r>
            <w:r>
              <w:rPr>
                <w:rFonts w:hint="eastAsia"/>
                <w:bCs/>
                <w:lang w:val="en-US" w:eastAsia="zh-CN"/>
              </w:rPr>
              <w:t>2</w:t>
            </w:r>
            <w:r>
              <w:rPr>
                <w:bCs/>
              </w:rPr>
              <w:t>%，主要用于废水、废气、固体废物和噪声污染的治理。</w:t>
            </w:r>
          </w:p>
          <w:p>
            <w:pPr>
              <w:autoSpaceDE w:val="0"/>
              <w:autoSpaceDN w:val="0"/>
              <w:adjustRightInd w:val="0"/>
              <w:snapToGrid w:val="0"/>
              <w:jc w:val="center"/>
              <w:rPr>
                <w:b/>
                <w:lang w:val="zh-CN"/>
              </w:rPr>
            </w:pPr>
            <w:r>
              <w:rPr>
                <w:b/>
                <w:lang w:val="zh-CN"/>
              </w:rPr>
              <w:t>表</w:t>
            </w:r>
            <w:r>
              <w:rPr>
                <w:rFonts w:hint="eastAsia"/>
                <w:b/>
              </w:rPr>
              <w:t>4.</w:t>
            </w:r>
            <w:r>
              <w:rPr>
                <w:rFonts w:hint="eastAsia"/>
                <w:b/>
                <w:lang w:val="en-US" w:eastAsia="zh-CN"/>
              </w:rPr>
              <w:t>13</w:t>
            </w:r>
            <w:r>
              <w:rPr>
                <w:b/>
              </w:rPr>
              <w:t xml:space="preserve">  </w:t>
            </w:r>
            <w:r>
              <w:rPr>
                <w:b/>
                <w:lang w:val="zh-CN"/>
              </w:rPr>
              <w:t>项目环保防治措施及投资估算表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267"/>
              <w:gridCol w:w="2550"/>
              <w:gridCol w:w="998"/>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noWrap w:val="0"/>
                  <w:vAlign w:val="center"/>
                </w:tcPr>
                <w:p>
                  <w:pPr>
                    <w:jc w:val="center"/>
                    <w:rPr>
                      <w:rFonts w:ascii="Times New Roman" w:hAnsi="Times New Roman" w:cs="Times New Roman"/>
                      <w:b/>
                      <w:bCs/>
                      <w:kern w:val="24"/>
                      <w:sz w:val="21"/>
                      <w:szCs w:val="21"/>
                    </w:rPr>
                  </w:pPr>
                  <w:r>
                    <w:rPr>
                      <w:rFonts w:ascii="Times New Roman" w:hAnsi="Times New Roman" w:cs="Times New Roman"/>
                      <w:b/>
                      <w:bCs/>
                      <w:kern w:val="24"/>
                      <w:sz w:val="21"/>
                      <w:szCs w:val="21"/>
                    </w:rPr>
                    <w:t>项目名称</w:t>
                  </w:r>
                </w:p>
              </w:tc>
              <w:tc>
                <w:tcPr>
                  <w:tcW w:w="793" w:type="pct"/>
                  <w:noWrap w:val="0"/>
                  <w:vAlign w:val="center"/>
                </w:tcPr>
                <w:p>
                  <w:pPr>
                    <w:jc w:val="center"/>
                    <w:rPr>
                      <w:rFonts w:ascii="Times New Roman" w:hAnsi="Times New Roman" w:cs="Times New Roman"/>
                      <w:b/>
                      <w:bCs/>
                      <w:kern w:val="24"/>
                      <w:sz w:val="21"/>
                      <w:szCs w:val="21"/>
                    </w:rPr>
                  </w:pPr>
                  <w:r>
                    <w:rPr>
                      <w:rFonts w:ascii="Times New Roman" w:hAnsi="Times New Roman" w:cs="Times New Roman"/>
                      <w:b/>
                      <w:bCs/>
                      <w:kern w:val="24"/>
                      <w:sz w:val="21"/>
                      <w:szCs w:val="21"/>
                    </w:rPr>
                    <w:t>项目</w:t>
                  </w:r>
                </w:p>
              </w:tc>
              <w:tc>
                <w:tcPr>
                  <w:tcW w:w="1597" w:type="pct"/>
                  <w:noWrap w:val="0"/>
                  <w:vAlign w:val="center"/>
                </w:tcPr>
                <w:p>
                  <w:pPr>
                    <w:jc w:val="center"/>
                    <w:rPr>
                      <w:rFonts w:ascii="Times New Roman" w:hAnsi="Times New Roman" w:cs="Times New Roman"/>
                      <w:b/>
                      <w:bCs/>
                      <w:kern w:val="24"/>
                      <w:sz w:val="21"/>
                      <w:szCs w:val="21"/>
                    </w:rPr>
                  </w:pPr>
                  <w:r>
                    <w:rPr>
                      <w:rFonts w:ascii="Times New Roman" w:hAnsi="Times New Roman" w:cs="Times New Roman"/>
                      <w:b/>
                      <w:bCs/>
                      <w:kern w:val="24"/>
                      <w:sz w:val="21"/>
                      <w:szCs w:val="21"/>
                    </w:rPr>
                    <w:t>建设内容</w:t>
                  </w:r>
                </w:p>
              </w:tc>
              <w:tc>
                <w:tcPr>
                  <w:tcW w:w="625" w:type="pct"/>
                  <w:noWrap w:val="0"/>
                  <w:vAlign w:val="center"/>
                </w:tcPr>
                <w:p>
                  <w:pPr>
                    <w:jc w:val="center"/>
                    <w:rPr>
                      <w:rFonts w:ascii="Times New Roman" w:hAnsi="Times New Roman" w:cs="Times New Roman"/>
                      <w:b/>
                      <w:bCs/>
                      <w:kern w:val="24"/>
                      <w:sz w:val="21"/>
                      <w:szCs w:val="21"/>
                    </w:rPr>
                  </w:pPr>
                  <w:r>
                    <w:rPr>
                      <w:rFonts w:ascii="Times New Roman" w:hAnsi="Times New Roman" w:cs="Times New Roman"/>
                      <w:b/>
                      <w:bCs/>
                      <w:kern w:val="24"/>
                      <w:sz w:val="21"/>
                      <w:szCs w:val="21"/>
                    </w:rPr>
                    <w:t>投资</w:t>
                  </w:r>
                </w:p>
                <w:p>
                  <w:pPr>
                    <w:jc w:val="center"/>
                    <w:rPr>
                      <w:rFonts w:ascii="Times New Roman" w:hAnsi="Times New Roman" w:cs="Times New Roman"/>
                      <w:b/>
                      <w:bCs/>
                      <w:kern w:val="24"/>
                      <w:sz w:val="21"/>
                      <w:szCs w:val="21"/>
                    </w:rPr>
                  </w:pPr>
                  <w:r>
                    <w:rPr>
                      <w:rFonts w:ascii="Times New Roman" w:hAnsi="Times New Roman" w:cs="Times New Roman"/>
                      <w:b/>
                      <w:bCs/>
                      <w:kern w:val="24"/>
                      <w:sz w:val="21"/>
                      <w:szCs w:val="21"/>
                    </w:rPr>
                    <w:t>（万元）</w:t>
                  </w:r>
                </w:p>
              </w:tc>
              <w:tc>
                <w:tcPr>
                  <w:tcW w:w="1491" w:type="pct"/>
                  <w:noWrap w:val="0"/>
                  <w:vAlign w:val="center"/>
                </w:tcPr>
                <w:p>
                  <w:pPr>
                    <w:jc w:val="center"/>
                    <w:rPr>
                      <w:rFonts w:ascii="Times New Roman" w:hAnsi="Times New Roman" w:cs="Times New Roman"/>
                      <w:b/>
                      <w:bCs/>
                      <w:kern w:val="24"/>
                      <w:sz w:val="21"/>
                      <w:szCs w:val="21"/>
                    </w:rPr>
                  </w:pPr>
                  <w:r>
                    <w:rPr>
                      <w:rFonts w:ascii="Times New Roman" w:hAnsi="Times New Roman" w:cs="Times New Roman"/>
                      <w:b/>
                      <w:bCs/>
                      <w:kern w:val="24"/>
                      <w:sz w:val="21"/>
                      <w:szCs w:val="21"/>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1" w:type="pct"/>
                  <w:vMerge w:val="restart"/>
                  <w:noWrap w:val="0"/>
                  <w:vAlign w:val="center"/>
                </w:tcPr>
                <w:p>
                  <w:pPr>
                    <w:jc w:val="center"/>
                    <w:rPr>
                      <w:rFonts w:ascii="Times New Roman" w:hAnsi="Times New Roman" w:cs="Times New Roman"/>
                      <w:kern w:val="24"/>
                      <w:sz w:val="21"/>
                      <w:szCs w:val="21"/>
                    </w:rPr>
                  </w:pPr>
                  <w:r>
                    <w:rPr>
                      <w:rFonts w:ascii="Times New Roman" w:hAnsi="Times New Roman" w:cs="Times New Roman"/>
                      <w:kern w:val="24"/>
                      <w:sz w:val="21"/>
                      <w:szCs w:val="21"/>
                    </w:rPr>
                    <w:t>废水治理</w:t>
                  </w:r>
                </w:p>
              </w:tc>
              <w:tc>
                <w:tcPr>
                  <w:tcW w:w="793" w:type="pct"/>
                  <w:noWrap w:val="0"/>
                  <w:vAlign w:val="center"/>
                </w:tcPr>
                <w:p>
                  <w:pPr>
                    <w:widowControl/>
                    <w:jc w:val="center"/>
                    <w:rPr>
                      <w:rFonts w:ascii="Times New Roman" w:hAnsi="Times New Roman" w:cs="Times New Roman"/>
                      <w:kern w:val="24"/>
                      <w:sz w:val="21"/>
                      <w:szCs w:val="21"/>
                    </w:rPr>
                  </w:pPr>
                  <w:r>
                    <w:rPr>
                      <w:rFonts w:ascii="Times New Roman" w:hAnsi="Times New Roman" w:cs="Times New Roman"/>
                      <w:kern w:val="0"/>
                      <w:sz w:val="21"/>
                      <w:szCs w:val="21"/>
                    </w:rPr>
                    <w:t>生活污水</w:t>
                  </w:r>
                </w:p>
              </w:tc>
              <w:tc>
                <w:tcPr>
                  <w:tcW w:w="1597" w:type="pct"/>
                  <w:noWrap w:val="0"/>
                  <w:vAlign w:val="center"/>
                </w:tcPr>
                <w:p>
                  <w:pPr>
                    <w:jc w:val="center"/>
                    <w:rPr>
                      <w:rFonts w:ascii="Times New Roman" w:hAnsi="Times New Roman" w:cs="Times New Roman"/>
                      <w:kern w:val="24"/>
                      <w:sz w:val="21"/>
                      <w:szCs w:val="21"/>
                    </w:rPr>
                  </w:pPr>
                  <w:r>
                    <w:rPr>
                      <w:rFonts w:ascii="Times New Roman" w:hAnsi="Times New Roman" w:cs="Times New Roman"/>
                      <w:sz w:val="21"/>
                      <w:szCs w:val="21"/>
                    </w:rPr>
                    <w:t>隔油池、化粪池</w:t>
                  </w:r>
                </w:p>
              </w:tc>
              <w:tc>
                <w:tcPr>
                  <w:tcW w:w="625" w:type="pct"/>
                  <w:noWrap w:val="0"/>
                  <w:vAlign w:val="center"/>
                </w:tcPr>
                <w:p>
                  <w:pPr>
                    <w:pStyle w:val="80"/>
                    <w:spacing w:before="0" w:after="0" w:line="240" w:lineRule="auto"/>
                    <w:rPr>
                      <w:rFonts w:ascii="Times New Roman" w:hAnsi="Times New Roman" w:cs="Times New Roman"/>
                      <w:kern w:val="24"/>
                      <w:sz w:val="21"/>
                      <w:szCs w:val="21"/>
                    </w:rPr>
                  </w:pPr>
                  <w:r>
                    <w:rPr>
                      <w:rFonts w:ascii="Times New Roman" w:hAnsi="Times New Roman" w:cs="Times New Roman"/>
                      <w:kern w:val="24"/>
                      <w:sz w:val="21"/>
                      <w:szCs w:val="21"/>
                    </w:rPr>
                    <w:t>5</w:t>
                  </w:r>
                </w:p>
              </w:tc>
              <w:tc>
                <w:tcPr>
                  <w:tcW w:w="1491" w:type="pct"/>
                  <w:noWrap w:val="0"/>
                  <w:vAlign w:val="center"/>
                </w:tcPr>
                <w:p>
                  <w:pPr>
                    <w:jc w:val="center"/>
                    <w:rPr>
                      <w:rFonts w:ascii="Times New Roman" w:hAnsi="Times New Roman" w:cs="Times New Roman"/>
                      <w:kern w:val="24"/>
                      <w:sz w:val="21"/>
                      <w:szCs w:val="21"/>
                    </w:rPr>
                  </w:pPr>
                  <w:r>
                    <w:rPr>
                      <w:rFonts w:ascii="Times New Roman" w:hAnsi="Times New Roman" w:cs="Times New Roman"/>
                      <w:kern w:val="24"/>
                      <w:sz w:val="21"/>
                      <w:szCs w:val="21"/>
                    </w:rPr>
                    <w:t>定期清掏，不外排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1" w:type="pct"/>
                  <w:vMerge w:val="continue"/>
                  <w:noWrap w:val="0"/>
                  <w:vAlign w:val="center"/>
                </w:tcPr>
                <w:p>
                  <w:pPr>
                    <w:jc w:val="center"/>
                    <w:rPr>
                      <w:rFonts w:ascii="Times New Roman" w:hAnsi="Times New Roman" w:cs="Times New Roman"/>
                      <w:sz w:val="21"/>
                      <w:szCs w:val="21"/>
                    </w:rPr>
                  </w:pPr>
                </w:p>
              </w:tc>
              <w:tc>
                <w:tcPr>
                  <w:tcW w:w="793" w:type="pct"/>
                  <w:noWrap w:val="0"/>
                  <w:vAlign w:val="center"/>
                </w:tcPr>
                <w:p>
                  <w:pPr>
                    <w:jc w:val="center"/>
                    <w:rPr>
                      <w:rFonts w:ascii="Times New Roman" w:hAnsi="Times New Roman" w:cs="Times New Roman"/>
                      <w:kern w:val="0"/>
                      <w:sz w:val="21"/>
                      <w:szCs w:val="21"/>
                    </w:rPr>
                  </w:pPr>
                  <w:r>
                    <w:rPr>
                      <w:rFonts w:ascii="Times New Roman" w:hAnsi="Times New Roman" w:cs="Times New Roman"/>
                      <w:kern w:val="0"/>
                      <w:sz w:val="21"/>
                      <w:szCs w:val="21"/>
                    </w:rPr>
                    <w:t>冲洗、喷淋废水</w:t>
                  </w:r>
                </w:p>
              </w:tc>
              <w:tc>
                <w:tcPr>
                  <w:tcW w:w="1597" w:type="pct"/>
                  <w:noWrap w:val="0"/>
                  <w:vAlign w:val="center"/>
                </w:tcPr>
                <w:p>
                  <w:pPr>
                    <w:jc w:val="center"/>
                    <w:rPr>
                      <w:rFonts w:ascii="Times New Roman" w:hAnsi="Times New Roman" w:cs="Times New Roman"/>
                      <w:kern w:val="0"/>
                      <w:sz w:val="21"/>
                      <w:szCs w:val="21"/>
                    </w:rPr>
                  </w:pPr>
                  <w:r>
                    <w:rPr>
                      <w:rFonts w:ascii="Times New Roman" w:hAnsi="Times New Roman" w:cs="Times New Roman"/>
                      <w:kern w:val="0"/>
                      <w:sz w:val="21"/>
                      <w:szCs w:val="21"/>
                    </w:rPr>
                    <w:t>沉淀池</w:t>
                  </w:r>
                </w:p>
              </w:tc>
              <w:tc>
                <w:tcPr>
                  <w:tcW w:w="625" w:type="pct"/>
                  <w:noWrap w:val="0"/>
                  <w:vAlign w:val="center"/>
                </w:tcPr>
                <w:p>
                  <w:pPr>
                    <w:jc w:val="center"/>
                    <w:rPr>
                      <w:rFonts w:ascii="Times New Roman" w:hAnsi="Times New Roman" w:cs="Times New Roman"/>
                      <w:kern w:val="0"/>
                      <w:sz w:val="21"/>
                      <w:szCs w:val="21"/>
                    </w:rPr>
                  </w:pPr>
                  <w:r>
                    <w:rPr>
                      <w:rFonts w:ascii="Times New Roman" w:hAnsi="Times New Roman" w:cs="Times New Roman"/>
                      <w:kern w:val="0"/>
                      <w:sz w:val="21"/>
                      <w:szCs w:val="21"/>
                    </w:rPr>
                    <w:t>10</w:t>
                  </w:r>
                </w:p>
              </w:tc>
              <w:tc>
                <w:tcPr>
                  <w:tcW w:w="1491" w:type="pct"/>
                  <w:noWrap w:val="0"/>
                  <w:vAlign w:val="center"/>
                </w:tcPr>
                <w:p>
                  <w:pPr>
                    <w:jc w:val="center"/>
                    <w:rPr>
                      <w:rFonts w:ascii="Times New Roman" w:hAnsi="Times New Roman" w:cs="Times New Roman"/>
                      <w:kern w:val="0"/>
                      <w:sz w:val="21"/>
                      <w:szCs w:val="21"/>
                    </w:rPr>
                  </w:pPr>
                  <w:r>
                    <w:rPr>
                      <w:rFonts w:ascii="Times New Roman" w:hAnsi="Times New Roman" w:cs="Times New Roman"/>
                      <w:kern w:val="0"/>
                      <w:sz w:val="21"/>
                      <w:szCs w:val="21"/>
                    </w:rPr>
                    <w:t>沉淀后回用，不外排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91" w:type="pct"/>
                  <w:vMerge w:val="restart"/>
                  <w:noWrap w:val="0"/>
                  <w:vAlign w:val="center"/>
                </w:tcPr>
                <w:p>
                  <w:pPr>
                    <w:jc w:val="center"/>
                    <w:rPr>
                      <w:rFonts w:ascii="Times New Roman" w:hAnsi="Times New Roman" w:cs="Times New Roman"/>
                      <w:kern w:val="24"/>
                      <w:sz w:val="21"/>
                      <w:szCs w:val="21"/>
                    </w:rPr>
                  </w:pPr>
                  <w:r>
                    <w:rPr>
                      <w:rFonts w:ascii="Times New Roman" w:hAnsi="Times New Roman" w:cs="Times New Roman"/>
                      <w:kern w:val="24"/>
                      <w:sz w:val="21"/>
                      <w:szCs w:val="21"/>
                    </w:rPr>
                    <w:t>废气治理</w:t>
                  </w:r>
                </w:p>
              </w:tc>
              <w:tc>
                <w:tcPr>
                  <w:tcW w:w="793" w:type="pct"/>
                  <w:noWrap w:val="0"/>
                  <w:vAlign w:val="center"/>
                </w:tcPr>
                <w:p>
                  <w:pPr>
                    <w:jc w:val="center"/>
                    <w:rPr>
                      <w:rFonts w:ascii="Times New Roman" w:hAnsi="Times New Roman" w:cs="Times New Roman"/>
                      <w:kern w:val="24"/>
                      <w:sz w:val="21"/>
                      <w:szCs w:val="21"/>
                    </w:rPr>
                  </w:pPr>
                  <w:r>
                    <w:rPr>
                      <w:rFonts w:ascii="Times New Roman" w:hAnsi="Times New Roman" w:cs="Times New Roman"/>
                      <w:kern w:val="24"/>
                      <w:sz w:val="21"/>
                      <w:szCs w:val="21"/>
                    </w:rPr>
                    <w:t>筒仓输送、呼吸废气</w:t>
                  </w:r>
                </w:p>
              </w:tc>
              <w:tc>
                <w:tcPr>
                  <w:tcW w:w="1597" w:type="pct"/>
                  <w:noWrap w:val="0"/>
                  <w:vAlign w:val="center"/>
                </w:tcPr>
                <w:p>
                  <w:pPr>
                    <w:adjustRightInd w:val="0"/>
                    <w:snapToGrid w:val="0"/>
                    <w:jc w:val="center"/>
                    <w:rPr>
                      <w:rFonts w:ascii="Times New Roman" w:hAnsi="Times New Roman" w:cs="Times New Roman"/>
                      <w:kern w:val="24"/>
                      <w:sz w:val="21"/>
                      <w:szCs w:val="21"/>
                    </w:rPr>
                  </w:pPr>
                  <w:r>
                    <w:rPr>
                      <w:rFonts w:ascii="Times New Roman" w:hAnsi="Times New Roman" w:cs="Times New Roman"/>
                      <w:sz w:val="21"/>
                      <w:szCs w:val="21"/>
                    </w:rPr>
                    <w:t>经筒仓自带布袋除尘器处理后，封闭厂房内排放</w:t>
                  </w:r>
                </w:p>
              </w:tc>
              <w:tc>
                <w:tcPr>
                  <w:tcW w:w="625" w:type="pct"/>
                  <w:noWrap w:val="0"/>
                  <w:vAlign w:val="center"/>
                </w:tcPr>
                <w:p>
                  <w:pPr>
                    <w:jc w:val="center"/>
                    <w:rPr>
                      <w:rFonts w:hint="default" w:ascii="Times New Roman" w:hAnsi="Times New Roman" w:eastAsia="宋体" w:cs="Times New Roman"/>
                      <w:kern w:val="24"/>
                      <w:sz w:val="21"/>
                      <w:szCs w:val="21"/>
                      <w:lang w:val="en-US" w:eastAsia="zh-CN"/>
                    </w:rPr>
                  </w:pPr>
                  <w:r>
                    <w:rPr>
                      <w:rFonts w:hint="eastAsia" w:cs="Times New Roman"/>
                      <w:kern w:val="24"/>
                      <w:sz w:val="21"/>
                      <w:szCs w:val="21"/>
                      <w:lang w:val="en-US" w:eastAsia="zh-CN"/>
                    </w:rPr>
                    <w:t>30</w:t>
                  </w:r>
                </w:p>
              </w:tc>
              <w:tc>
                <w:tcPr>
                  <w:tcW w:w="1491" w:type="pct"/>
                  <w:vMerge w:val="restart"/>
                  <w:noWrap w:val="0"/>
                  <w:vAlign w:val="center"/>
                </w:tcPr>
                <w:p>
                  <w:pPr>
                    <w:adjustRightInd w:val="0"/>
                    <w:snapToGrid w:val="0"/>
                    <w:jc w:val="center"/>
                    <w:rPr>
                      <w:rFonts w:ascii="Times New Roman" w:hAnsi="Times New Roman" w:cs="Times New Roman"/>
                      <w:kern w:val="24"/>
                      <w:sz w:val="21"/>
                      <w:szCs w:val="21"/>
                    </w:rPr>
                  </w:pPr>
                  <w:r>
                    <w:rPr>
                      <w:rFonts w:ascii="Times New Roman" w:hAnsi="Times New Roman" w:cs="Times New Roman"/>
                      <w:sz w:val="21"/>
                      <w:szCs w:val="21"/>
                    </w:rPr>
                    <w:t>安徽省《水泥工业大气污染物排放标准》（DB34/3576-2020）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jc w:val="center"/>
              </w:trPr>
              <w:tc>
                <w:tcPr>
                  <w:tcW w:w="491" w:type="pct"/>
                  <w:vMerge w:val="continue"/>
                  <w:noWrap w:val="0"/>
                  <w:vAlign w:val="center"/>
                </w:tcPr>
                <w:p>
                  <w:pPr>
                    <w:jc w:val="center"/>
                    <w:rPr>
                      <w:rFonts w:ascii="Times New Roman" w:hAnsi="Times New Roman" w:cs="Times New Roman"/>
                      <w:sz w:val="21"/>
                      <w:szCs w:val="21"/>
                    </w:rPr>
                  </w:pPr>
                </w:p>
              </w:tc>
              <w:tc>
                <w:tcPr>
                  <w:tcW w:w="793" w:type="pct"/>
                  <w:noWrap w:val="0"/>
                  <w:vAlign w:val="center"/>
                </w:tcPr>
                <w:p>
                  <w:pPr>
                    <w:jc w:val="center"/>
                    <w:rPr>
                      <w:rFonts w:ascii="Times New Roman" w:hAnsi="Times New Roman" w:cs="Times New Roman"/>
                      <w:kern w:val="24"/>
                      <w:sz w:val="21"/>
                      <w:szCs w:val="21"/>
                    </w:rPr>
                  </w:pPr>
                  <w:r>
                    <w:rPr>
                      <w:rFonts w:ascii="Times New Roman" w:hAnsi="Times New Roman" w:cs="Times New Roman"/>
                      <w:kern w:val="24"/>
                      <w:sz w:val="21"/>
                      <w:szCs w:val="21"/>
                    </w:rPr>
                    <w:t>混凝土搅拌废气</w:t>
                  </w:r>
                </w:p>
              </w:tc>
              <w:tc>
                <w:tcPr>
                  <w:tcW w:w="1597" w:type="pct"/>
                  <w:noWrap w:val="0"/>
                  <w:vAlign w:val="center"/>
                </w:tcPr>
                <w:p>
                  <w:pPr>
                    <w:jc w:val="center"/>
                    <w:rPr>
                      <w:rFonts w:ascii="Times New Roman" w:hAnsi="Times New Roman" w:cs="Times New Roman"/>
                      <w:kern w:val="24"/>
                      <w:sz w:val="21"/>
                      <w:szCs w:val="21"/>
                    </w:rPr>
                  </w:pPr>
                  <w:r>
                    <w:rPr>
                      <w:rFonts w:ascii="Times New Roman" w:hAnsi="Times New Roman" w:cs="Times New Roman"/>
                      <w:kern w:val="24"/>
                      <w:sz w:val="21"/>
                      <w:szCs w:val="21"/>
                    </w:rPr>
                    <w:t>经设备自带脉冲式布袋除尘器处理后，封闭</w:t>
                  </w:r>
                  <w:r>
                    <w:rPr>
                      <w:rFonts w:hint="eastAsia" w:ascii="Times New Roman" w:hAnsi="Times New Roman" w:cs="Times New Roman"/>
                      <w:kern w:val="24"/>
                      <w:sz w:val="21"/>
                      <w:szCs w:val="21"/>
                      <w:lang w:val="en-US" w:eastAsia="zh-CN"/>
                    </w:rPr>
                    <w:t>车间</w:t>
                  </w:r>
                  <w:r>
                    <w:rPr>
                      <w:rFonts w:ascii="Times New Roman" w:hAnsi="Times New Roman" w:cs="Times New Roman"/>
                      <w:kern w:val="24"/>
                      <w:sz w:val="21"/>
                      <w:szCs w:val="21"/>
                    </w:rPr>
                    <w:t>内排放</w:t>
                  </w:r>
                </w:p>
              </w:tc>
              <w:tc>
                <w:tcPr>
                  <w:tcW w:w="625" w:type="pct"/>
                  <w:noWrap w:val="0"/>
                  <w:vAlign w:val="center"/>
                </w:tcPr>
                <w:p>
                  <w:pPr>
                    <w:jc w:val="center"/>
                    <w:rPr>
                      <w:rFonts w:ascii="Times New Roman" w:hAnsi="Times New Roman" w:cs="Times New Roman"/>
                      <w:kern w:val="24"/>
                      <w:sz w:val="21"/>
                      <w:szCs w:val="21"/>
                    </w:rPr>
                  </w:pPr>
                  <w:r>
                    <w:rPr>
                      <w:rFonts w:ascii="Times New Roman" w:hAnsi="Times New Roman" w:cs="Times New Roman"/>
                      <w:kern w:val="24"/>
                      <w:sz w:val="21"/>
                      <w:szCs w:val="21"/>
                    </w:rPr>
                    <w:t>5</w:t>
                  </w:r>
                </w:p>
              </w:tc>
              <w:tc>
                <w:tcPr>
                  <w:tcW w:w="1491" w:type="pct"/>
                  <w:vMerge w:val="continue"/>
                  <w:noWrap w:val="0"/>
                  <w:vAlign w:val="center"/>
                </w:tcPr>
                <w:p>
                  <w:pPr>
                    <w:jc w:val="center"/>
                    <w:rPr>
                      <w:rFonts w:ascii="Times New Roman" w:hAnsi="Times New Roman" w:cs="Times New Roman"/>
                      <w:kern w:val="2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91" w:type="pct"/>
                  <w:vMerge w:val="continue"/>
                  <w:noWrap w:val="0"/>
                  <w:vAlign w:val="center"/>
                </w:tcPr>
                <w:p>
                  <w:pPr>
                    <w:jc w:val="center"/>
                    <w:rPr>
                      <w:rFonts w:ascii="Times New Roman" w:hAnsi="Times New Roman" w:cs="Times New Roman"/>
                      <w:kern w:val="24"/>
                      <w:sz w:val="21"/>
                      <w:szCs w:val="21"/>
                    </w:rPr>
                  </w:pPr>
                </w:p>
              </w:tc>
              <w:tc>
                <w:tcPr>
                  <w:tcW w:w="793" w:type="pct"/>
                  <w:noWrap w:val="0"/>
                  <w:vAlign w:val="center"/>
                </w:tcPr>
                <w:p>
                  <w:pPr>
                    <w:jc w:val="center"/>
                    <w:rPr>
                      <w:rFonts w:ascii="Times New Roman" w:hAnsi="Times New Roman" w:cs="Times New Roman"/>
                      <w:kern w:val="24"/>
                      <w:sz w:val="21"/>
                      <w:szCs w:val="21"/>
                    </w:rPr>
                  </w:pPr>
                  <w:r>
                    <w:rPr>
                      <w:rFonts w:ascii="Times New Roman" w:hAnsi="Times New Roman" w:cs="Times New Roman"/>
                      <w:kern w:val="24"/>
                      <w:sz w:val="21"/>
                      <w:szCs w:val="21"/>
                    </w:rPr>
                    <w:t>原料堆场、汽车起尘</w:t>
                  </w:r>
                </w:p>
              </w:tc>
              <w:tc>
                <w:tcPr>
                  <w:tcW w:w="1597" w:type="pct"/>
                  <w:noWrap w:val="0"/>
                  <w:vAlign w:val="center"/>
                </w:tcPr>
                <w:p>
                  <w:pPr>
                    <w:jc w:val="center"/>
                    <w:rPr>
                      <w:rFonts w:ascii="Times New Roman" w:hAnsi="Times New Roman" w:cs="Times New Roman"/>
                      <w:kern w:val="24"/>
                      <w:sz w:val="21"/>
                      <w:szCs w:val="21"/>
                    </w:rPr>
                  </w:pPr>
                  <w:r>
                    <w:rPr>
                      <w:rFonts w:ascii="Times New Roman" w:hAnsi="Times New Roman" w:cs="Times New Roman"/>
                      <w:kern w:val="24"/>
                      <w:sz w:val="21"/>
                      <w:szCs w:val="21"/>
                    </w:rPr>
                    <w:t>洗车房、喷淋管道、洒水抑尘</w:t>
                  </w:r>
                </w:p>
              </w:tc>
              <w:tc>
                <w:tcPr>
                  <w:tcW w:w="625" w:type="pct"/>
                  <w:noWrap w:val="0"/>
                  <w:vAlign w:val="center"/>
                </w:tcPr>
                <w:p>
                  <w:pPr>
                    <w:jc w:val="center"/>
                    <w:rPr>
                      <w:rFonts w:hint="default" w:ascii="Times New Roman" w:hAnsi="Times New Roman" w:eastAsia="宋体" w:cs="Times New Roman"/>
                      <w:kern w:val="24"/>
                      <w:sz w:val="21"/>
                      <w:szCs w:val="21"/>
                      <w:lang w:val="en-US" w:eastAsia="zh-CN"/>
                    </w:rPr>
                  </w:pPr>
                  <w:r>
                    <w:rPr>
                      <w:rFonts w:hint="eastAsia" w:ascii="Times New Roman" w:hAnsi="Times New Roman" w:cs="Times New Roman"/>
                      <w:color w:val="000000"/>
                      <w:kern w:val="24"/>
                      <w:sz w:val="21"/>
                      <w:szCs w:val="21"/>
                      <w:lang w:val="en-US" w:eastAsia="zh-CN"/>
                    </w:rPr>
                    <w:t>10</w:t>
                  </w:r>
                </w:p>
              </w:tc>
              <w:tc>
                <w:tcPr>
                  <w:tcW w:w="1491" w:type="pct"/>
                  <w:vMerge w:val="continue"/>
                  <w:noWrap w:val="0"/>
                  <w:vAlign w:val="center"/>
                </w:tcPr>
                <w:p>
                  <w:pPr>
                    <w:jc w:val="center"/>
                    <w:rPr>
                      <w:rFonts w:ascii="Times New Roman" w:hAnsi="Times New Roman" w:cs="Times New Roman"/>
                      <w:kern w:val="2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91" w:type="pct"/>
                  <w:vMerge w:val="continue"/>
                  <w:noWrap w:val="0"/>
                  <w:vAlign w:val="center"/>
                </w:tcPr>
                <w:p>
                  <w:pPr>
                    <w:jc w:val="center"/>
                    <w:rPr>
                      <w:rFonts w:ascii="Times New Roman" w:hAnsi="Times New Roman" w:cs="Times New Roman"/>
                      <w:kern w:val="24"/>
                      <w:sz w:val="21"/>
                      <w:szCs w:val="21"/>
                    </w:rPr>
                  </w:pPr>
                </w:p>
              </w:tc>
              <w:tc>
                <w:tcPr>
                  <w:tcW w:w="793" w:type="pct"/>
                  <w:noWrap w:val="0"/>
                  <w:vAlign w:val="center"/>
                </w:tcPr>
                <w:p>
                  <w:pPr>
                    <w:jc w:val="center"/>
                    <w:rPr>
                      <w:rFonts w:ascii="Times New Roman" w:hAnsi="Times New Roman" w:cs="Times New Roman"/>
                      <w:kern w:val="24"/>
                      <w:sz w:val="21"/>
                      <w:szCs w:val="21"/>
                    </w:rPr>
                  </w:pPr>
                  <w:r>
                    <w:rPr>
                      <w:rFonts w:ascii="Times New Roman" w:hAnsi="Times New Roman" w:cs="Times New Roman"/>
                      <w:kern w:val="24"/>
                      <w:sz w:val="21"/>
                      <w:szCs w:val="21"/>
                    </w:rPr>
                    <w:t>食堂油烟</w:t>
                  </w:r>
                </w:p>
              </w:tc>
              <w:tc>
                <w:tcPr>
                  <w:tcW w:w="1597" w:type="pct"/>
                  <w:noWrap w:val="0"/>
                  <w:vAlign w:val="center"/>
                </w:tcPr>
                <w:p>
                  <w:pPr>
                    <w:jc w:val="center"/>
                    <w:rPr>
                      <w:rFonts w:ascii="Times New Roman" w:hAnsi="Times New Roman" w:cs="Times New Roman"/>
                      <w:kern w:val="24"/>
                      <w:sz w:val="21"/>
                      <w:szCs w:val="21"/>
                    </w:rPr>
                  </w:pPr>
                  <w:r>
                    <w:rPr>
                      <w:rFonts w:ascii="Times New Roman" w:hAnsi="Times New Roman" w:cs="Times New Roman"/>
                      <w:kern w:val="24"/>
                      <w:sz w:val="21"/>
                      <w:szCs w:val="21"/>
                    </w:rPr>
                    <w:t>油烟净化器</w:t>
                  </w:r>
                </w:p>
              </w:tc>
              <w:tc>
                <w:tcPr>
                  <w:tcW w:w="625" w:type="pct"/>
                  <w:noWrap w:val="0"/>
                  <w:vAlign w:val="center"/>
                </w:tcPr>
                <w:p>
                  <w:pPr>
                    <w:jc w:val="center"/>
                    <w:rPr>
                      <w:rFonts w:hint="default" w:ascii="Times New Roman" w:hAnsi="Times New Roman" w:eastAsia="宋体" w:cs="Times New Roman"/>
                      <w:kern w:val="24"/>
                      <w:sz w:val="21"/>
                      <w:szCs w:val="21"/>
                      <w:lang w:val="en-US" w:eastAsia="zh-CN"/>
                    </w:rPr>
                  </w:pPr>
                  <w:r>
                    <w:rPr>
                      <w:rFonts w:hint="eastAsia" w:ascii="Times New Roman" w:hAnsi="Times New Roman" w:cs="Times New Roman"/>
                      <w:kern w:val="24"/>
                      <w:sz w:val="21"/>
                      <w:szCs w:val="21"/>
                      <w:lang w:val="en-US" w:eastAsia="zh-CN"/>
                    </w:rPr>
                    <w:t>2</w:t>
                  </w:r>
                </w:p>
              </w:tc>
              <w:tc>
                <w:tcPr>
                  <w:tcW w:w="1491" w:type="pct"/>
                  <w:noWrap w:val="0"/>
                  <w:vAlign w:val="center"/>
                </w:tcPr>
                <w:p>
                  <w:pPr>
                    <w:adjustRightInd w:val="0"/>
                    <w:snapToGrid w:val="0"/>
                    <w:jc w:val="center"/>
                    <w:rPr>
                      <w:rFonts w:ascii="Times New Roman" w:hAnsi="Times New Roman" w:cs="Times New Roman"/>
                      <w:kern w:val="24"/>
                      <w:sz w:val="21"/>
                      <w:szCs w:val="21"/>
                    </w:rPr>
                  </w:pPr>
                  <w:r>
                    <w:rPr>
                      <w:rFonts w:ascii="Times New Roman" w:hAnsi="Times New Roman" w:cs="Times New Roman"/>
                      <w:sz w:val="21"/>
                      <w:szCs w:val="21"/>
                    </w:rPr>
                    <w:t>《饮食业油烟排放标准（试行）》（GB18483-2001）中标准限值要求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noWrap w:val="0"/>
                  <w:vAlign w:val="center"/>
                </w:tcPr>
                <w:p>
                  <w:pPr>
                    <w:jc w:val="center"/>
                    <w:rPr>
                      <w:rFonts w:ascii="Times New Roman" w:hAnsi="Times New Roman" w:cs="Times New Roman"/>
                      <w:kern w:val="24"/>
                      <w:sz w:val="21"/>
                      <w:szCs w:val="21"/>
                    </w:rPr>
                  </w:pPr>
                  <w:r>
                    <w:rPr>
                      <w:rFonts w:ascii="Times New Roman" w:hAnsi="Times New Roman" w:cs="Times New Roman"/>
                      <w:kern w:val="24"/>
                      <w:sz w:val="21"/>
                      <w:szCs w:val="21"/>
                    </w:rPr>
                    <w:t>噪声治理</w:t>
                  </w:r>
                </w:p>
              </w:tc>
              <w:tc>
                <w:tcPr>
                  <w:tcW w:w="793" w:type="pct"/>
                  <w:noWrap w:val="0"/>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设备运转噪声</w:t>
                  </w:r>
                </w:p>
              </w:tc>
              <w:tc>
                <w:tcPr>
                  <w:tcW w:w="1597" w:type="pct"/>
                  <w:noWrap w:val="0"/>
                  <w:vAlign w:val="center"/>
                </w:tcPr>
                <w:p>
                  <w:pPr>
                    <w:snapToGrid w:val="0"/>
                    <w:jc w:val="center"/>
                    <w:rPr>
                      <w:rFonts w:ascii="Times New Roman" w:hAnsi="Times New Roman" w:cs="Times New Roman"/>
                      <w:bCs/>
                      <w:sz w:val="21"/>
                      <w:szCs w:val="21"/>
                    </w:rPr>
                  </w:pPr>
                  <w:r>
                    <w:rPr>
                      <w:rFonts w:ascii="Times New Roman" w:hAnsi="Times New Roman" w:cs="Times New Roman"/>
                      <w:bCs/>
                      <w:sz w:val="21"/>
                      <w:szCs w:val="21"/>
                    </w:rPr>
                    <w:t>合理布局、减振、隔声、消声</w:t>
                  </w:r>
                </w:p>
              </w:tc>
              <w:tc>
                <w:tcPr>
                  <w:tcW w:w="625" w:type="pct"/>
                  <w:noWrap w:val="0"/>
                  <w:vAlign w:val="center"/>
                </w:tcPr>
                <w:p>
                  <w:pPr>
                    <w:jc w:val="center"/>
                    <w:rPr>
                      <w:rFonts w:ascii="Times New Roman" w:hAnsi="Times New Roman" w:cs="Times New Roman"/>
                      <w:kern w:val="24"/>
                      <w:sz w:val="21"/>
                      <w:szCs w:val="21"/>
                    </w:rPr>
                  </w:pPr>
                  <w:r>
                    <w:rPr>
                      <w:rFonts w:ascii="Times New Roman" w:hAnsi="Times New Roman" w:cs="Times New Roman"/>
                      <w:kern w:val="24"/>
                      <w:sz w:val="21"/>
                      <w:szCs w:val="21"/>
                    </w:rPr>
                    <w:t>5</w:t>
                  </w:r>
                </w:p>
              </w:tc>
              <w:tc>
                <w:tcPr>
                  <w:tcW w:w="1491" w:type="pct"/>
                  <w:noWrap w:val="0"/>
                  <w:vAlign w:val="center"/>
                </w:tcPr>
                <w:p>
                  <w:pPr>
                    <w:jc w:val="center"/>
                    <w:rPr>
                      <w:rFonts w:ascii="Times New Roman" w:hAnsi="Times New Roman" w:cs="Times New Roman"/>
                      <w:kern w:val="24"/>
                      <w:sz w:val="21"/>
                      <w:szCs w:val="21"/>
                    </w:rPr>
                  </w:pPr>
                  <w:r>
                    <w:rPr>
                      <w:rFonts w:ascii="Times New Roman" w:hAnsi="Times New Roman" w:cs="Times New Roman"/>
                      <w:kern w:val="24"/>
                      <w:sz w:val="21"/>
                      <w:szCs w:val="21"/>
                    </w:rPr>
                    <w:t>满足《工业企业厂界环境噪声排放标准》（GB12348-2008）中的2类标准限值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91" w:type="pct"/>
                  <w:vMerge w:val="restart"/>
                  <w:noWrap w:val="0"/>
                  <w:vAlign w:val="center"/>
                </w:tcPr>
                <w:p>
                  <w:pPr>
                    <w:jc w:val="center"/>
                    <w:rPr>
                      <w:rFonts w:ascii="Times New Roman" w:hAnsi="Times New Roman" w:cs="Times New Roman"/>
                      <w:kern w:val="24"/>
                      <w:sz w:val="21"/>
                      <w:szCs w:val="21"/>
                    </w:rPr>
                  </w:pPr>
                  <w:r>
                    <w:rPr>
                      <w:rFonts w:ascii="Times New Roman" w:hAnsi="Times New Roman" w:cs="Times New Roman"/>
                      <w:kern w:val="24"/>
                      <w:sz w:val="21"/>
                      <w:szCs w:val="21"/>
                    </w:rPr>
                    <w:t>固废治理</w:t>
                  </w:r>
                </w:p>
              </w:tc>
              <w:tc>
                <w:tcPr>
                  <w:tcW w:w="793" w:type="pct"/>
                  <w:noWrap w:val="0"/>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生活垃圾</w:t>
                  </w:r>
                </w:p>
              </w:tc>
              <w:tc>
                <w:tcPr>
                  <w:tcW w:w="1597" w:type="pct"/>
                  <w:noWrap w:val="0"/>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垃圾桶</w:t>
                  </w:r>
                </w:p>
              </w:tc>
              <w:tc>
                <w:tcPr>
                  <w:tcW w:w="625" w:type="pct"/>
                  <w:noWrap w:val="0"/>
                  <w:vAlign w:val="center"/>
                </w:tcPr>
                <w:p>
                  <w:pPr>
                    <w:jc w:val="center"/>
                    <w:rPr>
                      <w:rFonts w:ascii="Times New Roman" w:hAnsi="Times New Roman" w:cs="Times New Roman"/>
                      <w:kern w:val="24"/>
                      <w:sz w:val="21"/>
                      <w:szCs w:val="21"/>
                    </w:rPr>
                  </w:pPr>
                  <w:r>
                    <w:rPr>
                      <w:rFonts w:ascii="Times New Roman" w:hAnsi="Times New Roman" w:cs="Times New Roman"/>
                      <w:kern w:val="24"/>
                      <w:sz w:val="21"/>
                      <w:szCs w:val="21"/>
                    </w:rPr>
                    <w:t>1</w:t>
                  </w:r>
                </w:p>
              </w:tc>
              <w:tc>
                <w:tcPr>
                  <w:tcW w:w="1491" w:type="pct"/>
                  <w:noWrap w:val="0"/>
                  <w:vAlign w:val="center"/>
                </w:tcPr>
                <w:p>
                  <w:pPr>
                    <w:jc w:val="center"/>
                    <w:rPr>
                      <w:rFonts w:ascii="Times New Roman" w:hAnsi="Times New Roman" w:cs="Times New Roman"/>
                      <w:kern w:val="24"/>
                      <w:sz w:val="21"/>
                      <w:szCs w:val="21"/>
                    </w:rPr>
                  </w:pPr>
                  <w:r>
                    <w:rPr>
                      <w:rFonts w:ascii="Times New Roman" w:hAnsi="Times New Roman" w:cs="Times New Roman"/>
                      <w:kern w:val="24"/>
                      <w:sz w:val="21"/>
                      <w:szCs w:val="21"/>
                    </w:rPr>
                    <w:t>分类收集、分类处理，均得到合理处置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91" w:type="pct"/>
                  <w:vMerge w:val="continue"/>
                  <w:noWrap w:val="0"/>
                  <w:vAlign w:val="center"/>
                </w:tcPr>
                <w:p>
                  <w:pPr>
                    <w:jc w:val="center"/>
                    <w:rPr>
                      <w:rFonts w:ascii="Times New Roman" w:hAnsi="Times New Roman" w:cs="Times New Roman"/>
                      <w:sz w:val="21"/>
                      <w:szCs w:val="21"/>
                    </w:rPr>
                  </w:pPr>
                </w:p>
              </w:tc>
              <w:tc>
                <w:tcPr>
                  <w:tcW w:w="793" w:type="pct"/>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一般固体废物</w:t>
                  </w:r>
                </w:p>
              </w:tc>
              <w:tc>
                <w:tcPr>
                  <w:tcW w:w="1597" w:type="pct"/>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除尘器粉尘</w:t>
                  </w:r>
                  <w:r>
                    <w:rPr>
                      <w:rFonts w:ascii="Times New Roman" w:hAnsi="Times New Roman" w:cs="Times New Roman"/>
                      <w:sz w:val="21"/>
                      <w:szCs w:val="21"/>
                    </w:rPr>
                    <w:t>暂存在原料仓库，定期回用</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沉淀池底泥经砂石分离机分离后外运处理</w:t>
                  </w:r>
                </w:p>
              </w:tc>
              <w:tc>
                <w:tcPr>
                  <w:tcW w:w="625" w:type="pct"/>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1491" w:type="pct"/>
                  <w:noWrap w:val="0"/>
                  <w:vAlign w:val="center"/>
                </w:tcPr>
                <w:p>
                  <w:pPr>
                    <w:jc w:val="center"/>
                    <w:rPr>
                      <w:rFonts w:ascii="Times New Roman" w:hAnsi="Times New Roman" w:cs="Times New Roman"/>
                      <w:sz w:val="21"/>
                      <w:szCs w:val="21"/>
                    </w:rPr>
                  </w:pPr>
                  <w:r>
                    <w:rPr>
                      <w:rFonts w:ascii="Times New Roman" w:hAnsi="Times New Roman" w:cs="Times New Roman"/>
                      <w:kern w:val="24"/>
                      <w:sz w:val="21"/>
                      <w:szCs w:val="21"/>
                    </w:rPr>
                    <w:t>分类收集、分类处理，均得到合理处置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91" w:type="pct"/>
                  <w:vMerge w:val="continue"/>
                  <w:noWrap w:val="0"/>
                  <w:vAlign w:val="center"/>
                </w:tcPr>
                <w:p>
                  <w:pPr>
                    <w:jc w:val="center"/>
                    <w:rPr>
                      <w:rFonts w:ascii="Times New Roman" w:hAnsi="Times New Roman" w:cs="Times New Roman"/>
                      <w:sz w:val="21"/>
                      <w:szCs w:val="21"/>
                    </w:rPr>
                  </w:pPr>
                </w:p>
              </w:tc>
              <w:tc>
                <w:tcPr>
                  <w:tcW w:w="793" w:type="pct"/>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危险废物</w:t>
                  </w:r>
                </w:p>
              </w:tc>
              <w:tc>
                <w:tcPr>
                  <w:tcW w:w="1597" w:type="pct"/>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危险废物暂存间，委托有资质单位及时处理，危险废物暂存间位于</w:t>
                  </w:r>
                  <w:r>
                    <w:rPr>
                      <w:rFonts w:hint="eastAsia" w:ascii="Times New Roman" w:hAnsi="Times New Roman" w:cs="Times New Roman"/>
                      <w:sz w:val="21"/>
                      <w:szCs w:val="21"/>
                      <w:lang w:val="en-US" w:eastAsia="zh-CN"/>
                    </w:rPr>
                    <w:t>厂房南侧</w:t>
                  </w:r>
                  <w:r>
                    <w:rPr>
                      <w:rFonts w:ascii="Times New Roman" w:hAnsi="Times New Roman" w:cs="Times New Roman"/>
                      <w:sz w:val="21"/>
                      <w:szCs w:val="21"/>
                    </w:rPr>
                    <w:t>，防渗、防风、防晒、防雨</w:t>
                  </w:r>
                </w:p>
              </w:tc>
              <w:tc>
                <w:tcPr>
                  <w:tcW w:w="625" w:type="pct"/>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10</w:t>
                  </w:r>
                </w:p>
              </w:tc>
              <w:tc>
                <w:tcPr>
                  <w:tcW w:w="1491" w:type="pct"/>
                  <w:noWrap w:val="0"/>
                  <w:vAlign w:val="center"/>
                </w:tcPr>
                <w:p>
                  <w:pPr>
                    <w:jc w:val="center"/>
                    <w:rPr>
                      <w:rFonts w:ascii="Times New Roman" w:hAnsi="Times New Roman" w:cs="Times New Roman"/>
                      <w:sz w:val="21"/>
                      <w:szCs w:val="21"/>
                    </w:rPr>
                  </w:pPr>
                  <w:r>
                    <w:rPr>
                      <w:rFonts w:ascii="Times New Roman" w:hAnsi="Times New Roman" w:cs="Times New Roman"/>
                      <w:kern w:val="24"/>
                      <w:sz w:val="21"/>
                      <w:szCs w:val="21"/>
                    </w:rPr>
                    <w:t>分类收集、分类处理，均得到合理处置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883" w:type="pct"/>
                  <w:gridSpan w:val="3"/>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合计</w:t>
                  </w:r>
                </w:p>
              </w:tc>
              <w:tc>
                <w:tcPr>
                  <w:tcW w:w="2116" w:type="pct"/>
                  <w:gridSpan w:val="2"/>
                  <w:noWrap w:val="0"/>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80</w:t>
                  </w:r>
                </w:p>
              </w:tc>
            </w:tr>
          </w:tbl>
          <w:p>
            <w:pPr>
              <w:adjustRightInd w:val="0"/>
              <w:snapToGrid w:val="0"/>
              <w:spacing w:before="120" w:beforeLines="50" w:line="360" w:lineRule="auto"/>
              <w:jc w:val="left"/>
              <w:rPr>
                <w:rFonts w:ascii="宋体" w:hAnsi="宋体" w:cs="宋体"/>
                <w:bCs/>
                <w:color w:val="FF0000"/>
                <w:spacing w:val="-10"/>
              </w:rPr>
            </w:pPr>
          </w:p>
        </w:tc>
      </w:tr>
    </w:tbl>
    <w:p>
      <w:pPr>
        <w:adjustRightInd w:val="0"/>
        <w:snapToGrid w:val="0"/>
        <w:spacing w:line="360" w:lineRule="auto"/>
        <w:rPr>
          <w:rFonts w:ascii="宋体" w:cs="宋体"/>
          <w:b/>
          <w:kern w:val="0"/>
          <w:sz w:val="28"/>
          <w:szCs w:val="28"/>
        </w:rPr>
        <w:sectPr>
          <w:pgSz w:w="11907" w:h="16840"/>
          <w:pgMar w:top="1701" w:right="1531" w:bottom="2127" w:left="1531" w:header="851" w:footer="851" w:gutter="0"/>
          <w:cols w:space="720" w:num="1"/>
          <w:docGrid w:linePitch="312" w:charSpace="0"/>
        </w:sectPr>
      </w:pPr>
    </w:p>
    <w:p>
      <w:pPr>
        <w:pStyle w:val="24"/>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3" w:name="_Hlk54167917"/>
      <w:r>
        <w:rPr>
          <w:rFonts w:hint="eastAsia" w:ascii="黑体" w:hAnsi="黑体" w:eastAsia="黑体"/>
          <w:snapToGrid w:val="0"/>
          <w:sz w:val="30"/>
          <w:szCs w:val="30"/>
        </w:rPr>
        <w:t>环境保护措施监督检查清单</w:t>
      </w:r>
      <w:bookmarkEnd w:id="3"/>
    </w:p>
    <w:tbl>
      <w:tblPr>
        <w:tblStyle w:val="2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900"/>
        <w:gridCol w:w="1498"/>
        <w:gridCol w:w="2147"/>
        <w:gridCol w:w="17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tl2br w:val="single" w:color="auto" w:sz="4" w:space="0"/>
            </w:tcBorders>
          </w:tcPr>
          <w:p>
            <w:pPr>
              <w:adjustRightInd w:val="0"/>
              <w:snapToGrid w:val="0"/>
              <w:ind w:firstLine="840"/>
              <w:rPr>
                <w:rFonts w:ascii="宋体" w:hAnsi="宋体" w:cs="宋体"/>
              </w:rPr>
            </w:pPr>
            <w:r>
              <w:rPr>
                <w:rFonts w:hint="eastAsia" w:ascii="宋体" w:hAnsi="宋体" w:cs="宋体"/>
              </w:rPr>
              <w:t>内容</w:t>
            </w:r>
          </w:p>
          <w:p>
            <w:pPr>
              <w:adjustRightInd w:val="0"/>
              <w:snapToGrid w:val="0"/>
              <w:rPr>
                <w:rFonts w:ascii="宋体" w:hAnsi="宋体" w:cs="宋体"/>
              </w:rPr>
            </w:pPr>
            <w:r>
              <w:rPr>
                <w:rFonts w:hint="eastAsia" w:ascii="宋体" w:hAnsi="宋体" w:cs="宋体"/>
              </w:rPr>
              <w:t>要素</w:t>
            </w:r>
          </w:p>
        </w:tc>
        <w:tc>
          <w:tcPr>
            <w:tcW w:w="1900" w:type="dxa"/>
            <w:vAlign w:val="center"/>
          </w:tcPr>
          <w:p>
            <w:pPr>
              <w:adjustRightInd w:val="0"/>
              <w:snapToGrid w:val="0"/>
              <w:jc w:val="center"/>
              <w:rPr>
                <w:rFonts w:ascii="宋体" w:hAnsi="宋体" w:cs="宋体"/>
              </w:rPr>
            </w:pPr>
            <w:r>
              <w:rPr>
                <w:rFonts w:hint="eastAsia" w:ascii="宋体" w:hAnsi="宋体" w:cs="宋体"/>
              </w:rPr>
              <w:t>排放口(编号、</w:t>
            </w:r>
          </w:p>
          <w:p>
            <w:pPr>
              <w:adjustRightInd w:val="0"/>
              <w:snapToGrid w:val="0"/>
              <w:jc w:val="center"/>
              <w:rPr>
                <w:rFonts w:ascii="宋体" w:hAnsi="宋体" w:cs="宋体"/>
              </w:rPr>
            </w:pPr>
            <w:r>
              <w:rPr>
                <w:rFonts w:hint="eastAsia" w:ascii="宋体" w:hAnsi="宋体" w:cs="宋体"/>
              </w:rPr>
              <w:t>名称)/污染源</w:t>
            </w:r>
          </w:p>
        </w:tc>
        <w:tc>
          <w:tcPr>
            <w:tcW w:w="1498" w:type="dxa"/>
            <w:vAlign w:val="center"/>
          </w:tcPr>
          <w:p>
            <w:pPr>
              <w:adjustRightInd w:val="0"/>
              <w:snapToGrid w:val="0"/>
              <w:jc w:val="center"/>
              <w:rPr>
                <w:rFonts w:ascii="宋体" w:hAnsi="宋体" w:cs="宋体"/>
              </w:rPr>
            </w:pPr>
            <w:r>
              <w:rPr>
                <w:rFonts w:hint="eastAsia" w:ascii="宋体" w:hAnsi="宋体" w:cs="宋体"/>
              </w:rPr>
              <w:t>污染物项目</w:t>
            </w:r>
          </w:p>
        </w:tc>
        <w:tc>
          <w:tcPr>
            <w:tcW w:w="2147" w:type="dxa"/>
            <w:vAlign w:val="center"/>
          </w:tcPr>
          <w:p>
            <w:pPr>
              <w:adjustRightInd w:val="0"/>
              <w:snapToGrid w:val="0"/>
              <w:jc w:val="center"/>
              <w:rPr>
                <w:rFonts w:ascii="宋体" w:hAnsi="宋体" w:cs="宋体"/>
              </w:rPr>
            </w:pPr>
            <w:r>
              <w:rPr>
                <w:rFonts w:hint="eastAsia" w:ascii="宋体" w:hAnsi="宋体" w:cs="宋体"/>
              </w:rPr>
              <w:t>环境保护措施</w:t>
            </w:r>
          </w:p>
        </w:tc>
        <w:tc>
          <w:tcPr>
            <w:tcW w:w="1766" w:type="dxa"/>
            <w:vAlign w:val="center"/>
          </w:tcPr>
          <w:p>
            <w:pPr>
              <w:adjustRightInd w:val="0"/>
              <w:snapToGrid w:val="0"/>
              <w:jc w:val="center"/>
              <w:rPr>
                <w:rFonts w:ascii="宋体" w:hAnsi="宋体" w:cs="宋体"/>
              </w:rPr>
            </w:pPr>
            <w:r>
              <w:rPr>
                <w:rFonts w:hint="eastAsia" w:ascii="宋体" w:hAnsi="宋体" w:cs="宋体"/>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Merge w:val="restart"/>
            <w:vAlign w:val="center"/>
          </w:tcPr>
          <w:p>
            <w:pPr>
              <w:adjustRightInd w:val="0"/>
              <w:snapToGrid w:val="0"/>
              <w:jc w:val="center"/>
              <w:rPr>
                <w:rFonts w:ascii="宋体" w:hAnsi="宋体" w:cs="宋体"/>
              </w:rPr>
            </w:pPr>
            <w:r>
              <w:rPr>
                <w:rFonts w:ascii="Times New Roman" w:hAnsi="Times New Roman" w:cs="Times New Roman"/>
                <w:sz w:val="24"/>
              </w:rPr>
              <w:t>大气环境</w:t>
            </w:r>
          </w:p>
        </w:tc>
        <w:tc>
          <w:tcPr>
            <w:tcW w:w="1900" w:type="dxa"/>
            <w:vAlign w:val="center"/>
          </w:tcPr>
          <w:p>
            <w:pPr>
              <w:adjustRightInd w:val="0"/>
              <w:snapToGrid w:val="0"/>
              <w:jc w:val="center"/>
              <w:rPr>
                <w:rFonts w:hint="default" w:ascii="宋体" w:hAnsi="宋体" w:eastAsia="宋体" w:cs="宋体"/>
                <w:color w:val="auto"/>
                <w:lang w:val="en-US" w:eastAsia="zh-CN"/>
              </w:rPr>
            </w:pPr>
            <w:r>
              <w:rPr>
                <w:rFonts w:ascii="Times New Roman" w:hAnsi="Times New Roman" w:cs="Times New Roman"/>
                <w:sz w:val="24"/>
              </w:rPr>
              <w:t>混凝土搅拌（无组织）</w:t>
            </w:r>
          </w:p>
        </w:tc>
        <w:tc>
          <w:tcPr>
            <w:tcW w:w="1498" w:type="dxa"/>
            <w:vAlign w:val="center"/>
          </w:tcPr>
          <w:p>
            <w:pPr>
              <w:adjustRightInd w:val="0"/>
              <w:snapToGrid w:val="0"/>
              <w:jc w:val="center"/>
              <w:rPr>
                <w:color w:val="FF0000"/>
              </w:rPr>
            </w:pPr>
            <w:r>
              <w:rPr>
                <w:rFonts w:ascii="Times New Roman" w:hAnsi="Times New Roman" w:cs="Times New Roman"/>
                <w:sz w:val="24"/>
              </w:rPr>
              <w:t>颗粒物</w:t>
            </w:r>
          </w:p>
        </w:tc>
        <w:tc>
          <w:tcPr>
            <w:tcW w:w="2147" w:type="dxa"/>
            <w:vAlign w:val="center"/>
          </w:tcPr>
          <w:p>
            <w:pPr>
              <w:jc w:val="center"/>
              <w:rPr>
                <w:color w:val="FF0000"/>
              </w:rPr>
            </w:pPr>
            <w:r>
              <w:rPr>
                <w:rFonts w:ascii="Times New Roman" w:hAnsi="Times New Roman" w:cs="Times New Roman"/>
                <w:sz w:val="24"/>
              </w:rPr>
              <w:t>经设备自带脉冲式布袋除尘器处理后，封闭</w:t>
            </w:r>
            <w:r>
              <w:rPr>
                <w:rFonts w:hint="eastAsia" w:cs="Times New Roman"/>
                <w:sz w:val="24"/>
                <w:lang w:val="en-US" w:eastAsia="zh-CN"/>
              </w:rPr>
              <w:t>搅拌楼</w:t>
            </w:r>
            <w:r>
              <w:rPr>
                <w:rFonts w:ascii="Times New Roman" w:hAnsi="Times New Roman" w:cs="Times New Roman"/>
                <w:sz w:val="24"/>
              </w:rPr>
              <w:t>内排放</w:t>
            </w:r>
          </w:p>
        </w:tc>
        <w:tc>
          <w:tcPr>
            <w:tcW w:w="1766" w:type="dxa"/>
            <w:vMerge w:val="restart"/>
            <w:vAlign w:val="center"/>
          </w:tcPr>
          <w:p>
            <w:pPr>
              <w:adjustRightInd w:val="0"/>
              <w:snapToGrid w:val="0"/>
              <w:jc w:val="center"/>
              <w:rPr>
                <w:rFonts w:ascii="宋体" w:hAnsi="宋体" w:cs="宋体"/>
              </w:rPr>
            </w:pPr>
            <w:r>
              <w:rPr>
                <w:rFonts w:ascii="Times New Roman" w:hAnsi="Times New Roman" w:cs="Times New Roman"/>
                <w:sz w:val="24"/>
              </w:rPr>
              <w:t>安徽省《水泥工业大气污染物排放标准》（DB34/3576-2020）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Merge w:val="continue"/>
            <w:vAlign w:val="center"/>
          </w:tcPr>
          <w:p>
            <w:pPr>
              <w:adjustRightInd w:val="0"/>
              <w:snapToGrid w:val="0"/>
              <w:jc w:val="center"/>
              <w:rPr>
                <w:rFonts w:ascii="宋体" w:hAnsi="宋体" w:cs="宋体"/>
              </w:rPr>
            </w:pPr>
          </w:p>
        </w:tc>
        <w:tc>
          <w:tcPr>
            <w:tcW w:w="1900" w:type="dxa"/>
            <w:vAlign w:val="center"/>
          </w:tcPr>
          <w:p>
            <w:pPr>
              <w:adjustRightInd w:val="0"/>
              <w:snapToGrid w:val="0"/>
              <w:jc w:val="center"/>
              <w:rPr>
                <w:rFonts w:ascii="Times New Roman" w:hAnsi="Times New Roman" w:cs="Times New Roman"/>
                <w:sz w:val="24"/>
              </w:rPr>
            </w:pPr>
            <w:r>
              <w:rPr>
                <w:rFonts w:hint="eastAsia" w:ascii="Times New Roman" w:hAnsi="Times New Roman" w:cs="Times New Roman"/>
                <w:sz w:val="24"/>
                <w:lang w:val="en-US" w:eastAsia="zh-CN"/>
              </w:rPr>
              <w:t>水泥</w:t>
            </w:r>
            <w:r>
              <w:rPr>
                <w:rFonts w:ascii="Times New Roman" w:hAnsi="Times New Roman" w:cs="Times New Roman"/>
                <w:sz w:val="24"/>
              </w:rPr>
              <w:t>筒仓</w:t>
            </w:r>
          </w:p>
          <w:p>
            <w:pPr>
              <w:adjustRightInd w:val="0"/>
              <w:snapToGrid w:val="0"/>
              <w:jc w:val="center"/>
              <w:rPr>
                <w:rFonts w:ascii="宋体" w:hAnsi="宋体" w:cs="宋体"/>
                <w:color w:val="auto"/>
              </w:rPr>
            </w:pPr>
            <w:r>
              <w:rPr>
                <w:rFonts w:ascii="Times New Roman" w:hAnsi="Times New Roman" w:cs="Times New Roman"/>
                <w:sz w:val="24"/>
              </w:rPr>
              <w:t>（无组织）</w:t>
            </w:r>
          </w:p>
        </w:tc>
        <w:tc>
          <w:tcPr>
            <w:tcW w:w="1498" w:type="dxa"/>
            <w:vAlign w:val="center"/>
          </w:tcPr>
          <w:p>
            <w:pPr>
              <w:adjustRightInd w:val="0"/>
              <w:snapToGrid w:val="0"/>
              <w:jc w:val="center"/>
              <w:rPr>
                <w:color w:val="FF0000"/>
              </w:rPr>
            </w:pPr>
            <w:r>
              <w:rPr>
                <w:rFonts w:ascii="Times New Roman" w:hAnsi="Times New Roman" w:cs="Times New Roman"/>
                <w:sz w:val="24"/>
              </w:rPr>
              <w:t>颗粒物</w:t>
            </w:r>
          </w:p>
        </w:tc>
        <w:tc>
          <w:tcPr>
            <w:tcW w:w="2147" w:type="dxa"/>
            <w:vAlign w:val="center"/>
          </w:tcPr>
          <w:p>
            <w:pPr>
              <w:jc w:val="center"/>
              <w:rPr>
                <w:color w:val="FF0000"/>
              </w:rPr>
            </w:pPr>
            <w:r>
              <w:rPr>
                <w:rFonts w:ascii="Times New Roman" w:hAnsi="Times New Roman" w:cs="Times New Roman"/>
                <w:sz w:val="24"/>
              </w:rPr>
              <w:t>经筒仓自带布袋除尘器处理后，封闭厂房内排放</w:t>
            </w:r>
          </w:p>
        </w:tc>
        <w:tc>
          <w:tcPr>
            <w:tcW w:w="1766" w:type="dxa"/>
            <w:vMerge w:val="continue"/>
            <w:vAlign w:val="center"/>
          </w:tcPr>
          <w:p>
            <w:pPr>
              <w:adjustRightInd w:val="0"/>
              <w:snapToGrid w:val="0"/>
              <w:jc w:val="center"/>
              <w:rPr>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Merge w:val="continue"/>
            <w:vAlign w:val="center"/>
          </w:tcPr>
          <w:p>
            <w:pPr>
              <w:adjustRightInd w:val="0"/>
              <w:snapToGrid w:val="0"/>
              <w:jc w:val="center"/>
              <w:rPr>
                <w:rFonts w:ascii="宋体" w:hAnsi="宋体" w:cs="宋体"/>
              </w:rPr>
            </w:pPr>
          </w:p>
        </w:tc>
        <w:tc>
          <w:tcPr>
            <w:tcW w:w="1900" w:type="dxa"/>
            <w:vAlign w:val="center"/>
          </w:tcPr>
          <w:p>
            <w:pPr>
              <w:adjustRightInd w:val="0"/>
              <w:snapToGrid w:val="0"/>
              <w:jc w:val="center"/>
              <w:rPr>
                <w:rFonts w:ascii="宋体" w:hAnsi="宋体" w:cs="宋体"/>
                <w:color w:val="auto"/>
              </w:rPr>
            </w:pPr>
            <w:r>
              <w:rPr>
                <w:rFonts w:ascii="Times New Roman" w:hAnsi="Times New Roman" w:cs="Times New Roman"/>
                <w:sz w:val="24"/>
              </w:rPr>
              <w:t>食堂油烟</w:t>
            </w:r>
          </w:p>
        </w:tc>
        <w:tc>
          <w:tcPr>
            <w:tcW w:w="1498" w:type="dxa"/>
            <w:vAlign w:val="center"/>
          </w:tcPr>
          <w:p>
            <w:pPr>
              <w:adjustRightInd w:val="0"/>
              <w:snapToGrid w:val="0"/>
              <w:jc w:val="center"/>
              <w:rPr>
                <w:color w:val="FF0000"/>
              </w:rPr>
            </w:pPr>
            <w:r>
              <w:rPr>
                <w:rFonts w:ascii="Times New Roman" w:hAnsi="Times New Roman" w:cs="Times New Roman"/>
                <w:sz w:val="24"/>
              </w:rPr>
              <w:t>食堂油烟</w:t>
            </w:r>
          </w:p>
        </w:tc>
        <w:tc>
          <w:tcPr>
            <w:tcW w:w="2147" w:type="dxa"/>
            <w:vAlign w:val="center"/>
          </w:tcPr>
          <w:p>
            <w:pPr>
              <w:adjustRightInd w:val="0"/>
              <w:snapToGrid w:val="0"/>
              <w:jc w:val="center"/>
              <w:rPr>
                <w:color w:val="FF0000"/>
              </w:rPr>
            </w:pPr>
            <w:r>
              <w:rPr>
                <w:rFonts w:ascii="Times New Roman" w:hAnsi="Times New Roman" w:cs="Times New Roman"/>
                <w:sz w:val="24"/>
              </w:rPr>
              <w:t>油烟净化器</w:t>
            </w:r>
          </w:p>
        </w:tc>
        <w:tc>
          <w:tcPr>
            <w:tcW w:w="1766" w:type="dxa"/>
            <w:vAlign w:val="center"/>
          </w:tcPr>
          <w:p>
            <w:pPr>
              <w:adjustRightInd w:val="0"/>
              <w:snapToGrid w:val="0"/>
              <w:jc w:val="center"/>
              <w:rPr>
                <w:bCs/>
                <w:color w:val="000000" w:themeColor="text1"/>
                <w14:textFill>
                  <w14:solidFill>
                    <w14:schemeClr w14:val="tx1"/>
                  </w14:solidFill>
                </w14:textFill>
              </w:rPr>
            </w:pPr>
            <w:r>
              <w:rPr>
                <w:rFonts w:ascii="Times New Roman" w:hAnsi="Times New Roman" w:cs="Times New Roman"/>
                <w:sz w:val="24"/>
              </w:rPr>
              <w:t>《饮食业油烟排放标准（试行）》（GB18483-2001）中标准限值要求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Merge w:val="restart"/>
            <w:vAlign w:val="center"/>
          </w:tcPr>
          <w:p>
            <w:pPr>
              <w:adjustRightInd w:val="0"/>
              <w:snapToGrid w:val="0"/>
              <w:jc w:val="center"/>
              <w:rPr>
                <w:rFonts w:ascii="宋体" w:hAnsi="宋体" w:cs="宋体"/>
              </w:rPr>
            </w:pPr>
            <w:r>
              <w:rPr>
                <w:rFonts w:hint="eastAsia" w:ascii="宋体" w:hAnsi="宋体" w:cs="宋体"/>
              </w:rPr>
              <w:t>地表水环境</w:t>
            </w:r>
          </w:p>
        </w:tc>
        <w:tc>
          <w:tcPr>
            <w:tcW w:w="1900" w:type="dxa"/>
            <w:vAlign w:val="center"/>
          </w:tcPr>
          <w:p>
            <w:pPr>
              <w:adjustRightInd w:val="0"/>
              <w:snapToGrid w:val="0"/>
              <w:jc w:val="center"/>
              <w:rPr>
                <w:rFonts w:ascii="宋体" w:hAnsi="宋体" w:cs="宋体"/>
              </w:rPr>
            </w:pPr>
            <w:r>
              <w:rPr>
                <w:rFonts w:hint="eastAsia" w:ascii="宋体" w:hAnsi="宋体" w:cs="宋体"/>
              </w:rPr>
              <w:t>一般排放口/生活污水</w:t>
            </w:r>
          </w:p>
        </w:tc>
        <w:tc>
          <w:tcPr>
            <w:tcW w:w="1498" w:type="dxa"/>
            <w:vAlign w:val="center"/>
          </w:tcPr>
          <w:p>
            <w:pPr>
              <w:adjustRightInd w:val="0"/>
              <w:snapToGrid w:val="0"/>
              <w:jc w:val="center"/>
              <w:rPr>
                <w:rFonts w:hint="default" w:eastAsia="宋体"/>
                <w:lang w:val="en-US" w:eastAsia="zh-CN"/>
              </w:rPr>
            </w:pPr>
            <w:r>
              <w:t>pH、COD</w:t>
            </w:r>
            <w:r>
              <w:rPr>
                <w:rFonts w:hint="eastAsia"/>
                <w:lang w:eastAsia="zh-CN"/>
              </w:rPr>
              <w:t>、</w:t>
            </w:r>
            <w:r>
              <w:t>BOD</w:t>
            </w:r>
            <w:r>
              <w:rPr>
                <w:vertAlign w:val="subscript"/>
              </w:rPr>
              <w:t>5</w:t>
            </w:r>
            <w:r>
              <w:t>、SS、氨氮</w:t>
            </w:r>
            <w:r>
              <w:rPr>
                <w:rFonts w:hint="eastAsia"/>
                <w:lang w:eastAsia="zh-CN"/>
              </w:rPr>
              <w:t>、</w:t>
            </w:r>
            <w:r>
              <w:rPr>
                <w:rFonts w:hint="eastAsia"/>
                <w:lang w:val="en-US" w:eastAsia="zh-CN"/>
              </w:rPr>
              <w:t>动植物油</w:t>
            </w:r>
          </w:p>
        </w:tc>
        <w:tc>
          <w:tcPr>
            <w:tcW w:w="2147" w:type="dxa"/>
            <w:vAlign w:val="center"/>
          </w:tcPr>
          <w:p>
            <w:pPr>
              <w:adjustRightInd w:val="0"/>
              <w:snapToGrid w:val="0"/>
              <w:jc w:val="center"/>
              <w:rPr>
                <w:rFonts w:hint="default" w:ascii="宋体" w:hAnsi="宋体" w:eastAsia="宋体" w:cs="宋体"/>
                <w:lang w:val="en-US" w:eastAsia="zh-CN"/>
              </w:rPr>
            </w:pPr>
            <w:r>
              <w:rPr>
                <w:rFonts w:hint="eastAsia"/>
                <w:color w:val="000000"/>
                <w:lang w:val="en-US" w:eastAsia="zh-CN"/>
              </w:rPr>
              <w:t>隔油池+</w:t>
            </w:r>
            <w:r>
              <w:rPr>
                <w:color w:val="000000"/>
              </w:rPr>
              <w:t>化粪池</w:t>
            </w:r>
          </w:p>
        </w:tc>
        <w:tc>
          <w:tcPr>
            <w:tcW w:w="1766" w:type="dxa"/>
            <w:vAlign w:val="center"/>
          </w:tcPr>
          <w:p>
            <w:pPr>
              <w:adjustRightInd w:val="0"/>
              <w:snapToGrid w:val="0"/>
              <w:jc w:val="center"/>
              <w:rPr>
                <w:rFonts w:hint="default" w:ascii="宋体" w:hAnsi="宋体" w:eastAsia="宋体" w:cs="宋体"/>
                <w:lang w:val="en-US" w:eastAsia="zh-CN"/>
              </w:rPr>
            </w:pPr>
            <w:r>
              <w:rPr>
                <w:rFonts w:hint="eastAsia" w:ascii="宋体" w:hAnsi="宋体" w:cs="宋体"/>
                <w:lang w:val="en-US" w:eastAsia="zh-CN"/>
              </w:rPr>
              <w:t>定期清掏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Merge w:val="continue"/>
            <w:vAlign w:val="center"/>
          </w:tcPr>
          <w:p>
            <w:pPr>
              <w:adjustRightInd w:val="0"/>
              <w:snapToGrid w:val="0"/>
              <w:jc w:val="center"/>
              <w:rPr>
                <w:rFonts w:hint="eastAsia" w:ascii="宋体" w:hAnsi="宋体" w:cs="宋体"/>
              </w:rPr>
            </w:pPr>
          </w:p>
        </w:tc>
        <w:tc>
          <w:tcPr>
            <w:tcW w:w="1900" w:type="dxa"/>
            <w:vAlign w:val="center"/>
          </w:tcPr>
          <w:p>
            <w:pPr>
              <w:adjustRightInd w:val="0"/>
              <w:snapToGrid w:val="0"/>
              <w:jc w:val="center"/>
              <w:rPr>
                <w:rFonts w:hint="eastAsia" w:ascii="宋体" w:hAnsi="宋体" w:cs="宋体"/>
              </w:rPr>
            </w:pPr>
            <w:r>
              <w:rPr>
                <w:rFonts w:ascii="Times New Roman" w:hAnsi="Times New Roman" w:cs="Times New Roman"/>
                <w:sz w:val="24"/>
              </w:rPr>
              <w:t>冲洗、喷淋废水</w:t>
            </w:r>
          </w:p>
        </w:tc>
        <w:tc>
          <w:tcPr>
            <w:tcW w:w="1498" w:type="dxa"/>
            <w:vAlign w:val="center"/>
          </w:tcPr>
          <w:p>
            <w:pPr>
              <w:adjustRightInd w:val="0"/>
              <w:snapToGrid w:val="0"/>
              <w:jc w:val="center"/>
            </w:pPr>
            <w:r>
              <w:rPr>
                <w:rFonts w:ascii="Times New Roman" w:hAnsi="Times New Roman" w:cs="Times New Roman"/>
                <w:sz w:val="24"/>
              </w:rPr>
              <w:t>SS、BOD</w:t>
            </w:r>
            <w:r>
              <w:rPr>
                <w:rFonts w:ascii="Times New Roman" w:hAnsi="Times New Roman" w:cs="Times New Roman"/>
                <w:sz w:val="24"/>
                <w:vertAlign w:val="subscript"/>
              </w:rPr>
              <w:t>5</w:t>
            </w:r>
            <w:r>
              <w:rPr>
                <w:rFonts w:ascii="Times New Roman" w:hAnsi="Times New Roman" w:cs="Times New Roman"/>
                <w:sz w:val="24"/>
              </w:rPr>
              <w:t>、COD、氨氮</w:t>
            </w:r>
          </w:p>
        </w:tc>
        <w:tc>
          <w:tcPr>
            <w:tcW w:w="2147" w:type="dxa"/>
            <w:vAlign w:val="center"/>
          </w:tcPr>
          <w:p>
            <w:pPr>
              <w:adjustRightInd w:val="0"/>
              <w:snapToGrid w:val="0"/>
              <w:jc w:val="center"/>
              <w:rPr>
                <w:rFonts w:hint="eastAsia"/>
                <w:color w:val="000000"/>
                <w:lang w:val="en-US" w:eastAsia="zh-CN"/>
              </w:rPr>
            </w:pPr>
            <w:r>
              <w:rPr>
                <w:rFonts w:ascii="Times New Roman" w:hAnsi="Times New Roman" w:cs="Times New Roman"/>
                <w:sz w:val="24"/>
              </w:rPr>
              <w:t>沉淀池</w:t>
            </w:r>
          </w:p>
        </w:tc>
        <w:tc>
          <w:tcPr>
            <w:tcW w:w="1766" w:type="dxa"/>
            <w:vAlign w:val="center"/>
          </w:tcPr>
          <w:p>
            <w:pPr>
              <w:adjustRightInd w:val="0"/>
              <w:snapToGrid w:val="0"/>
              <w:jc w:val="center"/>
              <w:rPr>
                <w:lang w:bidi="ar"/>
              </w:rPr>
            </w:pPr>
            <w:r>
              <w:rPr>
                <w:rFonts w:ascii="Times New Roman" w:hAnsi="Times New Roman" w:cs="Times New Roman"/>
                <w:sz w:val="24"/>
              </w:rPr>
              <w:t>经沉淀池过滤循环使用不外排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Align w:val="center"/>
          </w:tcPr>
          <w:p>
            <w:pPr>
              <w:adjustRightInd w:val="0"/>
              <w:snapToGrid w:val="0"/>
              <w:jc w:val="center"/>
              <w:rPr>
                <w:rFonts w:ascii="宋体" w:hAnsi="宋体" w:cs="宋体"/>
              </w:rPr>
            </w:pPr>
            <w:r>
              <w:rPr>
                <w:rFonts w:hint="eastAsia" w:ascii="宋体" w:hAnsi="宋体" w:cs="宋体"/>
              </w:rPr>
              <w:t>声环境</w:t>
            </w:r>
          </w:p>
        </w:tc>
        <w:tc>
          <w:tcPr>
            <w:tcW w:w="1900" w:type="dxa"/>
            <w:vAlign w:val="center"/>
          </w:tcPr>
          <w:p>
            <w:pPr>
              <w:jc w:val="center"/>
              <w:outlineLvl w:val="0"/>
              <w:rPr>
                <w:rFonts w:ascii="宋体" w:hAnsi="宋体" w:cs="宋体"/>
              </w:rPr>
            </w:pPr>
            <w:r>
              <w:rPr>
                <w:rFonts w:hint="eastAsia"/>
              </w:rPr>
              <w:t>生产设备</w:t>
            </w:r>
          </w:p>
        </w:tc>
        <w:tc>
          <w:tcPr>
            <w:tcW w:w="1498" w:type="dxa"/>
            <w:vAlign w:val="center"/>
          </w:tcPr>
          <w:p>
            <w:pPr>
              <w:jc w:val="center"/>
              <w:outlineLvl w:val="0"/>
              <w:rPr>
                <w:rFonts w:ascii="宋体" w:hAnsi="宋体" w:cs="宋体"/>
              </w:rPr>
            </w:pPr>
            <w:r>
              <w:rPr>
                <w:rFonts w:hint="eastAsia" w:ascii="宋体" w:hAnsi="宋体" w:cs="宋体"/>
              </w:rPr>
              <w:t>设备噪声</w:t>
            </w:r>
          </w:p>
        </w:tc>
        <w:tc>
          <w:tcPr>
            <w:tcW w:w="2147" w:type="dxa"/>
            <w:vAlign w:val="center"/>
          </w:tcPr>
          <w:p>
            <w:pPr>
              <w:adjustRightInd w:val="0"/>
              <w:snapToGrid w:val="0"/>
              <w:jc w:val="center"/>
              <w:rPr>
                <w:rFonts w:ascii="宋体" w:hAnsi="宋体" w:cs="宋体"/>
              </w:rPr>
            </w:pPr>
            <w:r>
              <w:t>厂房隔声，使用低噪设备，合理安排工作时间等</w:t>
            </w:r>
          </w:p>
        </w:tc>
        <w:tc>
          <w:tcPr>
            <w:tcW w:w="1766" w:type="dxa"/>
            <w:vAlign w:val="center"/>
          </w:tcPr>
          <w:p>
            <w:pPr>
              <w:adjustRightInd w:val="0"/>
              <w:snapToGrid w:val="0"/>
              <w:jc w:val="center"/>
              <w:rPr>
                <w:rFonts w:ascii="宋体" w:hAnsi="宋体" w:cs="宋体"/>
              </w:rPr>
            </w:pPr>
            <w:r>
              <w:rPr>
                <w:rFonts w:hint="eastAsia"/>
              </w:rPr>
              <w:t>《工业企业厂界环境噪声排放标准》（GB12348-2008）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49" w:type="dxa"/>
            <w:vAlign w:val="center"/>
          </w:tcPr>
          <w:p>
            <w:pPr>
              <w:adjustRightInd w:val="0"/>
              <w:snapToGrid w:val="0"/>
              <w:jc w:val="center"/>
              <w:rPr>
                <w:rFonts w:ascii="宋体" w:hAnsi="宋体" w:cs="宋体"/>
              </w:rPr>
            </w:pPr>
            <w:r>
              <w:rPr>
                <w:rFonts w:hint="eastAsia" w:ascii="宋体" w:hAnsi="宋体" w:cs="宋体"/>
              </w:rPr>
              <w:t>电磁辐射</w:t>
            </w:r>
          </w:p>
        </w:tc>
        <w:tc>
          <w:tcPr>
            <w:tcW w:w="7311" w:type="dxa"/>
            <w:gridSpan w:val="4"/>
            <w:vAlign w:val="center"/>
          </w:tcPr>
          <w:p>
            <w:pPr>
              <w:adjustRightInd w:val="0"/>
              <w:snapToGrid w:val="0"/>
              <w:jc w:val="center"/>
              <w:rPr>
                <w:rFonts w:ascii="宋体" w:hAnsi="宋体" w:cs="宋体"/>
              </w:rPr>
            </w:pPr>
            <w:r>
              <w:rPr>
                <w:rFonts w:hint="eastAsia" w:ascii="宋体" w:hAnsi="宋体" w:cs="宋体"/>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749" w:type="dxa"/>
            <w:vAlign w:val="center"/>
          </w:tcPr>
          <w:p>
            <w:pPr>
              <w:adjustRightInd w:val="0"/>
              <w:snapToGrid w:val="0"/>
              <w:jc w:val="center"/>
              <w:rPr>
                <w:rFonts w:ascii="宋体" w:hAnsi="宋体" w:cs="宋体"/>
              </w:rPr>
            </w:pPr>
            <w:r>
              <w:rPr>
                <w:rFonts w:hint="eastAsia" w:ascii="宋体" w:hAnsi="宋体" w:cs="宋体"/>
              </w:rPr>
              <w:t>固体废物</w:t>
            </w:r>
          </w:p>
        </w:tc>
        <w:tc>
          <w:tcPr>
            <w:tcW w:w="7311" w:type="dxa"/>
            <w:gridSpan w:val="4"/>
            <w:vAlign w:val="center"/>
          </w:tcPr>
          <w:p>
            <w:pPr>
              <w:rPr>
                <w:rFonts w:ascii="宋体" w:hAnsi="宋体" w:cs="宋体"/>
              </w:rPr>
            </w:pPr>
            <w:r>
              <w:rPr>
                <w:rFonts w:ascii="Times New Roman" w:hAnsi="Times New Roman" w:cs="Times New Roman"/>
                <w:sz w:val="24"/>
              </w:rPr>
              <w:t>生活垃圾实行分类袋装化，由市政环卫部门统一处理；</w:t>
            </w:r>
            <w:r>
              <w:rPr>
                <w:rFonts w:ascii="Times New Roman" w:hAnsi="Times New Roman" w:cs="Times New Roman"/>
                <w:sz w:val="24"/>
                <w:lang w:bidi="ar"/>
              </w:rPr>
              <w:t>项目除尘器收集的粉尘收集后回用于生产</w:t>
            </w:r>
            <w:r>
              <w:rPr>
                <w:rFonts w:hint="eastAsia" w:ascii="Times New Roman" w:hAnsi="Times New Roman" w:cs="Times New Roman"/>
                <w:sz w:val="24"/>
                <w:lang w:eastAsia="zh-CN" w:bidi="ar"/>
              </w:rPr>
              <w:t>，</w:t>
            </w:r>
            <w:r>
              <w:rPr>
                <w:rFonts w:ascii="Times New Roman" w:hAnsi="Times New Roman" w:cs="Times New Roman"/>
                <w:sz w:val="24"/>
                <w:lang w:bidi="ar"/>
              </w:rPr>
              <w:t>沉淀池底泥</w:t>
            </w:r>
            <w:r>
              <w:rPr>
                <w:rFonts w:hint="eastAsia" w:ascii="Times New Roman" w:hAnsi="Times New Roman" w:cs="Times New Roman"/>
                <w:sz w:val="24"/>
                <w:lang w:val="en-US" w:eastAsia="zh-CN" w:bidi="ar"/>
              </w:rPr>
              <w:t>外售处理</w:t>
            </w:r>
            <w:r>
              <w:rPr>
                <w:rFonts w:ascii="Times New Roman" w:hAnsi="Times New Roman" w:cs="Times New Roman"/>
                <w:sz w:val="24"/>
                <w:lang w:bidi="ar"/>
              </w:rPr>
              <w:t>；废机油、废</w:t>
            </w:r>
            <w:r>
              <w:rPr>
                <w:rFonts w:hint="eastAsia" w:ascii="Times New Roman" w:hAnsi="Times New Roman" w:cs="Times New Roman"/>
                <w:sz w:val="24"/>
                <w:lang w:val="en-US" w:eastAsia="zh-CN" w:bidi="ar"/>
              </w:rPr>
              <w:t>机油</w:t>
            </w:r>
            <w:r>
              <w:rPr>
                <w:rFonts w:ascii="Times New Roman" w:hAnsi="Times New Roman" w:cs="Times New Roman"/>
                <w:sz w:val="24"/>
                <w:lang w:bidi="ar"/>
              </w:rPr>
              <w:t>桶收集后暂存于危险废物暂存库内，由有资质单位进行处理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Align w:val="center"/>
          </w:tcPr>
          <w:p>
            <w:pPr>
              <w:adjustRightInd w:val="0"/>
              <w:snapToGrid w:val="0"/>
              <w:jc w:val="center"/>
              <w:rPr>
                <w:rFonts w:ascii="宋体" w:hAnsi="宋体" w:cs="宋体"/>
              </w:rPr>
            </w:pPr>
            <w:r>
              <w:rPr>
                <w:rFonts w:hint="eastAsia" w:ascii="宋体" w:hAnsi="宋体" w:cs="宋体"/>
              </w:rPr>
              <w:t>土壤及地下水</w:t>
            </w:r>
          </w:p>
          <w:p>
            <w:pPr>
              <w:adjustRightInd w:val="0"/>
              <w:snapToGrid w:val="0"/>
              <w:jc w:val="center"/>
              <w:rPr>
                <w:rFonts w:ascii="宋体" w:hAnsi="宋体" w:cs="宋体"/>
              </w:rPr>
            </w:pPr>
            <w:r>
              <w:rPr>
                <w:rFonts w:hint="eastAsia" w:ascii="宋体" w:hAnsi="宋体" w:cs="宋体"/>
              </w:rPr>
              <w:t>污染防治措施</w:t>
            </w:r>
          </w:p>
        </w:tc>
        <w:tc>
          <w:tcPr>
            <w:tcW w:w="7311" w:type="dxa"/>
            <w:gridSpan w:val="4"/>
            <w:vAlign w:val="center"/>
          </w:tcPr>
          <w:p>
            <w:pPr>
              <w:adjustRightInd w:val="0"/>
              <w:snapToGrid w:val="0"/>
              <w:rPr>
                <w:rFonts w:ascii="Times New Roman" w:hAnsi="Times New Roman" w:cs="Times New Roman"/>
                <w:sz w:val="24"/>
              </w:rPr>
            </w:pPr>
            <w:r>
              <w:rPr>
                <w:rFonts w:ascii="Times New Roman" w:hAnsi="Times New Roman" w:cs="Times New Roman"/>
                <w:sz w:val="24"/>
              </w:rPr>
              <w:t>分区防渗：</w:t>
            </w:r>
          </w:p>
          <w:p>
            <w:pPr>
              <w:adjustRightInd w:val="0"/>
              <w:snapToGrid w:val="0"/>
              <w:rPr>
                <w:rFonts w:ascii="Times New Roman" w:hAnsi="Times New Roman" w:cs="Times New Roman"/>
                <w:sz w:val="24"/>
              </w:rPr>
            </w:pPr>
            <w:r>
              <w:rPr>
                <w:rFonts w:ascii="Times New Roman" w:hAnsi="Times New Roman" w:cs="Times New Roman"/>
                <w:sz w:val="24"/>
              </w:rPr>
              <w:t>（1）重点防渗：基础必须防渗，防渗层为至少</w:t>
            </w:r>
            <w:r>
              <w:rPr>
                <w:rFonts w:hint="eastAsia" w:cs="Times New Roman"/>
                <w:sz w:val="24"/>
                <w:lang w:val="en-US" w:eastAsia="zh-CN"/>
              </w:rPr>
              <w:t>6</w:t>
            </w:r>
            <w:r>
              <w:rPr>
                <w:rFonts w:ascii="Times New Roman" w:hAnsi="Times New Roman" w:cs="Times New Roman"/>
                <w:sz w:val="24"/>
              </w:rPr>
              <w:t>米厚粘土层（渗透系数≤10</w:t>
            </w:r>
            <w:r>
              <w:rPr>
                <w:rFonts w:ascii="Times New Roman" w:hAnsi="Times New Roman" w:cs="Times New Roman"/>
                <w:sz w:val="24"/>
                <w:vertAlign w:val="superscript"/>
              </w:rPr>
              <w:t>-7</w:t>
            </w:r>
            <w:r>
              <w:rPr>
                <w:rFonts w:ascii="Times New Roman" w:hAnsi="Times New Roman" w:cs="Times New Roman"/>
                <w:sz w:val="24"/>
              </w:rPr>
              <w:t>cm/s），或2mm厚高密度聚乙烯，或至少2mm厚的其它人工材料，渗透系数≤10</w:t>
            </w:r>
            <w:r>
              <w:rPr>
                <w:rFonts w:ascii="Times New Roman" w:hAnsi="Times New Roman" w:cs="Times New Roman"/>
                <w:sz w:val="24"/>
                <w:vertAlign w:val="superscript"/>
              </w:rPr>
              <w:t>-10</w:t>
            </w:r>
            <w:r>
              <w:rPr>
                <w:rFonts w:ascii="Times New Roman" w:hAnsi="Times New Roman" w:cs="Times New Roman"/>
                <w:sz w:val="24"/>
              </w:rPr>
              <w:t>cm/s</w:t>
            </w:r>
          </w:p>
          <w:p>
            <w:pPr>
              <w:adjustRightInd w:val="0"/>
              <w:snapToGrid w:val="0"/>
              <w:jc w:val="center"/>
              <w:rPr>
                <w:rFonts w:ascii="Times New Roman" w:hAnsi="Times New Roman" w:eastAsia="宋体" w:cs="Times New Roman"/>
                <w:kern w:val="2"/>
                <w:sz w:val="24"/>
                <w:szCs w:val="24"/>
                <w:lang w:val="en-US" w:eastAsia="zh-CN" w:bidi="ar-SA"/>
              </w:rPr>
            </w:pPr>
            <w:r>
              <w:rPr>
                <w:rFonts w:ascii="Times New Roman" w:hAnsi="Times New Roman" w:cs="Times New Roman"/>
                <w:sz w:val="24"/>
              </w:rPr>
              <w:t>（2）一般防渗：采用天然或人工材料构筑防渗层，防渗层的厚度应相当于渗透系数1.0×10</w:t>
            </w:r>
            <w:r>
              <w:rPr>
                <w:rFonts w:ascii="Times New Roman" w:hAnsi="Times New Roman" w:cs="Times New Roman"/>
                <w:sz w:val="24"/>
                <w:vertAlign w:val="superscript"/>
              </w:rPr>
              <w:t>-7</w:t>
            </w:r>
            <w:r>
              <w:rPr>
                <w:rFonts w:ascii="Times New Roman" w:hAnsi="Times New Roman" w:cs="Times New Roman"/>
                <w:sz w:val="24"/>
              </w:rPr>
              <w:t>cm/s和厚度</w:t>
            </w:r>
            <w:r>
              <w:rPr>
                <w:rFonts w:hint="eastAsia" w:cs="Times New Roman"/>
                <w:sz w:val="24"/>
                <w:lang w:val="en-US" w:eastAsia="zh-CN"/>
              </w:rPr>
              <w:t>1.</w:t>
            </w:r>
            <w:r>
              <w:rPr>
                <w:rFonts w:ascii="Times New Roman" w:hAnsi="Times New Roman" w:cs="Times New Roman"/>
                <w:sz w:val="24"/>
              </w:rPr>
              <w:t>5m的粘土层的防渗性能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Align w:val="center"/>
          </w:tcPr>
          <w:p>
            <w:pPr>
              <w:adjustRightInd w:val="0"/>
              <w:snapToGrid w:val="0"/>
              <w:jc w:val="center"/>
              <w:rPr>
                <w:rFonts w:ascii="宋体" w:hAnsi="宋体" w:cs="宋体"/>
              </w:rPr>
            </w:pPr>
            <w:r>
              <w:rPr>
                <w:rFonts w:hint="eastAsia" w:ascii="宋体" w:hAnsi="宋体" w:cs="宋体"/>
              </w:rPr>
              <w:t>生态保护措施</w:t>
            </w:r>
          </w:p>
        </w:tc>
        <w:tc>
          <w:tcPr>
            <w:tcW w:w="7311" w:type="dxa"/>
            <w:gridSpan w:val="4"/>
            <w:vAlign w:val="center"/>
          </w:tcPr>
          <w:p>
            <w:pPr>
              <w:adjustRightInd w:val="0"/>
              <w:snapToGrid w:val="0"/>
              <w:jc w:val="left"/>
              <w:rPr>
                <w:rFonts w:ascii="宋体" w:hAnsi="宋体" w:cs="宋体"/>
              </w:rPr>
            </w:pPr>
            <w:r>
              <w:rPr>
                <w:color w:val="000000"/>
              </w:rPr>
              <w:t>项目区域附近无自然保护区，人文景观和名胜古迹等环境敏感点，周围没有需要特殊保护的生态环境。项目建设不会对周围生态环境造成影响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Align w:val="center"/>
          </w:tcPr>
          <w:p>
            <w:pPr>
              <w:adjustRightInd w:val="0"/>
              <w:snapToGrid w:val="0"/>
              <w:jc w:val="center"/>
              <w:rPr>
                <w:rFonts w:ascii="宋体" w:hAnsi="宋体" w:cs="宋体"/>
              </w:rPr>
            </w:pPr>
            <w:r>
              <w:rPr>
                <w:rFonts w:hint="eastAsia" w:ascii="宋体" w:hAnsi="宋体" w:cs="宋体"/>
              </w:rPr>
              <w:t>环境风险</w:t>
            </w:r>
          </w:p>
          <w:p>
            <w:pPr>
              <w:adjustRightInd w:val="0"/>
              <w:snapToGrid w:val="0"/>
              <w:jc w:val="center"/>
              <w:rPr>
                <w:rFonts w:ascii="宋体" w:hAnsi="宋体" w:cs="宋体"/>
              </w:rPr>
            </w:pPr>
            <w:r>
              <w:rPr>
                <w:rFonts w:hint="eastAsia" w:ascii="宋体" w:hAnsi="宋体" w:cs="宋体"/>
              </w:rPr>
              <w:t>防范措施</w:t>
            </w:r>
          </w:p>
        </w:tc>
        <w:tc>
          <w:tcPr>
            <w:tcW w:w="7311" w:type="dxa"/>
            <w:gridSpan w:val="4"/>
            <w:vAlign w:val="center"/>
          </w:tcPr>
          <w:p>
            <w:pPr>
              <w:adjustRightInd w:val="0"/>
              <w:snapToGrid w:val="0"/>
              <w:rPr>
                <w:rFonts w:cs="宋体"/>
                <w:lang w:bidi="ar"/>
              </w:rPr>
            </w:pPr>
            <w:r>
              <w:rPr>
                <w:rFonts w:hint="default" w:cs="宋体"/>
                <w:lang w:val="en-US" w:eastAsia="zh-CN" w:bidi="ar"/>
              </w:rPr>
              <w:t>合理安全储存危险物质，定期对</w:t>
            </w:r>
            <w:r>
              <w:rPr>
                <w:rFonts w:hint="eastAsia" w:cs="宋体"/>
                <w:lang w:val="en-US" w:eastAsia="zh-CN" w:bidi="ar"/>
              </w:rPr>
              <w:t>筒仓、搅拌机</w:t>
            </w:r>
            <w:r>
              <w:rPr>
                <w:rFonts w:hint="default" w:cs="宋体"/>
                <w:lang w:val="en-US" w:eastAsia="zh-CN" w:bidi="ar"/>
              </w:rPr>
              <w:t>等</w:t>
            </w:r>
            <w:r>
              <w:rPr>
                <w:rFonts w:hint="eastAsia" w:cs="宋体"/>
                <w:lang w:val="en-US" w:eastAsia="zh-CN" w:bidi="ar"/>
              </w:rPr>
              <w:t>设备</w:t>
            </w:r>
            <w:r>
              <w:rPr>
                <w:rFonts w:hint="default" w:cs="宋体"/>
                <w:lang w:val="en-US" w:eastAsia="zh-CN" w:bidi="ar"/>
              </w:rPr>
              <w:t>进行安全状况检查，车间内配置相应的消防设备、设施和灭火药剂；制定严格的运行操作规章制度，发生火灾、爆炸事故后，灭火的同时疏散周边无关人员；制定应急预案等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Align w:val="center"/>
          </w:tcPr>
          <w:p>
            <w:pPr>
              <w:adjustRightInd w:val="0"/>
              <w:snapToGrid w:val="0"/>
              <w:jc w:val="center"/>
              <w:rPr>
                <w:rFonts w:ascii="宋体" w:hAnsi="宋体" w:cs="宋体"/>
              </w:rPr>
            </w:pPr>
            <w:r>
              <w:rPr>
                <w:rFonts w:hint="eastAsia" w:ascii="宋体" w:hAnsi="宋体" w:cs="宋体"/>
              </w:rPr>
              <w:t>其他环境</w:t>
            </w:r>
          </w:p>
          <w:p>
            <w:pPr>
              <w:adjustRightInd w:val="0"/>
              <w:snapToGrid w:val="0"/>
              <w:jc w:val="center"/>
              <w:rPr>
                <w:rFonts w:ascii="宋体" w:hAnsi="宋体" w:cs="宋体"/>
              </w:rPr>
            </w:pPr>
            <w:r>
              <w:rPr>
                <w:rFonts w:hint="eastAsia" w:ascii="宋体" w:hAnsi="宋体" w:cs="宋体"/>
              </w:rPr>
              <w:t>管理要求</w:t>
            </w:r>
          </w:p>
        </w:tc>
        <w:tc>
          <w:tcPr>
            <w:tcW w:w="731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b/>
                <w:bCs/>
              </w:rPr>
            </w:pPr>
            <w:r>
              <w:rPr>
                <w:b/>
                <w:bCs/>
              </w:rPr>
              <w:t>1、排放口规范化及信息公开化</w:t>
            </w:r>
          </w:p>
          <w:p>
            <w:pPr>
              <w:adjustRightInd w:val="0"/>
              <w:snapToGrid w:val="0"/>
              <w:spacing w:line="360" w:lineRule="auto"/>
              <w:ind w:firstLine="480" w:firstLineChars="200"/>
              <w:jc w:val="left"/>
            </w:pPr>
            <w:r>
              <w:t>根据《关于开展排放口规范化整治工作的通知》（环发</w:t>
            </w:r>
            <w:r>
              <w:rPr>
                <w:rFonts w:hint="eastAsia"/>
              </w:rPr>
              <w:t>【1999】</w:t>
            </w:r>
            <w:r>
              <w:t>24号）、《排污口规范化整治技术要求》（环监</w:t>
            </w:r>
            <w:r>
              <w:rPr>
                <w:rFonts w:hint="eastAsia"/>
              </w:rPr>
              <w:t>【1996】</w:t>
            </w:r>
            <w:r>
              <w:t>470号）、《固定污染源废气监测点位设置技术规范》（DB37/T 3535-2019）等规定的要求，一切新建、改造、扩建的排污单位以及限期治理的排污单位必须在建设污染治理设施的同时，建设规范化排放口。因此，建设项目产生的各类污染物的排放口必须规范化，并且规范化工作的完成必须与污染治理设施同步。</w:t>
            </w:r>
          </w:p>
          <w:p>
            <w:pPr>
              <w:adjustRightInd w:val="0"/>
              <w:snapToGrid w:val="0"/>
              <w:spacing w:line="360" w:lineRule="auto"/>
              <w:ind w:firstLine="482" w:firstLineChars="200"/>
              <w:jc w:val="left"/>
              <w:rPr>
                <w:b/>
                <w:bCs/>
              </w:rPr>
            </w:pPr>
            <w:r>
              <w:rPr>
                <w:b/>
                <w:bCs/>
              </w:rPr>
              <w:t>2、排污许可衔接</w:t>
            </w:r>
          </w:p>
          <w:p>
            <w:pPr>
              <w:pStyle w:val="67"/>
              <w:snapToGrid w:val="0"/>
              <w:spacing w:line="360" w:lineRule="auto"/>
              <w:ind w:firstLine="480" w:firstLineChars="200"/>
              <w:rPr>
                <w:color w:val="auto"/>
              </w:rPr>
            </w:pPr>
            <w:r>
              <w:t>根</w:t>
            </w:r>
            <w:r>
              <w:rPr>
                <w:color w:val="auto"/>
              </w:rPr>
              <w:t>据《固定污染源排污许可分类管理名录》（2019年版），本项目属于</w:t>
            </w:r>
            <w:r>
              <w:rPr>
                <w:rFonts w:hint="eastAsia" w:ascii="宋体" w:hAnsi="宋体" w:cs="宋体"/>
                <w:color w:val="auto"/>
              </w:rPr>
              <w:t>“</w:t>
            </w:r>
            <w:r>
              <w:rPr>
                <w:rFonts w:hint="eastAsia" w:ascii="宋体" w:hAnsi="宋体" w:cs="宋体"/>
                <w:color w:val="auto"/>
                <w:lang w:val="en-US" w:eastAsia="zh-CN"/>
              </w:rPr>
              <w:t>二</w:t>
            </w:r>
            <w:r>
              <w:rPr>
                <w:rFonts w:hint="eastAsia" w:ascii="宋体" w:hAnsi="宋体" w:cs="宋体"/>
                <w:color w:val="auto"/>
              </w:rPr>
              <w:t>十</w:t>
            </w:r>
            <w:r>
              <w:rPr>
                <w:rFonts w:hint="eastAsia" w:ascii="宋体" w:hAnsi="宋体" w:cs="宋体"/>
                <w:color w:val="auto"/>
                <w:lang w:val="en-US" w:eastAsia="zh-CN"/>
              </w:rPr>
              <w:t>五</w:t>
            </w:r>
            <w:r>
              <w:rPr>
                <w:rFonts w:hint="eastAsia" w:ascii="宋体" w:hAnsi="宋体" w:cs="宋体"/>
                <w:color w:val="auto"/>
              </w:rPr>
              <w:t>、</w:t>
            </w:r>
            <w:r>
              <w:rPr>
                <w:rFonts w:hint="eastAsia" w:ascii="宋体" w:hAnsi="宋体" w:cs="宋体"/>
                <w:color w:val="auto"/>
                <w:lang w:val="en-US" w:eastAsia="zh-CN"/>
              </w:rPr>
              <w:t>非金属矿物制品业</w:t>
            </w:r>
            <w:r>
              <w:rPr>
                <w:color w:val="auto"/>
              </w:rPr>
              <w:t xml:space="preserve"> </w:t>
            </w:r>
            <w:r>
              <w:rPr>
                <w:rFonts w:hint="eastAsia"/>
                <w:color w:val="auto"/>
                <w:lang w:val="en-US" w:eastAsia="zh-CN"/>
              </w:rPr>
              <w:t>6</w:t>
            </w:r>
            <w:r>
              <w:rPr>
                <w:rFonts w:hint="eastAsia"/>
                <w:color w:val="auto"/>
              </w:rPr>
              <w:t>4</w:t>
            </w:r>
            <w:r>
              <w:rPr>
                <w:color w:val="auto"/>
              </w:rPr>
              <w:t>.</w:t>
            </w:r>
            <w:r>
              <w:rPr>
                <w:rFonts w:hint="eastAsia"/>
                <w:color w:val="auto"/>
                <w:lang w:val="en-US" w:eastAsia="zh-CN"/>
              </w:rPr>
              <w:t>水泥、石灰和石膏制造301，石膏、水泥制品及类似制品制造302</w:t>
            </w:r>
            <w:r>
              <w:rPr>
                <w:rFonts w:hint="eastAsia" w:ascii="宋体" w:hAnsi="宋体" w:cs="宋体"/>
                <w:color w:val="auto"/>
              </w:rPr>
              <w:t>”</w:t>
            </w:r>
            <w:r>
              <w:rPr>
                <w:rFonts w:hint="eastAsia"/>
                <w:color w:val="auto"/>
              </w:rPr>
              <w:t>，</w:t>
            </w:r>
            <w:r>
              <w:rPr>
                <w:color w:val="auto"/>
              </w:rPr>
              <w:t>本项目属于</w:t>
            </w:r>
            <w:r>
              <w:rPr>
                <w:rFonts w:hint="eastAsia"/>
                <w:color w:val="auto"/>
                <w:lang w:eastAsia="zh-CN"/>
              </w:rPr>
              <w:t>“</w:t>
            </w:r>
            <w:r>
              <w:rPr>
                <w:rFonts w:hint="eastAsia"/>
                <w:color w:val="auto"/>
                <w:lang w:val="en-US" w:eastAsia="zh-CN"/>
              </w:rPr>
              <w:t>其他水泥类似制品制造3029</w:t>
            </w:r>
            <w:r>
              <w:rPr>
                <w:rFonts w:hint="eastAsia"/>
                <w:color w:val="auto"/>
                <w:lang w:eastAsia="zh-CN"/>
              </w:rPr>
              <w:t>”</w:t>
            </w:r>
            <w:r>
              <w:rPr>
                <w:color w:val="auto"/>
              </w:rPr>
              <w:t>，排污许可实行</w:t>
            </w:r>
            <w:r>
              <w:rPr>
                <w:rFonts w:hint="eastAsia"/>
                <w:color w:val="auto"/>
              </w:rPr>
              <w:t>登记管理</w:t>
            </w:r>
            <w:r>
              <w:rPr>
                <w:color w:val="auto"/>
              </w:rPr>
              <w:t>。</w:t>
            </w:r>
            <w:r>
              <w:rPr>
                <w:rFonts w:hint="eastAsia"/>
                <w:color w:val="auto"/>
              </w:rPr>
              <w:t>要求企业在建成正式投产排污前取得排污许可证，并在取得排污许可证后按照排污许可证申请与核发技术规范相关要求履行自行检测、台账管理、执行报告等手续。</w:t>
            </w:r>
          </w:p>
          <w:p>
            <w:pPr>
              <w:adjustRightInd w:val="0"/>
              <w:snapToGrid w:val="0"/>
              <w:spacing w:line="360" w:lineRule="auto"/>
              <w:ind w:firstLine="482" w:firstLineChars="200"/>
              <w:jc w:val="left"/>
              <w:rPr>
                <w:b/>
                <w:bCs/>
              </w:rPr>
            </w:pPr>
            <w:r>
              <w:rPr>
                <w:b/>
                <w:bCs/>
              </w:rPr>
              <w:t>3、竣工环境保护设施验收</w:t>
            </w:r>
          </w:p>
          <w:p>
            <w:pPr>
              <w:adjustRightInd w:val="0"/>
              <w:snapToGrid w:val="0"/>
              <w:spacing w:line="360" w:lineRule="auto"/>
              <w:ind w:firstLine="480" w:firstLineChars="200"/>
              <w:jc w:val="left"/>
              <w:rPr>
                <w:rFonts w:hint="eastAsia"/>
                <w:lang w:val="en-US" w:eastAsia="zh-CN"/>
              </w:rPr>
            </w:pPr>
            <w:r>
              <w:t>根据《建设项目竣工环境保护验收暂行办法》的规定，建设项目竣工后，建设单位应当如实查验、监测、记载建设项目环境保护设施的建设和调试情况，编制验收监测报告。</w:t>
            </w:r>
          </w:p>
          <w:p>
            <w:pPr>
              <w:adjustRightInd w:val="0"/>
              <w:snapToGrid w:val="0"/>
              <w:spacing w:line="360" w:lineRule="auto"/>
              <w:ind w:firstLine="480" w:firstLineChars="200"/>
              <w:jc w:val="left"/>
              <w:rPr>
                <w:rFonts w:hint="eastAsia"/>
                <w:lang w:val="en-US" w:eastAsia="zh-CN"/>
              </w:rPr>
            </w:pPr>
          </w:p>
          <w:p>
            <w:pPr>
              <w:adjustRightInd w:val="0"/>
              <w:snapToGrid w:val="0"/>
              <w:spacing w:line="360" w:lineRule="auto"/>
              <w:ind w:firstLine="480" w:firstLineChars="200"/>
              <w:jc w:val="left"/>
              <w:rPr>
                <w:rFonts w:hint="eastAsia"/>
                <w:lang w:val="en-US" w:eastAsia="zh-CN"/>
              </w:rPr>
            </w:pPr>
          </w:p>
          <w:p>
            <w:pPr>
              <w:adjustRightInd w:val="0"/>
              <w:snapToGrid w:val="0"/>
              <w:spacing w:line="360" w:lineRule="auto"/>
              <w:ind w:firstLine="480" w:firstLineChars="200"/>
              <w:jc w:val="left"/>
              <w:rPr>
                <w:rFonts w:hint="default" w:ascii="宋体" w:hAnsi="宋体" w:eastAsia="宋体" w:cs="宋体"/>
                <w:lang w:val="en-US" w:eastAsia="zh-CN"/>
              </w:rPr>
            </w:pPr>
          </w:p>
        </w:tc>
      </w:tr>
    </w:tbl>
    <w:p>
      <w:pPr>
        <w:pStyle w:val="24"/>
        <w:jc w:val="center"/>
        <w:outlineLvl w:val="0"/>
        <w:rPr>
          <w:rFonts w:hint="eastAsia" w:ascii="黑体" w:hAnsi="黑体" w:eastAsia="黑体"/>
          <w:snapToGrid w:val="0"/>
          <w:sz w:val="30"/>
          <w:szCs w:val="30"/>
        </w:rPr>
      </w:pPr>
      <w:r>
        <w:rPr>
          <w:rFonts w:hint="eastAsia" w:ascii="黑体" w:hAnsi="黑体" w:eastAsia="黑体"/>
          <w:snapToGrid w:val="0"/>
          <w:sz w:val="30"/>
          <w:szCs w:val="30"/>
        </w:rPr>
        <w:t>六、结论</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991" w:hRule="atLeast"/>
          <w:jc w:val="center"/>
        </w:trPr>
        <w:tc>
          <w:tcPr>
            <w:tcW w:w="8865" w:type="dxa"/>
          </w:tcPr>
          <w:p>
            <w:pPr>
              <w:adjustRightInd w:val="0"/>
              <w:snapToGrid w:val="0"/>
              <w:spacing w:before="120" w:beforeLines="50" w:line="360" w:lineRule="auto"/>
              <w:ind w:firstLine="480" w:firstLineChars="200"/>
              <w:jc w:val="left"/>
            </w:pPr>
            <w:r>
              <w:rPr>
                <w:rFonts w:hint="eastAsia"/>
              </w:rPr>
              <w:t>本项目的建设符合国家和地方产业政策要求，项目选址符合当地规划要求。项目运行期产生的污染物在采取了本报告表提出的防治措施并严格落实后，可保证污染物稳定达标排放。因此，从环境保护的角度分析，本项目的建设是可行的。</w:t>
            </w:r>
          </w:p>
          <w:p>
            <w:pPr>
              <w:adjustRightInd w:val="0"/>
              <w:snapToGrid w:val="0"/>
              <w:spacing w:before="120" w:beforeLines="50" w:line="360" w:lineRule="auto"/>
              <w:ind w:firstLine="480" w:firstLineChars="200"/>
              <w:jc w:val="left"/>
            </w:pPr>
          </w:p>
          <w:p>
            <w:pPr>
              <w:adjustRightInd w:val="0"/>
              <w:snapToGrid w:val="0"/>
              <w:spacing w:before="120" w:beforeLines="50" w:line="360" w:lineRule="auto"/>
              <w:ind w:firstLine="480" w:firstLineChars="200"/>
              <w:jc w:val="left"/>
            </w:pPr>
          </w:p>
          <w:p>
            <w:pPr>
              <w:adjustRightInd w:val="0"/>
              <w:snapToGrid w:val="0"/>
              <w:spacing w:before="120" w:beforeLines="50" w:line="360" w:lineRule="auto"/>
              <w:ind w:firstLine="480" w:firstLineChars="200"/>
              <w:jc w:val="left"/>
            </w:pPr>
          </w:p>
          <w:p>
            <w:pPr>
              <w:adjustRightInd w:val="0"/>
              <w:snapToGrid w:val="0"/>
              <w:spacing w:before="120" w:beforeLines="50" w:line="360" w:lineRule="auto"/>
              <w:ind w:firstLine="480" w:firstLineChars="200"/>
              <w:jc w:val="left"/>
            </w:pPr>
          </w:p>
          <w:p>
            <w:pPr>
              <w:adjustRightInd w:val="0"/>
              <w:snapToGrid w:val="0"/>
              <w:spacing w:before="120" w:beforeLines="50" w:line="360" w:lineRule="auto"/>
              <w:ind w:firstLine="480" w:firstLineChars="200"/>
              <w:jc w:val="left"/>
            </w:pPr>
          </w:p>
          <w:p>
            <w:pPr>
              <w:adjustRightInd w:val="0"/>
              <w:snapToGrid w:val="0"/>
              <w:spacing w:before="120" w:beforeLines="50" w:line="360" w:lineRule="auto"/>
              <w:ind w:firstLine="480" w:firstLineChars="200"/>
              <w:jc w:val="left"/>
            </w:pPr>
          </w:p>
          <w:p>
            <w:pPr>
              <w:adjustRightInd w:val="0"/>
              <w:snapToGrid w:val="0"/>
              <w:spacing w:before="120" w:beforeLines="50" w:line="360" w:lineRule="auto"/>
              <w:ind w:firstLine="480" w:firstLineChars="200"/>
              <w:jc w:val="left"/>
            </w:pPr>
          </w:p>
          <w:p>
            <w:pPr>
              <w:adjustRightInd w:val="0"/>
              <w:snapToGrid w:val="0"/>
              <w:spacing w:before="120" w:beforeLines="50" w:line="360" w:lineRule="auto"/>
              <w:ind w:firstLine="480" w:firstLineChars="200"/>
              <w:jc w:val="left"/>
            </w:pPr>
          </w:p>
          <w:p>
            <w:pPr>
              <w:adjustRightInd w:val="0"/>
              <w:snapToGrid w:val="0"/>
              <w:spacing w:before="120" w:beforeLines="50" w:line="360" w:lineRule="auto"/>
              <w:ind w:firstLine="480" w:firstLineChars="200"/>
              <w:jc w:val="left"/>
            </w:pPr>
          </w:p>
          <w:p>
            <w:pPr>
              <w:adjustRightInd w:val="0"/>
              <w:snapToGrid w:val="0"/>
              <w:spacing w:before="120" w:beforeLines="50" w:line="360" w:lineRule="auto"/>
              <w:ind w:firstLine="480" w:firstLineChars="200"/>
              <w:jc w:val="left"/>
            </w:pPr>
          </w:p>
          <w:p>
            <w:pPr>
              <w:adjustRightInd w:val="0"/>
              <w:snapToGrid w:val="0"/>
              <w:spacing w:before="120" w:beforeLines="50" w:line="360" w:lineRule="auto"/>
              <w:ind w:firstLine="480" w:firstLineChars="200"/>
              <w:jc w:val="left"/>
            </w:pPr>
          </w:p>
          <w:p>
            <w:pPr>
              <w:adjustRightInd w:val="0"/>
              <w:snapToGrid w:val="0"/>
              <w:spacing w:before="120" w:beforeLines="50" w:line="360" w:lineRule="auto"/>
              <w:ind w:firstLine="480" w:firstLineChars="200"/>
              <w:jc w:val="left"/>
            </w:pPr>
          </w:p>
          <w:p>
            <w:pPr>
              <w:adjustRightInd w:val="0"/>
              <w:snapToGrid w:val="0"/>
              <w:spacing w:before="120" w:beforeLines="50" w:line="360" w:lineRule="auto"/>
              <w:ind w:firstLine="480" w:firstLineChars="200"/>
              <w:jc w:val="left"/>
            </w:pPr>
          </w:p>
          <w:p>
            <w:pPr>
              <w:adjustRightInd w:val="0"/>
              <w:snapToGrid w:val="0"/>
              <w:spacing w:before="120" w:beforeLines="50" w:line="360" w:lineRule="auto"/>
              <w:ind w:firstLine="480" w:firstLineChars="200"/>
              <w:jc w:val="left"/>
            </w:pPr>
          </w:p>
          <w:p>
            <w:pPr>
              <w:adjustRightInd w:val="0"/>
              <w:snapToGrid w:val="0"/>
              <w:spacing w:before="120" w:beforeLines="50" w:line="360" w:lineRule="auto"/>
              <w:ind w:firstLine="480" w:firstLineChars="200"/>
              <w:jc w:val="left"/>
            </w:pPr>
          </w:p>
          <w:p>
            <w:pPr>
              <w:adjustRightInd w:val="0"/>
              <w:snapToGrid w:val="0"/>
              <w:spacing w:before="120" w:beforeLines="50" w:line="360" w:lineRule="auto"/>
              <w:ind w:firstLine="480" w:firstLineChars="200"/>
              <w:jc w:val="left"/>
            </w:pPr>
          </w:p>
          <w:p>
            <w:pPr>
              <w:adjustRightInd w:val="0"/>
              <w:snapToGrid w:val="0"/>
              <w:spacing w:before="120" w:beforeLines="50" w:line="360" w:lineRule="auto"/>
              <w:ind w:firstLine="480" w:firstLineChars="200"/>
              <w:jc w:val="left"/>
            </w:pPr>
          </w:p>
          <w:p>
            <w:pPr>
              <w:adjustRightInd w:val="0"/>
              <w:snapToGrid w:val="0"/>
              <w:spacing w:before="120" w:beforeLines="50" w:line="360" w:lineRule="auto"/>
              <w:ind w:firstLine="480" w:firstLineChars="200"/>
              <w:jc w:val="left"/>
            </w:pPr>
          </w:p>
          <w:p>
            <w:pPr>
              <w:adjustRightInd w:val="0"/>
              <w:snapToGrid w:val="0"/>
              <w:spacing w:before="120" w:beforeLines="50" w:line="360" w:lineRule="auto"/>
              <w:jc w:val="left"/>
              <w:rPr>
                <w:rFonts w:hint="eastAsia"/>
                <w:lang w:val="en-US" w:eastAsia="zh-CN"/>
              </w:rPr>
            </w:pPr>
          </w:p>
          <w:p>
            <w:pPr>
              <w:adjustRightInd w:val="0"/>
              <w:snapToGrid w:val="0"/>
              <w:spacing w:before="120" w:beforeLines="50" w:line="360" w:lineRule="auto"/>
              <w:jc w:val="left"/>
              <w:rPr>
                <w:rFonts w:hint="default" w:eastAsia="宋体"/>
                <w:lang w:val="en-US" w:eastAsia="zh-CN"/>
              </w:rPr>
            </w:pPr>
          </w:p>
        </w:tc>
      </w:tr>
    </w:tbl>
    <w:p>
      <w:pPr>
        <w:rPr>
          <w:rFonts w:ascii="宋体"/>
        </w:rPr>
        <w:sectPr>
          <w:pgSz w:w="11906" w:h="16838"/>
          <w:pgMar w:top="1701" w:right="1531" w:bottom="1701" w:left="1531" w:header="851" w:footer="851" w:gutter="0"/>
          <w:cols w:space="720" w:num="1"/>
          <w:docGrid w:linePitch="312" w:charSpace="0"/>
        </w:sectPr>
      </w:pPr>
    </w:p>
    <w:p>
      <w:pPr>
        <w:pStyle w:val="24"/>
        <w:adjustRightInd w:val="0"/>
        <w:snapToGrid w:val="0"/>
        <w:spacing w:before="0" w:beforeAutospacing="0" w:after="0" w:afterAutospacing="0" w:line="648" w:lineRule="auto"/>
        <w:rPr>
          <w:rFonts w:ascii="黑体" w:hAnsi="黑体" w:eastAsia="黑体"/>
          <w:snapToGrid w:val="0"/>
          <w:sz w:val="32"/>
          <w:szCs w:val="32"/>
        </w:rPr>
      </w:pPr>
      <w:r>
        <w:rPr>
          <w:rFonts w:hint="eastAsia" w:ascii="黑体" w:hAnsi="黑体" w:eastAsia="黑体"/>
          <w:snapToGrid w:val="0"/>
          <w:sz w:val="32"/>
          <w:szCs w:val="32"/>
        </w:rPr>
        <w:t>附表</w:t>
      </w:r>
    </w:p>
    <w:p>
      <w:pPr>
        <w:pStyle w:val="24"/>
        <w:adjustRightInd w:val="0"/>
        <w:snapToGrid w:val="0"/>
        <w:spacing w:before="0" w:beforeAutospacing="0" w:after="0" w:afterAutospacing="0"/>
        <w:jc w:val="center"/>
        <w:rPr>
          <w:rFonts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26"/>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451"/>
        <w:gridCol w:w="1664"/>
        <w:gridCol w:w="1250"/>
        <w:gridCol w:w="1664"/>
        <w:gridCol w:w="1525"/>
        <w:gridCol w:w="1578"/>
        <w:gridCol w:w="1629"/>
        <w:gridCol w:w="12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9" w:type="dxa"/>
            <w:tcBorders>
              <w:tl2br w:val="single" w:color="auto" w:sz="4" w:space="0"/>
            </w:tcBorders>
            <w:tcMar>
              <w:left w:w="28" w:type="dxa"/>
              <w:right w:w="28" w:type="dxa"/>
            </w:tcMar>
            <w:vAlign w:val="center"/>
          </w:tcPr>
          <w:p>
            <w:pPr>
              <w:pStyle w:val="48"/>
              <w:spacing w:beforeLines="0" w:afterLines="0" w:line="240" w:lineRule="auto"/>
              <w:jc w:val="right"/>
              <w:rPr>
                <w:rFonts w:ascii="黑体" w:hAnsi="黑体" w:eastAsia="黑体" w:cs="宋体"/>
                <w:snapToGrid w:val="0"/>
                <w:spacing w:val="-6"/>
                <w:kern w:val="21"/>
                <w:szCs w:val="24"/>
              </w:rPr>
            </w:pPr>
            <w:r>
              <w:rPr>
                <w:rFonts w:hint="eastAsia" w:ascii="黑体" w:hAnsi="黑体" w:eastAsia="黑体" w:cs="宋体"/>
                <w:snapToGrid w:val="0"/>
                <w:spacing w:val="-6"/>
                <w:kern w:val="21"/>
                <w:szCs w:val="24"/>
              </w:rPr>
              <w:t>项目</w:t>
            </w:r>
          </w:p>
          <w:p>
            <w:pPr>
              <w:pStyle w:val="48"/>
              <w:spacing w:beforeLines="0" w:afterLines="0" w:line="240" w:lineRule="auto"/>
              <w:jc w:val="left"/>
              <w:rPr>
                <w:rFonts w:ascii="黑体" w:hAnsi="黑体" w:eastAsia="黑体" w:cs="宋体"/>
                <w:snapToGrid w:val="0"/>
                <w:spacing w:val="-6"/>
                <w:kern w:val="21"/>
                <w:szCs w:val="24"/>
              </w:rPr>
            </w:pPr>
            <w:r>
              <w:rPr>
                <w:rFonts w:hint="eastAsia" w:ascii="黑体" w:hAnsi="黑体" w:eastAsia="黑体" w:cs="宋体"/>
                <w:snapToGrid w:val="0"/>
                <w:spacing w:val="-6"/>
                <w:kern w:val="21"/>
                <w:szCs w:val="24"/>
              </w:rPr>
              <w:t>分类</w:t>
            </w:r>
          </w:p>
        </w:tc>
        <w:tc>
          <w:tcPr>
            <w:tcW w:w="1451" w:type="dxa"/>
            <w:tcMar>
              <w:left w:w="28" w:type="dxa"/>
              <w:right w:w="28" w:type="dxa"/>
            </w:tcMar>
            <w:vAlign w:val="center"/>
          </w:tcPr>
          <w:p>
            <w:pPr>
              <w:pStyle w:val="48"/>
              <w:spacing w:beforeLines="0" w:afterLines="0" w:line="240" w:lineRule="auto"/>
              <w:rPr>
                <w:rFonts w:ascii="黑体" w:hAnsi="黑体" w:eastAsia="黑体" w:cs="宋体"/>
                <w:snapToGrid w:val="0"/>
                <w:spacing w:val="-6"/>
                <w:kern w:val="21"/>
                <w:szCs w:val="24"/>
              </w:rPr>
            </w:pPr>
            <w:r>
              <w:rPr>
                <w:rFonts w:hint="eastAsia" w:ascii="黑体" w:hAnsi="黑体" w:eastAsia="黑体" w:cs="宋体"/>
                <w:snapToGrid w:val="0"/>
                <w:spacing w:val="-6"/>
                <w:kern w:val="21"/>
                <w:szCs w:val="24"/>
              </w:rPr>
              <w:t>污染物名称</w:t>
            </w:r>
          </w:p>
        </w:tc>
        <w:tc>
          <w:tcPr>
            <w:tcW w:w="1664" w:type="dxa"/>
            <w:tcMar>
              <w:left w:w="28" w:type="dxa"/>
              <w:right w:w="28" w:type="dxa"/>
            </w:tcMar>
            <w:vAlign w:val="center"/>
          </w:tcPr>
          <w:p>
            <w:pPr>
              <w:pStyle w:val="48"/>
              <w:spacing w:beforeLines="0" w:afterLines="0" w:line="240" w:lineRule="auto"/>
              <w:rPr>
                <w:rFonts w:ascii="黑体" w:hAnsi="黑体" w:eastAsia="黑体"/>
                <w:snapToGrid w:val="0"/>
                <w:spacing w:val="-6"/>
                <w:kern w:val="21"/>
                <w:szCs w:val="24"/>
              </w:rPr>
            </w:pPr>
            <w:r>
              <w:rPr>
                <w:rFonts w:ascii="黑体" w:hAnsi="黑体" w:eastAsia="黑体"/>
                <w:snapToGrid w:val="0"/>
                <w:spacing w:val="-6"/>
                <w:kern w:val="21"/>
                <w:szCs w:val="24"/>
              </w:rPr>
              <w:t>现有工程</w:t>
            </w:r>
          </w:p>
          <w:p>
            <w:pPr>
              <w:pStyle w:val="48"/>
              <w:spacing w:beforeLines="0" w:afterLines="0" w:line="240" w:lineRule="auto"/>
              <w:rPr>
                <w:rFonts w:ascii="黑体" w:hAnsi="黑体" w:eastAsia="黑体"/>
                <w:snapToGrid w:val="0"/>
                <w:spacing w:val="-6"/>
                <w:kern w:val="21"/>
                <w:szCs w:val="24"/>
              </w:rPr>
            </w:pPr>
            <w:r>
              <w:rPr>
                <w:rFonts w:ascii="黑体" w:hAnsi="黑体" w:eastAsia="黑体"/>
                <w:snapToGrid w:val="0"/>
                <w:spacing w:val="-6"/>
                <w:kern w:val="21"/>
                <w:szCs w:val="24"/>
              </w:rPr>
              <w:t>排放量（固</w:t>
            </w:r>
            <w:r>
              <w:rPr>
                <w:rFonts w:hint="eastAsia" w:ascii="黑体" w:hAnsi="黑体" w:eastAsia="黑体"/>
                <w:snapToGrid w:val="0"/>
                <w:spacing w:val="-6"/>
                <w:kern w:val="21"/>
                <w:szCs w:val="24"/>
              </w:rPr>
              <w:t>体</w:t>
            </w:r>
            <w:r>
              <w:rPr>
                <w:rFonts w:ascii="黑体" w:hAnsi="黑体" w:eastAsia="黑体"/>
                <w:snapToGrid w:val="0"/>
                <w:spacing w:val="-6"/>
                <w:kern w:val="21"/>
                <w:szCs w:val="24"/>
              </w:rPr>
              <w:t>废</w:t>
            </w:r>
            <w:r>
              <w:rPr>
                <w:rFonts w:hint="eastAsia" w:ascii="黑体" w:hAnsi="黑体" w:eastAsia="黑体"/>
                <w:snapToGrid w:val="0"/>
                <w:spacing w:val="-6"/>
                <w:kern w:val="21"/>
                <w:szCs w:val="24"/>
              </w:rPr>
              <w:t>物</w:t>
            </w:r>
            <w:r>
              <w:rPr>
                <w:rFonts w:ascii="黑体" w:hAnsi="黑体" w:eastAsia="黑体"/>
                <w:snapToGrid w:val="0"/>
                <w:spacing w:val="-6"/>
                <w:kern w:val="21"/>
                <w:szCs w:val="24"/>
              </w:rPr>
              <w:t>产生量）</w:t>
            </w:r>
            <w:r>
              <w:rPr>
                <w:rFonts w:ascii="黑体" w:hAnsi="黑体" w:eastAsia="黑体"/>
                <w:snapToGrid w:val="0"/>
                <w:spacing w:val="-6"/>
                <w:kern w:val="21"/>
                <w:szCs w:val="24"/>
              </w:rPr>
              <w:fldChar w:fldCharType="begin"/>
            </w:r>
            <w:r>
              <w:rPr>
                <w:rFonts w:ascii="黑体" w:hAnsi="黑体" w:eastAsia="黑体"/>
                <w:snapToGrid w:val="0"/>
                <w:spacing w:val="-6"/>
                <w:kern w:val="21"/>
                <w:szCs w:val="24"/>
              </w:rPr>
              <w:instrText xml:space="preserve"> = 1 \* GB3 \* MERGEFORMAT </w:instrText>
            </w:r>
            <w:r>
              <w:rPr>
                <w:rFonts w:ascii="黑体" w:hAnsi="黑体" w:eastAsia="黑体"/>
                <w:snapToGrid w:val="0"/>
                <w:spacing w:val="-6"/>
                <w:kern w:val="21"/>
                <w:szCs w:val="24"/>
              </w:rPr>
              <w:fldChar w:fldCharType="separate"/>
            </w:r>
            <w:r>
              <w:rPr>
                <w:rFonts w:hint="eastAsia" w:ascii="黑体" w:hAnsi="黑体" w:eastAsia="黑体" w:cs="宋体"/>
                <w:kern w:val="2"/>
                <w:szCs w:val="24"/>
              </w:rPr>
              <w:t>①</w:t>
            </w:r>
            <w:r>
              <w:rPr>
                <w:rFonts w:ascii="黑体" w:hAnsi="黑体" w:eastAsia="黑体"/>
                <w:snapToGrid w:val="0"/>
                <w:spacing w:val="-6"/>
                <w:kern w:val="21"/>
                <w:szCs w:val="24"/>
              </w:rPr>
              <w:fldChar w:fldCharType="end"/>
            </w:r>
          </w:p>
        </w:tc>
        <w:tc>
          <w:tcPr>
            <w:tcW w:w="1250" w:type="dxa"/>
            <w:tcMar>
              <w:left w:w="28" w:type="dxa"/>
              <w:right w:w="28" w:type="dxa"/>
            </w:tcMar>
            <w:vAlign w:val="center"/>
          </w:tcPr>
          <w:p>
            <w:pPr>
              <w:pStyle w:val="48"/>
              <w:spacing w:beforeLines="0" w:afterLines="0" w:line="240" w:lineRule="auto"/>
              <w:rPr>
                <w:rFonts w:ascii="黑体" w:hAnsi="黑体" w:eastAsia="黑体"/>
                <w:snapToGrid w:val="0"/>
                <w:spacing w:val="-6"/>
                <w:kern w:val="21"/>
                <w:szCs w:val="24"/>
              </w:rPr>
            </w:pPr>
            <w:r>
              <w:rPr>
                <w:rFonts w:ascii="黑体" w:hAnsi="黑体" w:eastAsia="黑体"/>
                <w:snapToGrid w:val="0"/>
                <w:spacing w:val="-6"/>
                <w:kern w:val="21"/>
                <w:szCs w:val="24"/>
              </w:rPr>
              <w:t>现有工程</w:t>
            </w:r>
          </w:p>
          <w:p>
            <w:pPr>
              <w:pStyle w:val="48"/>
              <w:spacing w:beforeLines="0" w:afterLines="0" w:line="240" w:lineRule="auto"/>
              <w:rPr>
                <w:rFonts w:ascii="黑体" w:hAnsi="黑体" w:eastAsia="黑体"/>
                <w:snapToGrid w:val="0"/>
                <w:spacing w:val="-6"/>
                <w:kern w:val="21"/>
                <w:szCs w:val="24"/>
              </w:rPr>
            </w:pPr>
            <w:r>
              <w:rPr>
                <w:rFonts w:ascii="黑体" w:hAnsi="黑体" w:eastAsia="黑体"/>
                <w:snapToGrid w:val="0"/>
                <w:spacing w:val="-6"/>
                <w:kern w:val="21"/>
                <w:szCs w:val="24"/>
              </w:rPr>
              <w:t>许可排放量</w:t>
            </w:r>
          </w:p>
          <w:p>
            <w:pPr>
              <w:pStyle w:val="48"/>
              <w:spacing w:beforeLines="0" w:afterLines="0"/>
              <w:rPr>
                <w:rFonts w:ascii="黑体" w:hAnsi="黑体" w:eastAsia="黑体"/>
                <w:snapToGrid w:val="0"/>
                <w:spacing w:val="-6"/>
                <w:kern w:val="21"/>
                <w:szCs w:val="24"/>
              </w:rPr>
            </w:pPr>
            <w:r>
              <w:rPr>
                <w:rFonts w:ascii="黑体" w:hAnsi="黑体" w:eastAsia="黑体"/>
                <w:snapToGrid w:val="0"/>
                <w:spacing w:val="-6"/>
                <w:kern w:val="21"/>
                <w:szCs w:val="24"/>
              </w:rPr>
              <w:fldChar w:fldCharType="begin"/>
            </w:r>
            <w:r>
              <w:rPr>
                <w:rFonts w:ascii="黑体" w:hAnsi="黑体" w:eastAsia="黑体"/>
                <w:snapToGrid w:val="0"/>
                <w:spacing w:val="-6"/>
                <w:kern w:val="21"/>
                <w:szCs w:val="24"/>
              </w:rPr>
              <w:instrText xml:space="preserve"> = 2 \* GB3 \* MERGEFORMAT </w:instrText>
            </w:r>
            <w:r>
              <w:rPr>
                <w:rFonts w:ascii="黑体" w:hAnsi="黑体" w:eastAsia="黑体"/>
                <w:snapToGrid w:val="0"/>
                <w:spacing w:val="-6"/>
                <w:kern w:val="21"/>
                <w:szCs w:val="24"/>
              </w:rPr>
              <w:fldChar w:fldCharType="separate"/>
            </w:r>
            <w:r>
              <w:rPr>
                <w:rFonts w:hint="eastAsia" w:ascii="黑体" w:hAnsi="黑体" w:eastAsia="黑体" w:cs="宋体"/>
                <w:snapToGrid w:val="0"/>
                <w:spacing w:val="-6"/>
                <w:kern w:val="21"/>
                <w:szCs w:val="24"/>
              </w:rPr>
              <w:t>②</w:t>
            </w:r>
            <w:r>
              <w:rPr>
                <w:rFonts w:ascii="黑体" w:hAnsi="黑体" w:eastAsia="黑体"/>
                <w:snapToGrid w:val="0"/>
                <w:spacing w:val="-6"/>
                <w:kern w:val="21"/>
                <w:szCs w:val="24"/>
              </w:rPr>
              <w:fldChar w:fldCharType="end"/>
            </w:r>
          </w:p>
        </w:tc>
        <w:tc>
          <w:tcPr>
            <w:tcW w:w="1664" w:type="dxa"/>
            <w:tcMar>
              <w:left w:w="28" w:type="dxa"/>
              <w:right w:w="28" w:type="dxa"/>
            </w:tcMar>
            <w:vAlign w:val="center"/>
          </w:tcPr>
          <w:p>
            <w:pPr>
              <w:pStyle w:val="48"/>
              <w:spacing w:beforeLines="0" w:afterLines="0" w:line="240" w:lineRule="auto"/>
              <w:rPr>
                <w:rFonts w:ascii="黑体" w:hAnsi="黑体" w:eastAsia="黑体"/>
                <w:snapToGrid w:val="0"/>
                <w:spacing w:val="-6"/>
                <w:kern w:val="21"/>
                <w:szCs w:val="24"/>
              </w:rPr>
            </w:pPr>
            <w:r>
              <w:rPr>
                <w:rFonts w:ascii="黑体" w:hAnsi="黑体" w:eastAsia="黑体"/>
                <w:snapToGrid w:val="0"/>
                <w:spacing w:val="-6"/>
                <w:kern w:val="21"/>
                <w:szCs w:val="24"/>
              </w:rPr>
              <w:t>在建工程</w:t>
            </w:r>
          </w:p>
          <w:p>
            <w:pPr>
              <w:pStyle w:val="48"/>
              <w:spacing w:beforeLines="0" w:afterLines="0" w:line="240" w:lineRule="auto"/>
              <w:rPr>
                <w:rFonts w:ascii="黑体" w:hAnsi="黑体" w:eastAsia="黑体"/>
                <w:snapToGrid w:val="0"/>
                <w:spacing w:val="-6"/>
                <w:kern w:val="21"/>
                <w:szCs w:val="24"/>
              </w:rPr>
            </w:pPr>
            <w:r>
              <w:rPr>
                <w:rFonts w:ascii="黑体" w:hAnsi="黑体" w:eastAsia="黑体"/>
                <w:snapToGrid w:val="0"/>
                <w:spacing w:val="-6"/>
                <w:kern w:val="21"/>
                <w:szCs w:val="24"/>
              </w:rPr>
              <w:t>排放量（固</w:t>
            </w:r>
            <w:r>
              <w:rPr>
                <w:rFonts w:hint="eastAsia" w:ascii="黑体" w:hAnsi="黑体" w:eastAsia="黑体"/>
                <w:snapToGrid w:val="0"/>
                <w:spacing w:val="-6"/>
                <w:kern w:val="21"/>
                <w:szCs w:val="24"/>
              </w:rPr>
              <w:t>体</w:t>
            </w:r>
            <w:r>
              <w:rPr>
                <w:rFonts w:ascii="黑体" w:hAnsi="黑体" w:eastAsia="黑体"/>
                <w:snapToGrid w:val="0"/>
                <w:spacing w:val="-6"/>
                <w:kern w:val="21"/>
                <w:szCs w:val="24"/>
              </w:rPr>
              <w:t>废</w:t>
            </w:r>
            <w:r>
              <w:rPr>
                <w:rFonts w:hint="eastAsia" w:ascii="黑体" w:hAnsi="黑体" w:eastAsia="黑体"/>
                <w:snapToGrid w:val="0"/>
                <w:spacing w:val="-6"/>
                <w:kern w:val="21"/>
                <w:szCs w:val="24"/>
              </w:rPr>
              <w:t>物</w:t>
            </w:r>
            <w:r>
              <w:rPr>
                <w:rFonts w:ascii="黑体" w:hAnsi="黑体" w:eastAsia="黑体"/>
                <w:snapToGrid w:val="0"/>
                <w:spacing w:val="-6"/>
                <w:kern w:val="21"/>
                <w:szCs w:val="24"/>
              </w:rPr>
              <w:t>产生量）</w:t>
            </w:r>
            <w:r>
              <w:rPr>
                <w:rFonts w:ascii="黑体" w:hAnsi="黑体" w:eastAsia="黑体"/>
                <w:snapToGrid w:val="0"/>
                <w:spacing w:val="-6"/>
                <w:kern w:val="21"/>
                <w:szCs w:val="24"/>
              </w:rPr>
              <w:fldChar w:fldCharType="begin"/>
            </w:r>
            <w:r>
              <w:rPr>
                <w:rFonts w:ascii="黑体" w:hAnsi="黑体" w:eastAsia="黑体"/>
                <w:snapToGrid w:val="0"/>
                <w:spacing w:val="-6"/>
                <w:kern w:val="21"/>
                <w:szCs w:val="24"/>
              </w:rPr>
              <w:instrText xml:space="preserve"> = 3 \* GB3 \* MERGEFORMAT </w:instrText>
            </w:r>
            <w:r>
              <w:rPr>
                <w:rFonts w:ascii="黑体" w:hAnsi="黑体" w:eastAsia="黑体"/>
                <w:snapToGrid w:val="0"/>
                <w:spacing w:val="-6"/>
                <w:kern w:val="21"/>
                <w:szCs w:val="24"/>
              </w:rPr>
              <w:fldChar w:fldCharType="separate"/>
            </w:r>
            <w:r>
              <w:rPr>
                <w:rFonts w:hint="eastAsia" w:ascii="黑体" w:hAnsi="黑体" w:eastAsia="黑体" w:cs="宋体"/>
                <w:kern w:val="2"/>
                <w:szCs w:val="24"/>
              </w:rPr>
              <w:t>③</w:t>
            </w:r>
            <w:r>
              <w:rPr>
                <w:rFonts w:ascii="黑体" w:hAnsi="黑体" w:eastAsia="黑体"/>
                <w:snapToGrid w:val="0"/>
                <w:spacing w:val="-6"/>
                <w:kern w:val="21"/>
                <w:szCs w:val="24"/>
              </w:rPr>
              <w:fldChar w:fldCharType="end"/>
            </w:r>
          </w:p>
        </w:tc>
        <w:tc>
          <w:tcPr>
            <w:tcW w:w="1525" w:type="dxa"/>
            <w:tcMar>
              <w:left w:w="28" w:type="dxa"/>
              <w:right w:w="28" w:type="dxa"/>
            </w:tcMar>
            <w:vAlign w:val="center"/>
          </w:tcPr>
          <w:p>
            <w:pPr>
              <w:pStyle w:val="48"/>
              <w:spacing w:beforeLines="0" w:afterLines="0" w:line="240" w:lineRule="auto"/>
              <w:rPr>
                <w:rFonts w:ascii="黑体" w:hAnsi="黑体" w:eastAsia="黑体"/>
                <w:snapToGrid w:val="0"/>
                <w:spacing w:val="-6"/>
                <w:kern w:val="21"/>
                <w:szCs w:val="24"/>
              </w:rPr>
            </w:pPr>
            <w:r>
              <w:rPr>
                <w:rFonts w:ascii="黑体" w:hAnsi="黑体" w:eastAsia="黑体"/>
                <w:snapToGrid w:val="0"/>
                <w:spacing w:val="-6"/>
                <w:kern w:val="21"/>
                <w:szCs w:val="24"/>
              </w:rPr>
              <w:t>本项目</w:t>
            </w:r>
          </w:p>
          <w:p>
            <w:pPr>
              <w:pStyle w:val="48"/>
              <w:spacing w:beforeLines="0" w:afterLines="0" w:line="240" w:lineRule="auto"/>
              <w:rPr>
                <w:rFonts w:ascii="黑体" w:hAnsi="黑体" w:eastAsia="黑体"/>
                <w:snapToGrid w:val="0"/>
                <w:spacing w:val="-6"/>
                <w:kern w:val="21"/>
                <w:szCs w:val="24"/>
              </w:rPr>
            </w:pPr>
            <w:r>
              <w:rPr>
                <w:rFonts w:ascii="黑体" w:hAnsi="黑体" w:eastAsia="黑体"/>
                <w:snapToGrid w:val="0"/>
                <w:spacing w:val="-6"/>
                <w:kern w:val="21"/>
                <w:szCs w:val="24"/>
              </w:rPr>
              <w:t>排放量（固</w:t>
            </w:r>
            <w:r>
              <w:rPr>
                <w:rFonts w:hint="eastAsia" w:ascii="黑体" w:hAnsi="黑体" w:eastAsia="黑体"/>
                <w:snapToGrid w:val="0"/>
                <w:spacing w:val="-6"/>
                <w:kern w:val="21"/>
                <w:szCs w:val="24"/>
              </w:rPr>
              <w:t>体</w:t>
            </w:r>
            <w:r>
              <w:rPr>
                <w:rFonts w:ascii="黑体" w:hAnsi="黑体" w:eastAsia="黑体"/>
                <w:snapToGrid w:val="0"/>
                <w:spacing w:val="-6"/>
                <w:kern w:val="21"/>
                <w:szCs w:val="24"/>
              </w:rPr>
              <w:t>废</w:t>
            </w:r>
            <w:r>
              <w:rPr>
                <w:rFonts w:hint="eastAsia" w:ascii="黑体" w:hAnsi="黑体" w:eastAsia="黑体"/>
                <w:snapToGrid w:val="0"/>
                <w:spacing w:val="-6"/>
                <w:kern w:val="21"/>
                <w:szCs w:val="24"/>
              </w:rPr>
              <w:t>物</w:t>
            </w:r>
            <w:r>
              <w:rPr>
                <w:rFonts w:ascii="黑体" w:hAnsi="黑体" w:eastAsia="黑体"/>
                <w:snapToGrid w:val="0"/>
                <w:spacing w:val="-6"/>
                <w:kern w:val="21"/>
                <w:szCs w:val="24"/>
              </w:rPr>
              <w:t>产生量）</w:t>
            </w:r>
            <w:r>
              <w:rPr>
                <w:rFonts w:ascii="黑体" w:hAnsi="黑体" w:eastAsia="黑体"/>
                <w:snapToGrid w:val="0"/>
                <w:spacing w:val="-6"/>
                <w:kern w:val="21"/>
                <w:szCs w:val="24"/>
              </w:rPr>
              <w:fldChar w:fldCharType="begin"/>
            </w:r>
            <w:r>
              <w:rPr>
                <w:rFonts w:ascii="黑体" w:hAnsi="黑体" w:eastAsia="黑体"/>
                <w:snapToGrid w:val="0"/>
                <w:spacing w:val="-6"/>
                <w:kern w:val="21"/>
                <w:szCs w:val="24"/>
              </w:rPr>
              <w:instrText xml:space="preserve"> = 4 \* GB3 \* MERGEFORMAT </w:instrText>
            </w:r>
            <w:r>
              <w:rPr>
                <w:rFonts w:ascii="黑体" w:hAnsi="黑体" w:eastAsia="黑体"/>
                <w:snapToGrid w:val="0"/>
                <w:spacing w:val="-6"/>
                <w:kern w:val="21"/>
                <w:szCs w:val="24"/>
              </w:rPr>
              <w:fldChar w:fldCharType="separate"/>
            </w:r>
            <w:r>
              <w:rPr>
                <w:rFonts w:hint="eastAsia" w:ascii="黑体" w:hAnsi="黑体" w:eastAsia="黑体" w:cs="宋体"/>
                <w:kern w:val="2"/>
                <w:szCs w:val="24"/>
              </w:rPr>
              <w:t>④</w:t>
            </w:r>
            <w:r>
              <w:rPr>
                <w:rFonts w:ascii="黑体" w:hAnsi="黑体" w:eastAsia="黑体"/>
                <w:snapToGrid w:val="0"/>
                <w:spacing w:val="-6"/>
                <w:kern w:val="21"/>
                <w:szCs w:val="24"/>
              </w:rPr>
              <w:fldChar w:fldCharType="end"/>
            </w:r>
          </w:p>
        </w:tc>
        <w:tc>
          <w:tcPr>
            <w:tcW w:w="1578" w:type="dxa"/>
            <w:tcMar>
              <w:left w:w="28" w:type="dxa"/>
              <w:right w:w="28" w:type="dxa"/>
            </w:tcMar>
            <w:vAlign w:val="center"/>
          </w:tcPr>
          <w:p>
            <w:pPr>
              <w:pStyle w:val="48"/>
              <w:spacing w:beforeLines="0" w:afterLines="0" w:line="240" w:lineRule="auto"/>
              <w:rPr>
                <w:rFonts w:ascii="黑体" w:hAnsi="黑体" w:eastAsia="黑体"/>
                <w:snapToGrid w:val="0"/>
                <w:spacing w:val="-16"/>
                <w:kern w:val="21"/>
                <w:szCs w:val="24"/>
              </w:rPr>
            </w:pPr>
            <w:r>
              <w:rPr>
                <w:rFonts w:ascii="黑体" w:hAnsi="黑体" w:eastAsia="黑体"/>
                <w:snapToGrid w:val="0"/>
                <w:spacing w:val="-16"/>
                <w:kern w:val="21"/>
                <w:szCs w:val="24"/>
              </w:rPr>
              <w:t>以新带老削减量</w:t>
            </w:r>
          </w:p>
          <w:p>
            <w:pPr>
              <w:pStyle w:val="48"/>
              <w:spacing w:beforeLines="0" w:afterLines="0" w:line="240" w:lineRule="auto"/>
              <w:rPr>
                <w:rFonts w:ascii="黑体" w:hAnsi="黑体" w:eastAsia="黑体"/>
                <w:snapToGrid w:val="0"/>
                <w:spacing w:val="-16"/>
                <w:kern w:val="21"/>
                <w:szCs w:val="24"/>
              </w:rPr>
            </w:pPr>
            <w:r>
              <w:rPr>
                <w:rFonts w:ascii="黑体" w:hAnsi="黑体" w:eastAsia="黑体"/>
                <w:snapToGrid w:val="0"/>
                <w:spacing w:val="-16"/>
                <w:kern w:val="21"/>
                <w:szCs w:val="24"/>
              </w:rPr>
              <w:t>（新建项目不填）</w:t>
            </w:r>
            <w:r>
              <w:rPr>
                <w:rFonts w:ascii="黑体" w:hAnsi="黑体" w:eastAsia="黑体"/>
                <w:snapToGrid w:val="0"/>
                <w:spacing w:val="-16"/>
                <w:kern w:val="21"/>
                <w:szCs w:val="24"/>
              </w:rPr>
              <w:fldChar w:fldCharType="begin"/>
            </w:r>
            <w:r>
              <w:rPr>
                <w:rFonts w:ascii="黑体" w:hAnsi="黑体" w:eastAsia="黑体"/>
                <w:snapToGrid w:val="0"/>
                <w:spacing w:val="-16"/>
                <w:kern w:val="21"/>
                <w:szCs w:val="24"/>
              </w:rPr>
              <w:instrText xml:space="preserve"> = 5 \* GB3 \* MERGEFORMAT </w:instrText>
            </w:r>
            <w:r>
              <w:rPr>
                <w:rFonts w:ascii="黑体" w:hAnsi="黑体" w:eastAsia="黑体"/>
                <w:snapToGrid w:val="0"/>
                <w:spacing w:val="-16"/>
                <w:kern w:val="21"/>
                <w:szCs w:val="24"/>
              </w:rPr>
              <w:fldChar w:fldCharType="separate"/>
            </w:r>
            <w:r>
              <w:rPr>
                <w:rFonts w:hint="eastAsia" w:ascii="黑体" w:hAnsi="黑体" w:eastAsia="黑体" w:cs="宋体"/>
                <w:kern w:val="2"/>
                <w:szCs w:val="24"/>
              </w:rPr>
              <w:t>⑤</w:t>
            </w:r>
            <w:r>
              <w:rPr>
                <w:rFonts w:ascii="黑体" w:hAnsi="黑体" w:eastAsia="黑体"/>
                <w:snapToGrid w:val="0"/>
                <w:spacing w:val="-16"/>
                <w:kern w:val="21"/>
                <w:szCs w:val="24"/>
              </w:rPr>
              <w:fldChar w:fldCharType="end"/>
            </w:r>
          </w:p>
        </w:tc>
        <w:tc>
          <w:tcPr>
            <w:tcW w:w="1629" w:type="dxa"/>
            <w:tcMar>
              <w:left w:w="28" w:type="dxa"/>
              <w:right w:w="28" w:type="dxa"/>
            </w:tcMar>
            <w:vAlign w:val="center"/>
          </w:tcPr>
          <w:p>
            <w:pPr>
              <w:pStyle w:val="48"/>
              <w:spacing w:beforeLines="0" w:afterLines="0" w:line="240" w:lineRule="auto"/>
              <w:rPr>
                <w:rFonts w:ascii="黑体" w:hAnsi="黑体" w:eastAsia="黑体"/>
                <w:snapToGrid w:val="0"/>
                <w:spacing w:val="-16"/>
                <w:kern w:val="21"/>
                <w:szCs w:val="24"/>
              </w:rPr>
            </w:pPr>
            <w:r>
              <w:rPr>
                <w:rFonts w:ascii="黑体" w:hAnsi="黑体" w:eastAsia="黑体"/>
                <w:snapToGrid w:val="0"/>
                <w:spacing w:val="-16"/>
                <w:kern w:val="21"/>
                <w:szCs w:val="24"/>
              </w:rPr>
              <w:t>本项目建成后</w:t>
            </w:r>
          </w:p>
          <w:p>
            <w:pPr>
              <w:pStyle w:val="48"/>
              <w:spacing w:beforeLines="0" w:afterLines="0" w:line="240" w:lineRule="auto"/>
              <w:rPr>
                <w:rFonts w:ascii="黑体" w:hAnsi="黑体" w:eastAsia="黑体"/>
                <w:snapToGrid w:val="0"/>
                <w:spacing w:val="-16"/>
                <w:kern w:val="21"/>
                <w:szCs w:val="24"/>
              </w:rPr>
            </w:pPr>
            <w:r>
              <w:rPr>
                <w:rFonts w:hint="eastAsia" w:ascii="黑体" w:hAnsi="黑体" w:eastAsia="黑体"/>
                <w:snapToGrid w:val="0"/>
                <w:spacing w:val="-16"/>
                <w:kern w:val="21"/>
                <w:szCs w:val="24"/>
              </w:rPr>
              <w:t>全厂</w:t>
            </w:r>
            <w:r>
              <w:rPr>
                <w:rFonts w:ascii="黑体" w:hAnsi="黑体" w:eastAsia="黑体"/>
                <w:snapToGrid w:val="0"/>
                <w:spacing w:val="-16"/>
                <w:kern w:val="21"/>
                <w:szCs w:val="24"/>
              </w:rPr>
              <w:t>排放量（固</w:t>
            </w:r>
            <w:r>
              <w:rPr>
                <w:rFonts w:hint="eastAsia" w:ascii="黑体" w:hAnsi="黑体" w:eastAsia="黑体"/>
                <w:snapToGrid w:val="0"/>
                <w:spacing w:val="-16"/>
                <w:kern w:val="21"/>
                <w:szCs w:val="24"/>
              </w:rPr>
              <w:t>体</w:t>
            </w:r>
            <w:r>
              <w:rPr>
                <w:rFonts w:ascii="黑体" w:hAnsi="黑体" w:eastAsia="黑体"/>
                <w:snapToGrid w:val="0"/>
                <w:spacing w:val="-16"/>
                <w:kern w:val="21"/>
                <w:szCs w:val="24"/>
              </w:rPr>
              <w:t>废</w:t>
            </w:r>
            <w:r>
              <w:rPr>
                <w:rFonts w:hint="eastAsia" w:ascii="黑体" w:hAnsi="黑体" w:eastAsia="黑体"/>
                <w:snapToGrid w:val="0"/>
                <w:spacing w:val="-16"/>
                <w:kern w:val="21"/>
                <w:szCs w:val="24"/>
              </w:rPr>
              <w:t>物</w:t>
            </w:r>
            <w:r>
              <w:rPr>
                <w:rFonts w:ascii="黑体" w:hAnsi="黑体" w:eastAsia="黑体"/>
                <w:snapToGrid w:val="0"/>
                <w:spacing w:val="-16"/>
                <w:kern w:val="21"/>
                <w:szCs w:val="24"/>
              </w:rPr>
              <w:t>产生量）</w:t>
            </w:r>
            <w:r>
              <w:rPr>
                <w:rFonts w:ascii="黑体" w:hAnsi="黑体" w:eastAsia="黑体"/>
                <w:snapToGrid w:val="0"/>
                <w:spacing w:val="-16"/>
                <w:kern w:val="21"/>
                <w:szCs w:val="24"/>
              </w:rPr>
              <w:fldChar w:fldCharType="begin"/>
            </w:r>
            <w:r>
              <w:rPr>
                <w:rFonts w:ascii="黑体" w:hAnsi="黑体" w:eastAsia="黑体"/>
                <w:snapToGrid w:val="0"/>
                <w:spacing w:val="-16"/>
                <w:kern w:val="21"/>
                <w:szCs w:val="24"/>
              </w:rPr>
              <w:instrText xml:space="preserve"> = 6 \* GB3 \* MERGEFORMAT </w:instrText>
            </w:r>
            <w:r>
              <w:rPr>
                <w:rFonts w:ascii="黑体" w:hAnsi="黑体" w:eastAsia="黑体"/>
                <w:snapToGrid w:val="0"/>
                <w:spacing w:val="-16"/>
                <w:kern w:val="21"/>
                <w:szCs w:val="24"/>
              </w:rPr>
              <w:fldChar w:fldCharType="separate"/>
            </w:r>
            <w:r>
              <w:rPr>
                <w:rFonts w:hint="eastAsia" w:ascii="黑体" w:hAnsi="黑体" w:eastAsia="黑体" w:cs="宋体"/>
                <w:kern w:val="2"/>
                <w:szCs w:val="24"/>
              </w:rPr>
              <w:t>⑥</w:t>
            </w:r>
            <w:r>
              <w:rPr>
                <w:rFonts w:ascii="黑体" w:hAnsi="黑体" w:eastAsia="黑体"/>
                <w:snapToGrid w:val="0"/>
                <w:spacing w:val="-16"/>
                <w:kern w:val="21"/>
                <w:szCs w:val="24"/>
              </w:rPr>
              <w:fldChar w:fldCharType="end"/>
            </w:r>
          </w:p>
        </w:tc>
        <w:tc>
          <w:tcPr>
            <w:tcW w:w="1242" w:type="dxa"/>
            <w:tcMar>
              <w:left w:w="28" w:type="dxa"/>
              <w:right w:w="28" w:type="dxa"/>
            </w:tcMar>
            <w:vAlign w:val="center"/>
          </w:tcPr>
          <w:p>
            <w:pPr>
              <w:pStyle w:val="48"/>
              <w:spacing w:beforeLines="0" w:afterLines="0" w:line="240" w:lineRule="auto"/>
              <w:rPr>
                <w:rFonts w:ascii="黑体" w:hAnsi="黑体" w:eastAsia="黑体"/>
                <w:snapToGrid w:val="0"/>
                <w:spacing w:val="-6"/>
                <w:kern w:val="21"/>
                <w:szCs w:val="24"/>
              </w:rPr>
            </w:pPr>
            <w:r>
              <w:rPr>
                <w:rFonts w:ascii="黑体" w:hAnsi="黑体" w:eastAsia="黑体"/>
                <w:snapToGrid w:val="0"/>
                <w:spacing w:val="-6"/>
                <w:kern w:val="21"/>
                <w:szCs w:val="24"/>
              </w:rPr>
              <w:t>变化量</w:t>
            </w:r>
          </w:p>
          <w:p>
            <w:pPr>
              <w:pStyle w:val="48"/>
              <w:spacing w:beforeLines="0" w:afterLines="0" w:line="240" w:lineRule="auto"/>
              <w:rPr>
                <w:rFonts w:ascii="黑体" w:hAnsi="黑体" w:eastAsia="黑体"/>
                <w:snapToGrid w:val="0"/>
                <w:spacing w:val="-6"/>
                <w:kern w:val="21"/>
                <w:szCs w:val="24"/>
              </w:rPr>
            </w:pPr>
            <w:r>
              <w:rPr>
                <w:rFonts w:ascii="黑体" w:hAnsi="黑体" w:eastAsia="黑体"/>
                <w:snapToGrid w:val="0"/>
                <w:spacing w:val="-6"/>
                <w:kern w:val="21"/>
                <w:szCs w:val="24"/>
              </w:rPr>
              <w:fldChar w:fldCharType="begin"/>
            </w:r>
            <w:r>
              <w:rPr>
                <w:rFonts w:ascii="黑体" w:hAnsi="黑体" w:eastAsia="黑体"/>
                <w:snapToGrid w:val="0"/>
                <w:spacing w:val="-6"/>
                <w:kern w:val="21"/>
                <w:szCs w:val="24"/>
              </w:rPr>
              <w:instrText xml:space="preserve"> = 7 \* GB3 \* MERGEFORMAT </w:instrText>
            </w:r>
            <w:r>
              <w:rPr>
                <w:rFonts w:ascii="黑体" w:hAnsi="黑体" w:eastAsia="黑体"/>
                <w:snapToGrid w:val="0"/>
                <w:spacing w:val="-6"/>
                <w:kern w:val="21"/>
                <w:szCs w:val="24"/>
              </w:rPr>
              <w:fldChar w:fldCharType="separate"/>
            </w:r>
            <w:r>
              <w:rPr>
                <w:rFonts w:hint="eastAsia" w:ascii="黑体" w:hAnsi="黑体" w:eastAsia="黑体" w:cs="宋体"/>
                <w:kern w:val="2"/>
                <w:szCs w:val="24"/>
              </w:rPr>
              <w:t>⑦</w:t>
            </w:r>
            <w:r>
              <w:rPr>
                <w:rFonts w:ascii="黑体" w:hAnsi="黑体" w:eastAsia="黑体"/>
                <w:snapToGrid w:val="0"/>
                <w:spacing w:val="-6"/>
                <w:kern w:val="21"/>
                <w:szCs w:val="24"/>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9" w:type="dxa"/>
            <w:vMerge w:val="restart"/>
            <w:vAlign w:val="center"/>
          </w:tcPr>
          <w:p>
            <w:pPr>
              <w:pStyle w:val="48"/>
              <w:spacing w:beforeLines="0" w:afterLines="0" w:line="240" w:lineRule="auto"/>
              <w:rPr>
                <w:rFonts w:hAnsi="宋体" w:cs="宋体"/>
                <w:snapToGrid w:val="0"/>
                <w:kern w:val="21"/>
                <w:szCs w:val="24"/>
              </w:rPr>
            </w:pPr>
            <w:r>
              <w:rPr>
                <w:rFonts w:hint="eastAsia" w:hAnsi="宋体" w:cs="宋体"/>
                <w:snapToGrid w:val="0"/>
                <w:kern w:val="21"/>
                <w:szCs w:val="24"/>
              </w:rPr>
              <w:t>废气</w:t>
            </w:r>
          </w:p>
        </w:tc>
        <w:tc>
          <w:tcPr>
            <w:tcW w:w="1451" w:type="dxa"/>
            <w:vAlign w:val="center"/>
          </w:tcPr>
          <w:p>
            <w:pPr>
              <w:pStyle w:val="48"/>
              <w:spacing w:beforeLines="0" w:afterLines="0" w:line="240" w:lineRule="auto"/>
              <w:rPr>
                <w:rFonts w:hint="eastAsia" w:ascii="Times New Roman" w:eastAsia="宋体"/>
                <w:snapToGrid w:val="0"/>
                <w:kern w:val="21"/>
                <w:szCs w:val="24"/>
                <w:lang w:val="en-US" w:eastAsia="zh-CN"/>
              </w:rPr>
            </w:pPr>
            <w:r>
              <w:rPr>
                <w:rFonts w:hint="eastAsia" w:ascii="Times New Roman"/>
                <w:snapToGrid w:val="0"/>
                <w:kern w:val="21"/>
                <w:szCs w:val="24"/>
                <w:lang w:val="en-US" w:eastAsia="zh-CN"/>
              </w:rPr>
              <w:t>粉尘</w:t>
            </w:r>
          </w:p>
        </w:tc>
        <w:tc>
          <w:tcPr>
            <w:tcW w:w="1664" w:type="dxa"/>
            <w:vAlign w:val="center"/>
          </w:tcPr>
          <w:p>
            <w:pPr>
              <w:pStyle w:val="48"/>
              <w:spacing w:beforeLines="0" w:afterLines="0" w:line="240" w:lineRule="auto"/>
              <w:rPr>
                <w:rFonts w:ascii="Times New Roman"/>
                <w:snapToGrid w:val="0"/>
                <w:kern w:val="21"/>
                <w:szCs w:val="24"/>
              </w:rPr>
            </w:pPr>
            <w:r>
              <w:rPr>
                <w:rFonts w:ascii="Times New Roman"/>
                <w:snapToGrid w:val="0"/>
                <w:kern w:val="21"/>
                <w:szCs w:val="24"/>
              </w:rPr>
              <w:t>/</w:t>
            </w:r>
          </w:p>
        </w:tc>
        <w:tc>
          <w:tcPr>
            <w:tcW w:w="1250" w:type="dxa"/>
            <w:vAlign w:val="center"/>
          </w:tcPr>
          <w:p>
            <w:pPr>
              <w:pStyle w:val="48"/>
              <w:spacing w:beforeLines="0" w:afterLines="0" w:line="240" w:lineRule="auto"/>
              <w:rPr>
                <w:rFonts w:ascii="Times New Roman"/>
                <w:snapToGrid w:val="0"/>
                <w:kern w:val="21"/>
                <w:szCs w:val="24"/>
              </w:rPr>
            </w:pPr>
            <w:r>
              <w:rPr>
                <w:rFonts w:ascii="Times New Roman"/>
                <w:snapToGrid w:val="0"/>
                <w:kern w:val="21"/>
                <w:szCs w:val="24"/>
              </w:rPr>
              <w:t>/</w:t>
            </w:r>
          </w:p>
        </w:tc>
        <w:tc>
          <w:tcPr>
            <w:tcW w:w="1664" w:type="dxa"/>
            <w:vAlign w:val="center"/>
          </w:tcPr>
          <w:p>
            <w:pPr>
              <w:pStyle w:val="48"/>
              <w:spacing w:beforeLines="0" w:afterLines="0" w:line="240" w:lineRule="auto"/>
              <w:rPr>
                <w:rFonts w:ascii="Times New Roman"/>
                <w:snapToGrid w:val="0"/>
                <w:kern w:val="21"/>
                <w:szCs w:val="24"/>
              </w:rPr>
            </w:pPr>
            <w:r>
              <w:rPr>
                <w:rFonts w:ascii="Times New Roman"/>
                <w:snapToGrid w:val="0"/>
                <w:kern w:val="21"/>
                <w:szCs w:val="24"/>
              </w:rPr>
              <w:t>/</w:t>
            </w:r>
          </w:p>
        </w:tc>
        <w:tc>
          <w:tcPr>
            <w:tcW w:w="1525" w:type="dxa"/>
            <w:vAlign w:val="center"/>
          </w:tcPr>
          <w:p>
            <w:pPr>
              <w:pStyle w:val="48"/>
              <w:spacing w:beforeLines="0" w:afterLines="0" w:line="240" w:lineRule="auto"/>
              <w:rPr>
                <w:rFonts w:hint="default" w:ascii="Times New Roman" w:eastAsia="宋体"/>
                <w:snapToGrid w:val="0"/>
                <w:kern w:val="21"/>
                <w:szCs w:val="24"/>
                <w:lang w:val="en-US" w:eastAsia="zh-CN"/>
              </w:rPr>
            </w:pPr>
            <w:r>
              <w:rPr>
                <w:rFonts w:hint="eastAsia" w:ascii="Times New Roman"/>
                <w:snapToGrid w:val="0"/>
                <w:kern w:val="21"/>
                <w:szCs w:val="24"/>
                <w:lang w:val="en-US" w:eastAsia="zh-CN"/>
              </w:rPr>
              <w:t>1.125</w:t>
            </w:r>
            <w:r>
              <w:rPr>
                <w:rFonts w:hint="default" w:ascii="Times New Roman" w:hAnsi="Times New Roman" w:cs="Times New Roman"/>
                <w:snapToGrid w:val="0"/>
                <w:kern w:val="21"/>
              </w:rPr>
              <w:t>t/a</w:t>
            </w:r>
          </w:p>
        </w:tc>
        <w:tc>
          <w:tcPr>
            <w:tcW w:w="1578" w:type="dxa"/>
            <w:vAlign w:val="center"/>
          </w:tcPr>
          <w:p>
            <w:pPr>
              <w:jc w:val="center"/>
              <w:rPr>
                <w:snapToGrid w:val="0"/>
                <w:kern w:val="21"/>
              </w:rPr>
            </w:pPr>
            <w:r>
              <w:rPr>
                <w:snapToGrid w:val="0"/>
                <w:kern w:val="21"/>
              </w:rPr>
              <w:t>/</w:t>
            </w:r>
          </w:p>
        </w:tc>
        <w:tc>
          <w:tcPr>
            <w:tcW w:w="1629" w:type="dxa"/>
            <w:vAlign w:val="center"/>
          </w:tcPr>
          <w:p>
            <w:pPr>
              <w:spacing w:beforeLines="0" w:afterLines="0" w:line="240" w:lineRule="auto"/>
              <w:jc w:val="center"/>
              <w:rPr>
                <w:snapToGrid w:val="0"/>
                <w:kern w:val="21"/>
              </w:rPr>
            </w:pPr>
            <w:r>
              <w:rPr>
                <w:rFonts w:hint="eastAsia" w:ascii="Times New Roman"/>
                <w:snapToGrid w:val="0"/>
                <w:kern w:val="21"/>
                <w:szCs w:val="24"/>
                <w:lang w:val="en-US" w:eastAsia="zh-CN"/>
              </w:rPr>
              <w:t>1.125</w:t>
            </w:r>
            <w:r>
              <w:rPr>
                <w:rFonts w:hint="default" w:ascii="Times New Roman" w:hAnsi="Times New Roman" w:cs="Times New Roman"/>
                <w:snapToGrid w:val="0"/>
                <w:kern w:val="21"/>
              </w:rPr>
              <w:t>t/a</w:t>
            </w:r>
          </w:p>
        </w:tc>
        <w:tc>
          <w:tcPr>
            <w:tcW w:w="1242" w:type="dxa"/>
            <w:vAlign w:val="center"/>
          </w:tcPr>
          <w:p>
            <w:pPr>
              <w:spacing w:beforeLines="0" w:afterLines="0" w:line="240" w:lineRule="auto"/>
              <w:jc w:val="center"/>
              <w:rPr>
                <w:b/>
                <w:bCs/>
                <w:snapToGrid w:val="0"/>
                <w:kern w:val="21"/>
              </w:rPr>
            </w:pPr>
            <w:r>
              <w:rPr>
                <w:rFonts w:hint="eastAsia" w:ascii="Times New Roman"/>
                <w:snapToGrid w:val="0"/>
                <w:kern w:val="21"/>
                <w:szCs w:val="24"/>
                <w:lang w:val="en-US" w:eastAsia="zh-CN"/>
              </w:rPr>
              <w:t>1.125</w:t>
            </w:r>
            <w:r>
              <w:rPr>
                <w:rFonts w:hint="default" w:ascii="Times New Roman" w:hAnsi="Times New Roman" w:cs="Times New Roman"/>
                <w:snapToGrid w:val="0"/>
                <w:kern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9" w:type="dxa"/>
            <w:vMerge w:val="continue"/>
            <w:vAlign w:val="center"/>
          </w:tcPr>
          <w:p>
            <w:pPr>
              <w:pStyle w:val="48"/>
              <w:spacing w:beforeLines="0" w:afterLines="0" w:line="240" w:lineRule="auto"/>
              <w:rPr>
                <w:rFonts w:hint="eastAsia" w:hAnsi="宋体" w:cs="宋体"/>
                <w:snapToGrid w:val="0"/>
                <w:kern w:val="21"/>
                <w:szCs w:val="24"/>
              </w:rPr>
            </w:pPr>
          </w:p>
        </w:tc>
        <w:tc>
          <w:tcPr>
            <w:tcW w:w="1451" w:type="dxa"/>
            <w:vAlign w:val="center"/>
          </w:tcPr>
          <w:p>
            <w:pPr>
              <w:pStyle w:val="48"/>
              <w:spacing w:beforeLines="0" w:afterLines="0" w:line="240" w:lineRule="auto"/>
              <w:rPr>
                <w:rFonts w:hint="default" w:ascii="Times New Roman" w:eastAsia="宋体"/>
                <w:snapToGrid w:val="0"/>
                <w:kern w:val="21"/>
                <w:szCs w:val="24"/>
                <w:lang w:val="en-US" w:eastAsia="zh-CN"/>
              </w:rPr>
            </w:pPr>
            <w:r>
              <w:rPr>
                <w:rFonts w:hint="eastAsia" w:ascii="Times New Roman"/>
                <w:snapToGrid w:val="0"/>
                <w:kern w:val="21"/>
                <w:szCs w:val="24"/>
                <w:lang w:val="en-US" w:eastAsia="zh-CN"/>
              </w:rPr>
              <w:t>食堂油烟</w:t>
            </w:r>
          </w:p>
        </w:tc>
        <w:tc>
          <w:tcPr>
            <w:tcW w:w="1664" w:type="dxa"/>
            <w:vAlign w:val="center"/>
          </w:tcPr>
          <w:p>
            <w:pPr>
              <w:pStyle w:val="48"/>
              <w:spacing w:beforeLines="0" w:afterLines="0" w:line="240" w:lineRule="auto"/>
              <w:rPr>
                <w:rFonts w:ascii="Times New Roman"/>
                <w:snapToGrid w:val="0"/>
                <w:kern w:val="21"/>
                <w:szCs w:val="24"/>
              </w:rPr>
            </w:pPr>
            <w:r>
              <w:rPr>
                <w:rFonts w:ascii="Times New Roman"/>
                <w:snapToGrid w:val="0"/>
                <w:kern w:val="21"/>
                <w:szCs w:val="24"/>
              </w:rPr>
              <w:t>/</w:t>
            </w:r>
          </w:p>
        </w:tc>
        <w:tc>
          <w:tcPr>
            <w:tcW w:w="1250" w:type="dxa"/>
            <w:vAlign w:val="center"/>
          </w:tcPr>
          <w:p>
            <w:pPr>
              <w:pStyle w:val="48"/>
              <w:spacing w:beforeLines="0" w:afterLines="0" w:line="240" w:lineRule="auto"/>
              <w:rPr>
                <w:rFonts w:ascii="Times New Roman"/>
                <w:snapToGrid w:val="0"/>
                <w:kern w:val="21"/>
                <w:szCs w:val="24"/>
              </w:rPr>
            </w:pPr>
            <w:r>
              <w:rPr>
                <w:rFonts w:ascii="Times New Roman"/>
                <w:snapToGrid w:val="0"/>
                <w:kern w:val="21"/>
                <w:szCs w:val="24"/>
              </w:rPr>
              <w:t>/</w:t>
            </w:r>
          </w:p>
        </w:tc>
        <w:tc>
          <w:tcPr>
            <w:tcW w:w="1664" w:type="dxa"/>
            <w:vAlign w:val="center"/>
          </w:tcPr>
          <w:p>
            <w:pPr>
              <w:pStyle w:val="48"/>
              <w:spacing w:beforeLines="0" w:afterLines="0" w:line="240" w:lineRule="auto"/>
              <w:rPr>
                <w:rFonts w:ascii="Times New Roman"/>
                <w:snapToGrid w:val="0"/>
                <w:kern w:val="21"/>
                <w:szCs w:val="24"/>
              </w:rPr>
            </w:pPr>
            <w:r>
              <w:rPr>
                <w:rFonts w:ascii="Times New Roman"/>
                <w:snapToGrid w:val="0"/>
                <w:kern w:val="21"/>
                <w:szCs w:val="24"/>
              </w:rPr>
              <w:t>/</w:t>
            </w:r>
          </w:p>
        </w:tc>
        <w:tc>
          <w:tcPr>
            <w:tcW w:w="1525" w:type="dxa"/>
            <w:vAlign w:val="center"/>
          </w:tcPr>
          <w:p>
            <w:pPr>
              <w:pStyle w:val="48"/>
              <w:spacing w:beforeLines="0" w:afterLines="0" w:line="240" w:lineRule="auto"/>
              <w:rPr>
                <w:rFonts w:hint="default" w:ascii="Times New Roman" w:eastAsia="宋体"/>
                <w:snapToGrid w:val="0"/>
                <w:kern w:val="21"/>
                <w:szCs w:val="24"/>
                <w:lang w:val="en-US" w:eastAsia="zh-CN"/>
              </w:rPr>
            </w:pPr>
            <w:r>
              <w:rPr>
                <w:rFonts w:hint="eastAsia" w:ascii="Times New Roman"/>
                <w:snapToGrid w:val="0"/>
                <w:kern w:val="21"/>
                <w:szCs w:val="24"/>
                <w:lang w:val="en-US" w:eastAsia="zh-CN"/>
              </w:rPr>
              <w:t>0.0088</w:t>
            </w:r>
            <w:r>
              <w:rPr>
                <w:rFonts w:hint="default" w:ascii="Times New Roman" w:hAnsi="Times New Roman" w:cs="Times New Roman"/>
                <w:snapToGrid w:val="0"/>
                <w:kern w:val="21"/>
              </w:rPr>
              <w:t>t/a</w:t>
            </w:r>
          </w:p>
        </w:tc>
        <w:tc>
          <w:tcPr>
            <w:tcW w:w="1578" w:type="dxa"/>
            <w:vAlign w:val="center"/>
          </w:tcPr>
          <w:p>
            <w:pPr>
              <w:jc w:val="center"/>
              <w:rPr>
                <w:rFonts w:hint="eastAsia" w:eastAsia="宋体"/>
                <w:snapToGrid w:val="0"/>
                <w:kern w:val="21"/>
                <w:lang w:val="en-US" w:eastAsia="zh-CN"/>
              </w:rPr>
            </w:pPr>
            <w:r>
              <w:rPr>
                <w:rFonts w:hint="eastAsia"/>
                <w:snapToGrid w:val="0"/>
                <w:kern w:val="21"/>
                <w:lang w:val="en-US" w:eastAsia="zh-CN"/>
              </w:rPr>
              <w:t>/</w:t>
            </w:r>
          </w:p>
        </w:tc>
        <w:tc>
          <w:tcPr>
            <w:tcW w:w="1629" w:type="dxa"/>
            <w:vAlign w:val="center"/>
          </w:tcPr>
          <w:p>
            <w:pPr>
              <w:spacing w:beforeLines="0" w:afterLines="0" w:line="240" w:lineRule="auto"/>
              <w:jc w:val="center"/>
              <w:rPr>
                <w:snapToGrid w:val="0"/>
                <w:kern w:val="21"/>
              </w:rPr>
            </w:pPr>
            <w:r>
              <w:rPr>
                <w:rFonts w:hint="eastAsia" w:ascii="Times New Roman"/>
                <w:snapToGrid w:val="0"/>
                <w:kern w:val="21"/>
                <w:szCs w:val="24"/>
                <w:lang w:val="en-US" w:eastAsia="zh-CN"/>
              </w:rPr>
              <w:t>0.0088</w:t>
            </w:r>
            <w:r>
              <w:rPr>
                <w:rFonts w:hint="default" w:ascii="Times New Roman" w:hAnsi="Times New Roman" w:cs="Times New Roman"/>
                <w:snapToGrid w:val="0"/>
                <w:kern w:val="21"/>
              </w:rPr>
              <w:t>t/a</w:t>
            </w:r>
          </w:p>
        </w:tc>
        <w:tc>
          <w:tcPr>
            <w:tcW w:w="1242" w:type="dxa"/>
            <w:vAlign w:val="center"/>
          </w:tcPr>
          <w:p>
            <w:pPr>
              <w:spacing w:beforeLines="0" w:afterLines="0" w:line="240" w:lineRule="auto"/>
              <w:jc w:val="center"/>
              <w:rPr>
                <w:b/>
                <w:bCs/>
                <w:snapToGrid w:val="0"/>
                <w:kern w:val="21"/>
              </w:rPr>
            </w:pPr>
            <w:r>
              <w:rPr>
                <w:rFonts w:hint="eastAsia" w:ascii="Times New Roman"/>
                <w:snapToGrid w:val="0"/>
                <w:kern w:val="21"/>
                <w:szCs w:val="24"/>
                <w:lang w:val="en-US" w:eastAsia="zh-CN"/>
              </w:rPr>
              <w:t>0.0088</w:t>
            </w:r>
            <w:r>
              <w:rPr>
                <w:rFonts w:hint="default" w:ascii="Times New Roman" w:hAnsi="Times New Roman" w:cs="Times New Roman"/>
                <w:snapToGrid w:val="0"/>
                <w:kern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9" w:type="dxa"/>
            <w:vMerge w:val="restart"/>
            <w:vAlign w:val="center"/>
          </w:tcPr>
          <w:p>
            <w:pPr>
              <w:pStyle w:val="48"/>
              <w:spacing w:beforeLines="0" w:afterLines="0" w:line="240" w:lineRule="auto"/>
              <w:rPr>
                <w:rFonts w:hAnsi="宋体" w:cs="宋体"/>
                <w:snapToGrid w:val="0"/>
                <w:kern w:val="21"/>
                <w:szCs w:val="24"/>
              </w:rPr>
            </w:pPr>
            <w:r>
              <w:rPr>
                <w:rFonts w:hint="eastAsia" w:hAnsi="宋体" w:cs="宋体"/>
                <w:snapToGrid w:val="0"/>
                <w:kern w:val="21"/>
                <w:szCs w:val="24"/>
              </w:rPr>
              <w:t>废水</w:t>
            </w:r>
          </w:p>
        </w:tc>
        <w:tc>
          <w:tcPr>
            <w:tcW w:w="1451" w:type="dxa"/>
            <w:vAlign w:val="center"/>
          </w:tcPr>
          <w:p>
            <w:pPr>
              <w:pStyle w:val="48"/>
              <w:spacing w:beforeLines="0" w:afterLines="0" w:line="240" w:lineRule="auto"/>
              <w:rPr>
                <w:rFonts w:hAnsi="宋体" w:cs="宋体"/>
                <w:snapToGrid w:val="0"/>
                <w:kern w:val="21"/>
                <w:szCs w:val="24"/>
              </w:rPr>
            </w:pPr>
            <w:r>
              <w:rPr>
                <w:rFonts w:ascii="Times New Roman"/>
                <w:szCs w:val="24"/>
              </w:rPr>
              <w:t>COD</w:t>
            </w:r>
          </w:p>
        </w:tc>
        <w:tc>
          <w:tcPr>
            <w:tcW w:w="1664" w:type="dxa"/>
            <w:vAlign w:val="center"/>
          </w:tcPr>
          <w:p>
            <w:pPr>
              <w:pStyle w:val="48"/>
              <w:spacing w:beforeLines="0" w:afterLines="0" w:line="240" w:lineRule="auto"/>
              <w:rPr>
                <w:rFonts w:hAnsi="宋体" w:cs="宋体"/>
                <w:snapToGrid w:val="0"/>
                <w:kern w:val="21"/>
                <w:szCs w:val="24"/>
              </w:rPr>
            </w:pPr>
            <w:r>
              <w:rPr>
                <w:rFonts w:ascii="Times New Roman"/>
                <w:snapToGrid w:val="0"/>
                <w:kern w:val="21"/>
                <w:szCs w:val="24"/>
              </w:rPr>
              <w:t>/</w:t>
            </w:r>
          </w:p>
        </w:tc>
        <w:tc>
          <w:tcPr>
            <w:tcW w:w="1250" w:type="dxa"/>
            <w:vAlign w:val="center"/>
          </w:tcPr>
          <w:p>
            <w:pPr>
              <w:pStyle w:val="48"/>
              <w:spacing w:beforeLines="0" w:afterLines="0" w:line="240" w:lineRule="auto"/>
              <w:rPr>
                <w:rFonts w:hAnsi="宋体" w:cs="宋体"/>
                <w:snapToGrid w:val="0"/>
                <w:kern w:val="21"/>
                <w:szCs w:val="24"/>
              </w:rPr>
            </w:pPr>
            <w:r>
              <w:rPr>
                <w:rFonts w:ascii="Times New Roman"/>
                <w:snapToGrid w:val="0"/>
                <w:kern w:val="21"/>
                <w:szCs w:val="24"/>
              </w:rPr>
              <w:t>/</w:t>
            </w:r>
          </w:p>
        </w:tc>
        <w:tc>
          <w:tcPr>
            <w:tcW w:w="1664" w:type="dxa"/>
            <w:vAlign w:val="center"/>
          </w:tcPr>
          <w:p>
            <w:pPr>
              <w:pStyle w:val="48"/>
              <w:spacing w:beforeLines="0" w:afterLines="0" w:line="240" w:lineRule="auto"/>
              <w:rPr>
                <w:rFonts w:hAnsi="宋体" w:cs="宋体"/>
                <w:snapToGrid w:val="0"/>
                <w:kern w:val="21"/>
                <w:szCs w:val="24"/>
              </w:rPr>
            </w:pPr>
            <w:r>
              <w:rPr>
                <w:rFonts w:ascii="Times New Roman"/>
                <w:snapToGrid w:val="0"/>
                <w:kern w:val="21"/>
                <w:szCs w:val="24"/>
              </w:rPr>
              <w:t>/</w:t>
            </w:r>
          </w:p>
        </w:tc>
        <w:tc>
          <w:tcPr>
            <w:tcW w:w="1525" w:type="dxa"/>
            <w:vAlign w:val="center"/>
          </w:tcPr>
          <w:p>
            <w:pPr>
              <w:pStyle w:val="48"/>
              <w:spacing w:beforeLines="0" w:afterLines="0" w:line="240" w:lineRule="auto"/>
              <w:rPr>
                <w:color w:val="000000"/>
              </w:rPr>
            </w:pPr>
            <w:r>
              <w:rPr>
                <w:rFonts w:hint="eastAsia" w:ascii="Times New Roman"/>
                <w:snapToGrid w:val="0"/>
                <w:kern w:val="21"/>
                <w:szCs w:val="24"/>
                <w:lang w:val="en-US" w:eastAsia="zh-CN"/>
              </w:rPr>
              <w:t>0</w:t>
            </w:r>
          </w:p>
        </w:tc>
        <w:tc>
          <w:tcPr>
            <w:tcW w:w="1578" w:type="dxa"/>
            <w:vAlign w:val="center"/>
          </w:tcPr>
          <w:p>
            <w:pPr>
              <w:jc w:val="center"/>
              <w:rPr>
                <w:rFonts w:hAnsi="宋体" w:cs="宋体"/>
                <w:snapToGrid w:val="0"/>
                <w:kern w:val="21"/>
              </w:rPr>
            </w:pPr>
            <w:r>
              <w:rPr>
                <w:snapToGrid w:val="0"/>
                <w:kern w:val="21"/>
              </w:rPr>
              <w:t>/</w:t>
            </w:r>
          </w:p>
        </w:tc>
        <w:tc>
          <w:tcPr>
            <w:tcW w:w="1629" w:type="dxa"/>
            <w:vAlign w:val="center"/>
          </w:tcPr>
          <w:p>
            <w:pPr>
              <w:spacing w:beforeLines="0" w:afterLines="0" w:line="240" w:lineRule="auto"/>
              <w:jc w:val="center"/>
              <w:rPr>
                <w:rFonts w:hAnsi="宋体" w:cs="宋体"/>
                <w:snapToGrid w:val="0"/>
                <w:kern w:val="21"/>
              </w:rPr>
            </w:pPr>
            <w:r>
              <w:rPr>
                <w:rFonts w:hint="eastAsia" w:ascii="Times New Roman"/>
                <w:snapToGrid w:val="0"/>
                <w:kern w:val="21"/>
                <w:szCs w:val="24"/>
                <w:lang w:val="en-US" w:eastAsia="zh-CN"/>
              </w:rPr>
              <w:t>0</w:t>
            </w:r>
          </w:p>
        </w:tc>
        <w:tc>
          <w:tcPr>
            <w:tcW w:w="1242" w:type="dxa"/>
            <w:vAlign w:val="center"/>
          </w:tcPr>
          <w:p>
            <w:pPr>
              <w:spacing w:beforeLines="0" w:afterLines="0" w:line="240" w:lineRule="auto"/>
              <w:jc w:val="center"/>
              <w:rPr>
                <w:rFonts w:hAnsi="宋体" w:cs="宋体"/>
                <w:snapToGrid w:val="0"/>
                <w:kern w:val="21"/>
              </w:rPr>
            </w:pPr>
            <w:r>
              <w:rPr>
                <w:rFonts w:hint="eastAsia" w:ascii="Times New Roman"/>
                <w:snapToGrid w:val="0"/>
                <w:kern w:val="21"/>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9" w:type="dxa"/>
            <w:vMerge w:val="continue"/>
            <w:vAlign w:val="center"/>
          </w:tcPr>
          <w:p>
            <w:pPr>
              <w:pStyle w:val="48"/>
              <w:spacing w:beforeLines="0" w:afterLines="0" w:line="240" w:lineRule="auto"/>
              <w:rPr>
                <w:rFonts w:hAnsi="宋体" w:cs="宋体"/>
                <w:snapToGrid w:val="0"/>
                <w:kern w:val="21"/>
                <w:szCs w:val="24"/>
              </w:rPr>
            </w:pPr>
          </w:p>
        </w:tc>
        <w:tc>
          <w:tcPr>
            <w:tcW w:w="1451" w:type="dxa"/>
            <w:vAlign w:val="center"/>
          </w:tcPr>
          <w:p>
            <w:pPr>
              <w:pStyle w:val="48"/>
              <w:spacing w:beforeLines="0" w:afterLines="0" w:line="240" w:lineRule="auto"/>
              <w:rPr>
                <w:rFonts w:hAnsi="宋体" w:cs="宋体"/>
                <w:snapToGrid w:val="0"/>
                <w:kern w:val="21"/>
                <w:szCs w:val="24"/>
              </w:rPr>
            </w:pPr>
            <w:r>
              <w:rPr>
                <w:rFonts w:ascii="Times New Roman"/>
                <w:szCs w:val="24"/>
              </w:rPr>
              <w:t>NH</w:t>
            </w:r>
            <w:r>
              <w:rPr>
                <w:rFonts w:ascii="Times New Roman"/>
                <w:szCs w:val="24"/>
                <w:vertAlign w:val="subscript"/>
              </w:rPr>
              <w:t>3</w:t>
            </w:r>
            <w:r>
              <w:rPr>
                <w:rFonts w:ascii="Times New Roman"/>
                <w:szCs w:val="24"/>
              </w:rPr>
              <w:t>-N</w:t>
            </w:r>
          </w:p>
        </w:tc>
        <w:tc>
          <w:tcPr>
            <w:tcW w:w="1664" w:type="dxa"/>
            <w:vAlign w:val="center"/>
          </w:tcPr>
          <w:p>
            <w:pPr>
              <w:pStyle w:val="48"/>
              <w:spacing w:beforeLines="0" w:afterLines="0" w:line="240" w:lineRule="auto"/>
              <w:rPr>
                <w:rFonts w:hAnsi="宋体" w:cs="宋体"/>
                <w:snapToGrid w:val="0"/>
                <w:kern w:val="21"/>
                <w:szCs w:val="24"/>
              </w:rPr>
            </w:pPr>
            <w:r>
              <w:rPr>
                <w:rFonts w:ascii="Times New Roman"/>
                <w:snapToGrid w:val="0"/>
                <w:kern w:val="21"/>
                <w:szCs w:val="24"/>
              </w:rPr>
              <w:t>/</w:t>
            </w:r>
          </w:p>
        </w:tc>
        <w:tc>
          <w:tcPr>
            <w:tcW w:w="1250" w:type="dxa"/>
            <w:vAlign w:val="center"/>
          </w:tcPr>
          <w:p>
            <w:pPr>
              <w:pStyle w:val="48"/>
              <w:spacing w:beforeLines="0" w:afterLines="0" w:line="240" w:lineRule="auto"/>
              <w:rPr>
                <w:rFonts w:hAnsi="宋体" w:cs="宋体"/>
                <w:snapToGrid w:val="0"/>
                <w:kern w:val="21"/>
                <w:szCs w:val="24"/>
              </w:rPr>
            </w:pPr>
            <w:r>
              <w:rPr>
                <w:rFonts w:ascii="Times New Roman"/>
                <w:snapToGrid w:val="0"/>
                <w:kern w:val="21"/>
                <w:szCs w:val="24"/>
              </w:rPr>
              <w:t>/</w:t>
            </w:r>
          </w:p>
        </w:tc>
        <w:tc>
          <w:tcPr>
            <w:tcW w:w="1664" w:type="dxa"/>
            <w:vAlign w:val="center"/>
          </w:tcPr>
          <w:p>
            <w:pPr>
              <w:pStyle w:val="48"/>
              <w:spacing w:beforeLines="0" w:afterLines="0" w:line="240" w:lineRule="auto"/>
              <w:rPr>
                <w:rFonts w:hAnsi="宋体" w:cs="宋体"/>
                <w:snapToGrid w:val="0"/>
                <w:kern w:val="21"/>
                <w:szCs w:val="24"/>
              </w:rPr>
            </w:pPr>
            <w:r>
              <w:rPr>
                <w:rFonts w:ascii="Times New Roman"/>
                <w:snapToGrid w:val="0"/>
                <w:kern w:val="21"/>
                <w:szCs w:val="24"/>
              </w:rPr>
              <w:t>/</w:t>
            </w:r>
          </w:p>
        </w:tc>
        <w:tc>
          <w:tcPr>
            <w:tcW w:w="1525" w:type="dxa"/>
            <w:vAlign w:val="center"/>
          </w:tcPr>
          <w:p>
            <w:pPr>
              <w:pStyle w:val="48"/>
              <w:spacing w:beforeLines="0" w:afterLines="0" w:line="240" w:lineRule="auto"/>
              <w:rPr>
                <w:color w:val="000000"/>
              </w:rPr>
            </w:pPr>
            <w:r>
              <w:rPr>
                <w:rFonts w:hint="eastAsia" w:ascii="Times New Roman"/>
                <w:snapToGrid w:val="0"/>
                <w:kern w:val="21"/>
                <w:szCs w:val="24"/>
                <w:lang w:val="en-US" w:eastAsia="zh-CN"/>
              </w:rPr>
              <w:t>0</w:t>
            </w:r>
          </w:p>
        </w:tc>
        <w:tc>
          <w:tcPr>
            <w:tcW w:w="1578" w:type="dxa"/>
            <w:vAlign w:val="center"/>
          </w:tcPr>
          <w:p>
            <w:pPr>
              <w:jc w:val="center"/>
              <w:rPr>
                <w:rFonts w:hAnsi="宋体" w:cs="宋体"/>
                <w:snapToGrid w:val="0"/>
                <w:kern w:val="21"/>
              </w:rPr>
            </w:pPr>
            <w:r>
              <w:rPr>
                <w:snapToGrid w:val="0"/>
                <w:kern w:val="21"/>
              </w:rPr>
              <w:t>/</w:t>
            </w:r>
          </w:p>
        </w:tc>
        <w:tc>
          <w:tcPr>
            <w:tcW w:w="1629" w:type="dxa"/>
            <w:vAlign w:val="center"/>
          </w:tcPr>
          <w:p>
            <w:pPr>
              <w:spacing w:beforeLines="0" w:afterLines="0" w:line="240" w:lineRule="auto"/>
              <w:jc w:val="center"/>
              <w:rPr>
                <w:rFonts w:hAnsi="宋体" w:cs="宋体"/>
                <w:snapToGrid w:val="0"/>
                <w:kern w:val="21"/>
              </w:rPr>
            </w:pPr>
            <w:r>
              <w:rPr>
                <w:rFonts w:hint="eastAsia" w:ascii="Times New Roman"/>
                <w:snapToGrid w:val="0"/>
                <w:kern w:val="21"/>
                <w:szCs w:val="24"/>
                <w:lang w:val="en-US" w:eastAsia="zh-CN"/>
              </w:rPr>
              <w:t>0</w:t>
            </w:r>
          </w:p>
        </w:tc>
        <w:tc>
          <w:tcPr>
            <w:tcW w:w="1242" w:type="dxa"/>
            <w:vAlign w:val="center"/>
          </w:tcPr>
          <w:p>
            <w:pPr>
              <w:spacing w:beforeLines="0" w:afterLines="0" w:line="240" w:lineRule="auto"/>
              <w:jc w:val="center"/>
              <w:rPr>
                <w:rFonts w:hAnsi="宋体" w:cs="宋体"/>
                <w:snapToGrid w:val="0"/>
                <w:kern w:val="21"/>
              </w:rPr>
            </w:pPr>
            <w:r>
              <w:rPr>
                <w:rFonts w:hint="eastAsia" w:ascii="Times New Roman"/>
                <w:snapToGrid w:val="0"/>
                <w:kern w:val="21"/>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9" w:type="dxa"/>
            <w:vMerge w:val="restart"/>
            <w:vAlign w:val="center"/>
          </w:tcPr>
          <w:p>
            <w:pPr>
              <w:pStyle w:val="48"/>
              <w:spacing w:beforeLines="0" w:afterLines="0" w:line="240" w:lineRule="auto"/>
              <w:rPr>
                <w:rFonts w:hAnsi="宋体" w:cs="宋体"/>
                <w:snapToGrid w:val="0"/>
                <w:kern w:val="21"/>
                <w:szCs w:val="24"/>
              </w:rPr>
            </w:pPr>
            <w:r>
              <w:rPr>
                <w:rFonts w:hint="eastAsia" w:hAnsi="宋体" w:cs="宋体"/>
                <w:snapToGrid w:val="0"/>
                <w:kern w:val="21"/>
                <w:szCs w:val="24"/>
              </w:rPr>
              <w:t>一般工业</w:t>
            </w:r>
          </w:p>
          <w:p>
            <w:pPr>
              <w:pStyle w:val="48"/>
              <w:spacing w:beforeLines="0" w:afterLines="0" w:line="240" w:lineRule="auto"/>
              <w:rPr>
                <w:rFonts w:hAnsi="宋体" w:cs="宋体"/>
                <w:snapToGrid w:val="0"/>
                <w:kern w:val="21"/>
                <w:szCs w:val="24"/>
              </w:rPr>
            </w:pPr>
            <w:r>
              <w:rPr>
                <w:rFonts w:hint="eastAsia" w:hAnsi="宋体" w:cs="宋体"/>
                <w:snapToGrid w:val="0"/>
                <w:kern w:val="21"/>
                <w:szCs w:val="24"/>
              </w:rPr>
              <w:t>固体废物</w:t>
            </w:r>
          </w:p>
        </w:tc>
        <w:tc>
          <w:tcPr>
            <w:tcW w:w="1451" w:type="dxa"/>
            <w:vAlign w:val="center"/>
          </w:tcPr>
          <w:p>
            <w:pPr>
              <w:pStyle w:val="48"/>
              <w:spacing w:beforeLines="0" w:afterLines="0" w:line="240" w:lineRule="auto"/>
              <w:rPr>
                <w:rFonts w:hAnsi="宋体" w:cs="宋体"/>
                <w:snapToGrid w:val="0"/>
                <w:kern w:val="21"/>
              </w:rPr>
            </w:pPr>
            <w:r>
              <w:rPr>
                <w:rFonts w:hint="eastAsia" w:ascii="Times New Roman"/>
                <w:snapToGrid w:val="0"/>
                <w:color w:val="000000"/>
                <w:kern w:val="21"/>
                <w:szCs w:val="21"/>
              </w:rPr>
              <w:t>除尘器收集的粉尘</w:t>
            </w:r>
          </w:p>
        </w:tc>
        <w:tc>
          <w:tcPr>
            <w:tcW w:w="1664" w:type="dxa"/>
            <w:vAlign w:val="center"/>
          </w:tcPr>
          <w:p>
            <w:pPr>
              <w:pStyle w:val="48"/>
              <w:spacing w:beforeLines="0" w:afterLines="0" w:line="240" w:lineRule="auto"/>
              <w:rPr>
                <w:rFonts w:hAnsi="宋体" w:cs="宋体"/>
                <w:snapToGrid w:val="0"/>
                <w:kern w:val="21"/>
                <w:szCs w:val="24"/>
              </w:rPr>
            </w:pPr>
            <w:r>
              <w:rPr>
                <w:rFonts w:ascii="Times New Roman"/>
                <w:snapToGrid w:val="0"/>
                <w:kern w:val="21"/>
                <w:szCs w:val="24"/>
              </w:rPr>
              <w:t>/</w:t>
            </w:r>
          </w:p>
        </w:tc>
        <w:tc>
          <w:tcPr>
            <w:tcW w:w="1250" w:type="dxa"/>
            <w:vAlign w:val="center"/>
          </w:tcPr>
          <w:p>
            <w:pPr>
              <w:pStyle w:val="48"/>
              <w:spacing w:beforeLines="0" w:afterLines="0" w:line="240" w:lineRule="auto"/>
              <w:rPr>
                <w:rFonts w:hAnsi="宋体" w:cs="宋体"/>
                <w:snapToGrid w:val="0"/>
                <w:kern w:val="21"/>
                <w:szCs w:val="24"/>
              </w:rPr>
            </w:pPr>
            <w:r>
              <w:rPr>
                <w:rFonts w:ascii="Times New Roman"/>
                <w:snapToGrid w:val="0"/>
                <w:kern w:val="21"/>
                <w:szCs w:val="24"/>
              </w:rPr>
              <w:t>/</w:t>
            </w:r>
          </w:p>
        </w:tc>
        <w:tc>
          <w:tcPr>
            <w:tcW w:w="1664" w:type="dxa"/>
            <w:vAlign w:val="center"/>
          </w:tcPr>
          <w:p>
            <w:pPr>
              <w:pStyle w:val="48"/>
              <w:spacing w:beforeLines="0" w:afterLines="0" w:line="240" w:lineRule="auto"/>
              <w:rPr>
                <w:rFonts w:hAnsi="宋体" w:cs="宋体"/>
                <w:snapToGrid w:val="0"/>
                <w:kern w:val="21"/>
                <w:szCs w:val="24"/>
              </w:rPr>
            </w:pPr>
            <w:r>
              <w:rPr>
                <w:rFonts w:ascii="Times New Roman"/>
                <w:snapToGrid w:val="0"/>
                <w:kern w:val="21"/>
                <w:szCs w:val="24"/>
              </w:rPr>
              <w:t>/</w:t>
            </w:r>
          </w:p>
        </w:tc>
        <w:tc>
          <w:tcPr>
            <w:tcW w:w="1525" w:type="dxa"/>
            <w:vAlign w:val="center"/>
          </w:tcPr>
          <w:p>
            <w:pPr>
              <w:jc w:val="center"/>
              <w:rPr>
                <w:rFonts w:hint="default" w:hAnsi="宋体" w:eastAsia="宋体" w:cs="宋体"/>
                <w:snapToGrid w:val="0"/>
                <w:kern w:val="21"/>
                <w:lang w:val="en-US" w:eastAsia="zh-CN"/>
              </w:rPr>
            </w:pPr>
            <w:r>
              <w:rPr>
                <w:rFonts w:hint="eastAsia" w:hAnsi="宋体" w:cs="宋体"/>
                <w:snapToGrid w:val="0"/>
                <w:kern w:val="21"/>
                <w:lang w:val="en-US" w:eastAsia="zh-CN"/>
              </w:rPr>
              <w:t>448.875</w:t>
            </w:r>
            <w:r>
              <w:rPr>
                <w:rFonts w:hint="default" w:ascii="Times New Roman" w:hAnsi="Times New Roman" w:cs="Times New Roman"/>
                <w:snapToGrid w:val="0"/>
                <w:kern w:val="21"/>
              </w:rPr>
              <w:t>t/a</w:t>
            </w:r>
          </w:p>
        </w:tc>
        <w:tc>
          <w:tcPr>
            <w:tcW w:w="1578" w:type="dxa"/>
            <w:vAlign w:val="center"/>
          </w:tcPr>
          <w:p>
            <w:pPr>
              <w:jc w:val="center"/>
              <w:rPr>
                <w:rFonts w:hAnsi="宋体" w:cs="宋体"/>
                <w:snapToGrid w:val="0"/>
                <w:kern w:val="21"/>
              </w:rPr>
            </w:pPr>
          </w:p>
        </w:tc>
        <w:tc>
          <w:tcPr>
            <w:tcW w:w="1629" w:type="dxa"/>
            <w:vAlign w:val="center"/>
          </w:tcPr>
          <w:p>
            <w:pPr>
              <w:jc w:val="center"/>
              <w:rPr>
                <w:rFonts w:hint="eastAsia" w:hAnsi="宋体" w:eastAsia="宋体" w:cs="宋体"/>
                <w:snapToGrid w:val="0"/>
                <w:kern w:val="21"/>
                <w:lang w:eastAsia="zh-CN"/>
              </w:rPr>
            </w:pPr>
            <w:r>
              <w:rPr>
                <w:rFonts w:hint="eastAsia" w:hAnsi="宋体" w:cs="宋体"/>
                <w:snapToGrid w:val="0"/>
                <w:kern w:val="21"/>
                <w:lang w:val="en-US" w:eastAsia="zh-CN"/>
              </w:rPr>
              <w:t>448.875</w:t>
            </w:r>
            <w:r>
              <w:rPr>
                <w:rFonts w:hint="default" w:ascii="Times New Roman" w:hAnsi="Times New Roman" w:cs="Times New Roman"/>
                <w:snapToGrid w:val="0"/>
                <w:kern w:val="21"/>
              </w:rPr>
              <w:t>t/a</w:t>
            </w:r>
          </w:p>
        </w:tc>
        <w:tc>
          <w:tcPr>
            <w:tcW w:w="1242" w:type="dxa"/>
            <w:vAlign w:val="center"/>
          </w:tcPr>
          <w:p>
            <w:pPr>
              <w:jc w:val="center"/>
              <w:rPr>
                <w:rFonts w:hAnsi="宋体" w:cs="宋体"/>
                <w:snapToGrid w:val="0"/>
                <w:kern w:val="21"/>
              </w:rPr>
            </w:pPr>
            <w:r>
              <w:rPr>
                <w:rFonts w:hint="eastAsia" w:hAnsi="宋体" w:cs="宋体"/>
                <w:snapToGrid w:val="0"/>
                <w:kern w:val="21"/>
                <w:lang w:val="en-US" w:eastAsia="zh-CN"/>
              </w:rPr>
              <w:t>448.875</w:t>
            </w:r>
            <w:r>
              <w:rPr>
                <w:rFonts w:hint="default" w:ascii="Times New Roman" w:hAnsi="Times New Roman" w:cs="Times New Roman"/>
                <w:snapToGrid w:val="0"/>
                <w:kern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9" w:type="dxa"/>
            <w:vMerge w:val="continue"/>
            <w:vAlign w:val="center"/>
          </w:tcPr>
          <w:p>
            <w:pPr>
              <w:pStyle w:val="48"/>
              <w:spacing w:beforeLines="0" w:afterLines="0" w:line="240" w:lineRule="auto"/>
              <w:rPr>
                <w:rFonts w:hint="eastAsia" w:hAnsi="宋体" w:cs="宋体"/>
                <w:snapToGrid w:val="0"/>
                <w:kern w:val="21"/>
                <w:szCs w:val="24"/>
              </w:rPr>
            </w:pPr>
          </w:p>
        </w:tc>
        <w:tc>
          <w:tcPr>
            <w:tcW w:w="1451" w:type="dxa"/>
            <w:vAlign w:val="center"/>
          </w:tcPr>
          <w:p>
            <w:pPr>
              <w:jc w:val="center"/>
              <w:rPr>
                <w:rFonts w:hint="default" w:ascii="宋体" w:hAnsi="宋体" w:eastAsia="宋体" w:cs="宋体"/>
                <w:lang w:val="en-US" w:eastAsia="zh-CN"/>
              </w:rPr>
            </w:pPr>
            <w:r>
              <w:rPr>
                <w:rFonts w:hint="eastAsia" w:hAnsi="宋体" w:cs="宋体"/>
                <w:snapToGrid w:val="0"/>
                <w:color w:val="000000"/>
                <w:kern w:val="21"/>
                <w:szCs w:val="21"/>
              </w:rPr>
              <w:t>沉淀池底泥</w:t>
            </w:r>
          </w:p>
        </w:tc>
        <w:tc>
          <w:tcPr>
            <w:tcW w:w="1664" w:type="dxa"/>
            <w:vAlign w:val="center"/>
          </w:tcPr>
          <w:p>
            <w:pPr>
              <w:pStyle w:val="48"/>
              <w:spacing w:beforeLines="0" w:afterLines="0" w:line="240" w:lineRule="auto"/>
              <w:rPr>
                <w:rFonts w:ascii="Times New Roman"/>
                <w:snapToGrid w:val="0"/>
                <w:kern w:val="21"/>
                <w:szCs w:val="24"/>
              </w:rPr>
            </w:pPr>
            <w:r>
              <w:rPr>
                <w:rFonts w:ascii="Times New Roman"/>
                <w:snapToGrid w:val="0"/>
                <w:kern w:val="21"/>
                <w:szCs w:val="24"/>
              </w:rPr>
              <w:t>/</w:t>
            </w:r>
          </w:p>
        </w:tc>
        <w:tc>
          <w:tcPr>
            <w:tcW w:w="1250" w:type="dxa"/>
            <w:vAlign w:val="center"/>
          </w:tcPr>
          <w:p>
            <w:pPr>
              <w:pStyle w:val="48"/>
              <w:spacing w:beforeLines="0" w:afterLines="0" w:line="240" w:lineRule="auto"/>
              <w:rPr>
                <w:rFonts w:ascii="Times New Roman"/>
                <w:snapToGrid w:val="0"/>
                <w:kern w:val="21"/>
                <w:szCs w:val="24"/>
              </w:rPr>
            </w:pPr>
            <w:r>
              <w:rPr>
                <w:rFonts w:ascii="Times New Roman"/>
                <w:snapToGrid w:val="0"/>
                <w:kern w:val="21"/>
                <w:szCs w:val="24"/>
              </w:rPr>
              <w:t>/</w:t>
            </w:r>
          </w:p>
        </w:tc>
        <w:tc>
          <w:tcPr>
            <w:tcW w:w="1664" w:type="dxa"/>
            <w:vAlign w:val="center"/>
          </w:tcPr>
          <w:p>
            <w:pPr>
              <w:pStyle w:val="48"/>
              <w:spacing w:beforeLines="0" w:afterLines="0" w:line="240" w:lineRule="auto"/>
              <w:rPr>
                <w:rFonts w:ascii="Times New Roman"/>
                <w:snapToGrid w:val="0"/>
                <w:kern w:val="21"/>
                <w:szCs w:val="24"/>
              </w:rPr>
            </w:pPr>
            <w:r>
              <w:rPr>
                <w:rFonts w:ascii="Times New Roman"/>
                <w:snapToGrid w:val="0"/>
                <w:kern w:val="21"/>
                <w:szCs w:val="24"/>
              </w:rPr>
              <w:t>/</w:t>
            </w:r>
          </w:p>
        </w:tc>
        <w:tc>
          <w:tcPr>
            <w:tcW w:w="1525" w:type="dxa"/>
            <w:vAlign w:val="center"/>
          </w:tcPr>
          <w:p>
            <w:pPr>
              <w:jc w:val="center"/>
              <w:rPr>
                <w:rFonts w:hint="default" w:eastAsia="宋体"/>
                <w:snapToGrid w:val="0"/>
                <w:kern w:val="21"/>
                <w:lang w:val="en-US" w:eastAsia="zh-CN"/>
              </w:rPr>
            </w:pPr>
            <w:r>
              <w:rPr>
                <w:rFonts w:hint="eastAsia"/>
                <w:snapToGrid w:val="0"/>
                <w:kern w:val="21"/>
                <w:lang w:val="en-US" w:eastAsia="zh-CN"/>
              </w:rPr>
              <w:t>20</w:t>
            </w:r>
            <w:r>
              <w:rPr>
                <w:snapToGrid w:val="0"/>
                <w:kern w:val="21"/>
              </w:rPr>
              <w:t>t/a</w:t>
            </w:r>
          </w:p>
        </w:tc>
        <w:tc>
          <w:tcPr>
            <w:tcW w:w="1578" w:type="dxa"/>
            <w:vAlign w:val="center"/>
          </w:tcPr>
          <w:p>
            <w:pPr>
              <w:jc w:val="center"/>
              <w:rPr>
                <w:snapToGrid w:val="0"/>
                <w:kern w:val="21"/>
              </w:rPr>
            </w:pPr>
            <w:r>
              <w:rPr>
                <w:snapToGrid w:val="0"/>
                <w:kern w:val="21"/>
              </w:rPr>
              <w:t>/</w:t>
            </w:r>
          </w:p>
        </w:tc>
        <w:tc>
          <w:tcPr>
            <w:tcW w:w="1629" w:type="dxa"/>
            <w:vAlign w:val="center"/>
          </w:tcPr>
          <w:p>
            <w:pPr>
              <w:jc w:val="center"/>
              <w:rPr>
                <w:rFonts w:hint="eastAsia"/>
                <w:snapToGrid w:val="0"/>
                <w:kern w:val="21"/>
              </w:rPr>
            </w:pPr>
            <w:r>
              <w:rPr>
                <w:rFonts w:hint="eastAsia"/>
                <w:snapToGrid w:val="0"/>
                <w:kern w:val="21"/>
                <w:lang w:val="en-US" w:eastAsia="zh-CN"/>
              </w:rPr>
              <w:t>20</w:t>
            </w:r>
            <w:r>
              <w:rPr>
                <w:snapToGrid w:val="0"/>
                <w:kern w:val="21"/>
              </w:rPr>
              <w:t>t/a</w:t>
            </w:r>
          </w:p>
        </w:tc>
        <w:tc>
          <w:tcPr>
            <w:tcW w:w="1242" w:type="dxa"/>
            <w:vAlign w:val="center"/>
          </w:tcPr>
          <w:p>
            <w:pPr>
              <w:jc w:val="center"/>
              <w:rPr>
                <w:rFonts w:hint="eastAsia"/>
                <w:snapToGrid w:val="0"/>
                <w:kern w:val="21"/>
              </w:rPr>
            </w:pPr>
            <w:r>
              <w:rPr>
                <w:rFonts w:hint="eastAsia"/>
                <w:snapToGrid w:val="0"/>
                <w:kern w:val="21"/>
                <w:lang w:val="en-US" w:eastAsia="zh-CN"/>
              </w:rPr>
              <w:t>20</w:t>
            </w:r>
            <w:r>
              <w:rPr>
                <w:snapToGrid w:val="0"/>
                <w:kern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9" w:type="dxa"/>
            <w:vMerge w:val="restart"/>
            <w:vAlign w:val="center"/>
          </w:tcPr>
          <w:p>
            <w:pPr>
              <w:pStyle w:val="48"/>
              <w:spacing w:beforeLines="0" w:afterLines="0" w:line="240" w:lineRule="auto"/>
              <w:rPr>
                <w:rFonts w:hAnsi="宋体" w:cs="宋体"/>
                <w:snapToGrid w:val="0"/>
                <w:kern w:val="21"/>
                <w:szCs w:val="24"/>
              </w:rPr>
            </w:pPr>
            <w:r>
              <w:rPr>
                <w:rFonts w:hint="eastAsia" w:hAnsi="宋体" w:cs="宋体"/>
                <w:snapToGrid w:val="0"/>
                <w:color w:val="000000"/>
                <w:kern w:val="21"/>
                <w:szCs w:val="21"/>
              </w:rPr>
              <w:t>危险废物</w:t>
            </w:r>
          </w:p>
        </w:tc>
        <w:tc>
          <w:tcPr>
            <w:tcW w:w="1451" w:type="dxa"/>
            <w:vAlign w:val="center"/>
          </w:tcPr>
          <w:p>
            <w:pPr>
              <w:jc w:val="center"/>
              <w:rPr>
                <w:rFonts w:ascii="宋体" w:hAnsi="宋体" w:cs="宋体"/>
              </w:rPr>
            </w:pPr>
            <w:r>
              <w:rPr>
                <w:rFonts w:hint="eastAsia" w:hAnsi="宋体" w:cs="宋体"/>
                <w:snapToGrid w:val="0"/>
                <w:color w:val="000000"/>
                <w:kern w:val="21"/>
                <w:szCs w:val="21"/>
              </w:rPr>
              <w:t>废机油</w:t>
            </w:r>
          </w:p>
        </w:tc>
        <w:tc>
          <w:tcPr>
            <w:tcW w:w="1664" w:type="dxa"/>
            <w:vAlign w:val="center"/>
          </w:tcPr>
          <w:p>
            <w:pPr>
              <w:pStyle w:val="48"/>
              <w:spacing w:beforeLines="0" w:afterLines="0" w:line="240" w:lineRule="auto"/>
              <w:rPr>
                <w:rFonts w:ascii="Times New Roman"/>
                <w:snapToGrid w:val="0"/>
                <w:kern w:val="21"/>
                <w:szCs w:val="24"/>
              </w:rPr>
            </w:pPr>
            <w:r>
              <w:rPr>
                <w:rFonts w:hint="eastAsia" w:ascii="Times New Roman"/>
                <w:snapToGrid w:val="0"/>
                <w:kern w:val="21"/>
                <w:szCs w:val="24"/>
              </w:rPr>
              <w:t>/</w:t>
            </w:r>
          </w:p>
        </w:tc>
        <w:tc>
          <w:tcPr>
            <w:tcW w:w="1250" w:type="dxa"/>
            <w:vAlign w:val="center"/>
          </w:tcPr>
          <w:p>
            <w:pPr>
              <w:pStyle w:val="48"/>
              <w:spacing w:beforeLines="0" w:afterLines="0" w:line="240" w:lineRule="auto"/>
              <w:rPr>
                <w:rFonts w:ascii="Times New Roman"/>
                <w:snapToGrid w:val="0"/>
                <w:kern w:val="21"/>
                <w:szCs w:val="24"/>
              </w:rPr>
            </w:pPr>
            <w:r>
              <w:rPr>
                <w:rFonts w:hint="eastAsia" w:ascii="Times New Roman"/>
                <w:snapToGrid w:val="0"/>
                <w:kern w:val="21"/>
                <w:szCs w:val="24"/>
              </w:rPr>
              <w:t>/</w:t>
            </w:r>
          </w:p>
        </w:tc>
        <w:tc>
          <w:tcPr>
            <w:tcW w:w="1664" w:type="dxa"/>
            <w:vAlign w:val="center"/>
          </w:tcPr>
          <w:p>
            <w:pPr>
              <w:pStyle w:val="48"/>
              <w:spacing w:beforeLines="0" w:afterLines="0" w:line="240" w:lineRule="auto"/>
              <w:rPr>
                <w:rFonts w:ascii="Times New Roman"/>
                <w:snapToGrid w:val="0"/>
                <w:kern w:val="21"/>
                <w:szCs w:val="24"/>
              </w:rPr>
            </w:pPr>
            <w:r>
              <w:rPr>
                <w:rFonts w:hint="eastAsia" w:ascii="Times New Roman"/>
                <w:snapToGrid w:val="0"/>
                <w:kern w:val="21"/>
                <w:szCs w:val="24"/>
              </w:rPr>
              <w:t>/</w:t>
            </w:r>
          </w:p>
        </w:tc>
        <w:tc>
          <w:tcPr>
            <w:tcW w:w="1525" w:type="dxa"/>
            <w:vAlign w:val="center"/>
          </w:tcPr>
          <w:p>
            <w:pPr>
              <w:jc w:val="center"/>
              <w:rPr>
                <w:snapToGrid w:val="0"/>
                <w:kern w:val="21"/>
              </w:rPr>
            </w:pPr>
            <w:r>
              <w:rPr>
                <w:rFonts w:hint="eastAsia"/>
                <w:snapToGrid w:val="0"/>
                <w:kern w:val="21"/>
                <w:lang w:val="en-US" w:eastAsia="zh-CN"/>
              </w:rPr>
              <w:t>0.1</w:t>
            </w:r>
            <w:r>
              <w:rPr>
                <w:snapToGrid w:val="0"/>
                <w:kern w:val="21"/>
              </w:rPr>
              <w:t>t/a</w:t>
            </w:r>
          </w:p>
        </w:tc>
        <w:tc>
          <w:tcPr>
            <w:tcW w:w="1578" w:type="dxa"/>
            <w:vAlign w:val="center"/>
          </w:tcPr>
          <w:p>
            <w:pPr>
              <w:jc w:val="center"/>
              <w:rPr>
                <w:snapToGrid w:val="0"/>
                <w:kern w:val="21"/>
              </w:rPr>
            </w:pPr>
            <w:r>
              <w:rPr>
                <w:rFonts w:hint="eastAsia"/>
                <w:snapToGrid w:val="0"/>
                <w:kern w:val="21"/>
              </w:rPr>
              <w:t>/</w:t>
            </w:r>
          </w:p>
        </w:tc>
        <w:tc>
          <w:tcPr>
            <w:tcW w:w="1629" w:type="dxa"/>
            <w:vAlign w:val="center"/>
          </w:tcPr>
          <w:p>
            <w:pPr>
              <w:jc w:val="center"/>
              <w:rPr>
                <w:rFonts w:hAnsi="宋体" w:cs="宋体"/>
                <w:snapToGrid w:val="0"/>
                <w:kern w:val="21"/>
              </w:rPr>
            </w:pPr>
            <w:r>
              <w:rPr>
                <w:rFonts w:hint="eastAsia"/>
                <w:snapToGrid w:val="0"/>
                <w:kern w:val="21"/>
                <w:lang w:val="en-US" w:eastAsia="zh-CN"/>
              </w:rPr>
              <w:t>0.1</w:t>
            </w:r>
            <w:r>
              <w:rPr>
                <w:snapToGrid w:val="0"/>
                <w:kern w:val="21"/>
              </w:rPr>
              <w:t>t/a</w:t>
            </w:r>
          </w:p>
        </w:tc>
        <w:tc>
          <w:tcPr>
            <w:tcW w:w="1242" w:type="dxa"/>
            <w:vAlign w:val="center"/>
          </w:tcPr>
          <w:p>
            <w:pPr>
              <w:jc w:val="center"/>
              <w:rPr>
                <w:rFonts w:hAnsi="宋体" w:cs="宋体"/>
                <w:snapToGrid w:val="0"/>
                <w:kern w:val="21"/>
              </w:rPr>
            </w:pPr>
            <w:r>
              <w:rPr>
                <w:rFonts w:hint="eastAsia"/>
                <w:snapToGrid w:val="0"/>
                <w:kern w:val="21"/>
                <w:lang w:val="en-US" w:eastAsia="zh-CN"/>
              </w:rPr>
              <w:t>0.1</w:t>
            </w:r>
            <w:r>
              <w:rPr>
                <w:snapToGrid w:val="0"/>
                <w:kern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9" w:type="dxa"/>
            <w:vMerge w:val="continue"/>
            <w:vAlign w:val="center"/>
          </w:tcPr>
          <w:p>
            <w:pPr>
              <w:pStyle w:val="48"/>
              <w:spacing w:beforeLines="0" w:afterLines="0" w:line="240" w:lineRule="auto"/>
              <w:rPr>
                <w:rFonts w:hAnsi="宋体" w:cs="宋体"/>
                <w:snapToGrid w:val="0"/>
                <w:kern w:val="21"/>
                <w:szCs w:val="24"/>
              </w:rPr>
            </w:pPr>
          </w:p>
        </w:tc>
        <w:tc>
          <w:tcPr>
            <w:tcW w:w="1451" w:type="dxa"/>
            <w:vAlign w:val="center"/>
          </w:tcPr>
          <w:p>
            <w:pPr>
              <w:jc w:val="center"/>
              <w:rPr>
                <w:rFonts w:hAnsi="宋体" w:cs="宋体"/>
                <w:snapToGrid w:val="0"/>
                <w:kern w:val="21"/>
              </w:rPr>
            </w:pPr>
            <w:r>
              <w:rPr>
                <w:rFonts w:hint="eastAsia" w:hAnsi="宋体" w:cs="宋体"/>
                <w:snapToGrid w:val="0"/>
                <w:color w:val="000000"/>
                <w:kern w:val="21"/>
                <w:szCs w:val="21"/>
              </w:rPr>
              <w:t>废机油桶</w:t>
            </w:r>
          </w:p>
        </w:tc>
        <w:tc>
          <w:tcPr>
            <w:tcW w:w="1664" w:type="dxa"/>
            <w:vAlign w:val="center"/>
          </w:tcPr>
          <w:p>
            <w:pPr>
              <w:pStyle w:val="48"/>
              <w:spacing w:beforeLines="0" w:afterLines="0" w:line="240" w:lineRule="auto"/>
              <w:rPr>
                <w:rFonts w:hAnsi="宋体" w:cs="宋体"/>
                <w:snapToGrid w:val="0"/>
                <w:kern w:val="21"/>
                <w:szCs w:val="24"/>
              </w:rPr>
            </w:pPr>
            <w:r>
              <w:rPr>
                <w:rFonts w:ascii="Times New Roman"/>
                <w:snapToGrid w:val="0"/>
                <w:kern w:val="21"/>
                <w:szCs w:val="24"/>
              </w:rPr>
              <w:t>/</w:t>
            </w:r>
          </w:p>
        </w:tc>
        <w:tc>
          <w:tcPr>
            <w:tcW w:w="1250" w:type="dxa"/>
            <w:vAlign w:val="center"/>
          </w:tcPr>
          <w:p>
            <w:pPr>
              <w:pStyle w:val="48"/>
              <w:spacing w:beforeLines="0" w:afterLines="0" w:line="240" w:lineRule="auto"/>
              <w:rPr>
                <w:rFonts w:hAnsi="宋体" w:cs="宋体"/>
                <w:snapToGrid w:val="0"/>
                <w:kern w:val="21"/>
                <w:szCs w:val="24"/>
              </w:rPr>
            </w:pPr>
            <w:r>
              <w:rPr>
                <w:rFonts w:ascii="Times New Roman"/>
                <w:snapToGrid w:val="0"/>
                <w:kern w:val="21"/>
                <w:szCs w:val="24"/>
              </w:rPr>
              <w:t>/</w:t>
            </w:r>
          </w:p>
        </w:tc>
        <w:tc>
          <w:tcPr>
            <w:tcW w:w="1664" w:type="dxa"/>
            <w:vAlign w:val="center"/>
          </w:tcPr>
          <w:p>
            <w:pPr>
              <w:pStyle w:val="48"/>
              <w:spacing w:beforeLines="0" w:afterLines="0" w:line="240" w:lineRule="auto"/>
              <w:rPr>
                <w:rFonts w:hAnsi="宋体" w:cs="宋体"/>
                <w:snapToGrid w:val="0"/>
                <w:kern w:val="21"/>
                <w:szCs w:val="24"/>
              </w:rPr>
            </w:pPr>
            <w:r>
              <w:rPr>
                <w:rFonts w:ascii="Times New Roman"/>
                <w:snapToGrid w:val="0"/>
                <w:kern w:val="21"/>
                <w:szCs w:val="24"/>
              </w:rPr>
              <w:t>/</w:t>
            </w:r>
          </w:p>
        </w:tc>
        <w:tc>
          <w:tcPr>
            <w:tcW w:w="1525" w:type="dxa"/>
            <w:vAlign w:val="center"/>
          </w:tcPr>
          <w:p>
            <w:pPr>
              <w:jc w:val="center"/>
              <w:rPr>
                <w:rFonts w:hAnsi="宋体" w:cs="宋体"/>
                <w:snapToGrid w:val="0"/>
                <w:kern w:val="21"/>
              </w:rPr>
            </w:pPr>
            <w:r>
              <w:rPr>
                <w:rFonts w:hint="eastAsia"/>
                <w:snapToGrid w:val="0"/>
                <w:kern w:val="21"/>
                <w:lang w:val="en-US" w:eastAsia="zh-CN"/>
              </w:rPr>
              <w:t>0.05</w:t>
            </w:r>
            <w:r>
              <w:rPr>
                <w:snapToGrid w:val="0"/>
                <w:kern w:val="21"/>
              </w:rPr>
              <w:t>t/a</w:t>
            </w:r>
          </w:p>
        </w:tc>
        <w:tc>
          <w:tcPr>
            <w:tcW w:w="1578" w:type="dxa"/>
            <w:vAlign w:val="center"/>
          </w:tcPr>
          <w:p>
            <w:pPr>
              <w:jc w:val="center"/>
              <w:rPr>
                <w:rFonts w:hAnsi="宋体" w:cs="宋体"/>
                <w:snapToGrid w:val="0"/>
                <w:kern w:val="21"/>
              </w:rPr>
            </w:pPr>
            <w:r>
              <w:rPr>
                <w:snapToGrid w:val="0"/>
                <w:kern w:val="21"/>
              </w:rPr>
              <w:t>/</w:t>
            </w:r>
          </w:p>
        </w:tc>
        <w:tc>
          <w:tcPr>
            <w:tcW w:w="1629" w:type="dxa"/>
            <w:vAlign w:val="center"/>
          </w:tcPr>
          <w:p>
            <w:pPr>
              <w:jc w:val="center"/>
              <w:rPr>
                <w:rFonts w:hAnsi="宋体" w:cs="宋体"/>
                <w:snapToGrid w:val="0"/>
                <w:kern w:val="21"/>
              </w:rPr>
            </w:pPr>
            <w:r>
              <w:rPr>
                <w:rFonts w:hint="eastAsia"/>
                <w:snapToGrid w:val="0"/>
                <w:kern w:val="21"/>
                <w:lang w:val="en-US" w:eastAsia="zh-CN"/>
              </w:rPr>
              <w:t>0.05</w:t>
            </w:r>
            <w:r>
              <w:rPr>
                <w:snapToGrid w:val="0"/>
                <w:kern w:val="21"/>
              </w:rPr>
              <w:t>t/a</w:t>
            </w:r>
          </w:p>
        </w:tc>
        <w:tc>
          <w:tcPr>
            <w:tcW w:w="1242" w:type="dxa"/>
            <w:vAlign w:val="center"/>
          </w:tcPr>
          <w:p>
            <w:pPr>
              <w:jc w:val="center"/>
              <w:rPr>
                <w:rFonts w:hAnsi="宋体" w:cs="宋体"/>
                <w:snapToGrid w:val="0"/>
                <w:kern w:val="21"/>
              </w:rPr>
            </w:pPr>
            <w:r>
              <w:rPr>
                <w:rFonts w:hint="eastAsia"/>
                <w:snapToGrid w:val="0"/>
                <w:kern w:val="21"/>
                <w:lang w:val="en-US" w:eastAsia="zh-CN"/>
              </w:rPr>
              <w:t>0.05</w:t>
            </w:r>
            <w:r>
              <w:rPr>
                <w:snapToGrid w:val="0"/>
                <w:kern w:val="21"/>
              </w:rPr>
              <w:t>t/a</w:t>
            </w:r>
          </w:p>
        </w:tc>
      </w:tr>
    </w:tbl>
    <w:p>
      <w:pPr>
        <w:pStyle w:val="48"/>
        <w:tabs>
          <w:tab w:val="left" w:pos="9306"/>
        </w:tabs>
        <w:spacing w:before="192" w:beforeLines="80" w:after="24"/>
        <w:jc w:val="left"/>
        <w:rPr>
          <w:bCs/>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sectPr>
      <w:headerReference r:id="rId8" w:type="default"/>
      <w:footerReference r:id="rId9"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兰米新宋体加粗">
    <w:panose1 w:val="02000503000000000000"/>
    <w:charset w:val="86"/>
    <w:family w:val="auto"/>
    <w:pitch w:val="default"/>
    <w:sig w:usb0="8000002F" w:usb1="084164F8" w:usb2="00000012" w:usb3="00000000" w:csb0="00040001"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2312">
    <w:panose1 w:val="02000000000000000000"/>
    <w:charset w:val="86"/>
    <w:family w:val="auto"/>
    <w:pitch w:val="default"/>
    <w:sig w:usb0="A00002BF" w:usb1="184F6CFA" w:usb2="00000012" w:usb3="00000000" w:csb0="00040001" w:csb1="00000000"/>
  </w:font>
  <w:font w:name="gbsnu54">
    <w:altName w:val="Times New Roman"/>
    <w:panose1 w:val="00000000000000000000"/>
    <w:charset w:val="00"/>
    <w:family w:val="auto"/>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fldChar w:fldCharType="begin"/>
    </w:r>
    <w:r>
      <w:rPr>
        <w:rStyle w:val="29"/>
      </w:rPr>
      <w:instrText xml:space="preserve">PAGE  </w:instrTex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gnBZsQBAACR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cC5O25x4pfv3y4/fl1+fiXL&#10;avU6S9QHqDHzIWBuGu78gOmzH9CZmQ8q2vxFTgTjKPD5KrAcEhH50Xq1XlcYEhibL4jPHp+HCOmt&#10;9JZko6ERJ1iE5af3kMbUOSVXc/5eG1OmaNxfDsTMHpZ7H3vMVhr2w0Ro79sz8ulx+A11uOuUmHcO&#10;tc17MhtxNvaTkWtAuD0mLFz6yagj1FQMJ1UYTVuVV+HPe8l6/JO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VgnBZsQBAACRAwAADgAAAAAAAAABACAAAAAeAQAAZHJzL2Uyb0RvYy54bWxQ&#10;SwUGAAAAAAYABgBZAQAAVA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B40F83"/>
    <w:multiLevelType w:val="singleLevel"/>
    <w:tmpl w:val="D4B40F83"/>
    <w:lvl w:ilvl="0" w:tentative="0">
      <w:start w:val="2"/>
      <w:numFmt w:val="chineseCounting"/>
      <w:suff w:val="nothing"/>
      <w:lvlText w:val="（%1）"/>
      <w:lvlJc w:val="left"/>
      <w:rPr>
        <w:rFonts w:hint="eastAsia"/>
      </w:rPr>
    </w:lvl>
  </w:abstractNum>
  <w:abstractNum w:abstractNumId="1">
    <w:nsid w:val="24690A55"/>
    <w:multiLevelType w:val="multilevel"/>
    <w:tmpl w:val="24690A55"/>
    <w:lvl w:ilvl="0" w:tentative="0">
      <w:start w:val="1"/>
      <w:numFmt w:val="upperRoman"/>
      <w:lvlText w:val="%1."/>
      <w:lvlJc w:val="left"/>
      <w:pPr>
        <w:tabs>
          <w:tab w:val="left" w:pos="425"/>
        </w:tabs>
        <w:ind w:left="0" w:firstLine="0"/>
      </w:pPr>
    </w:lvl>
    <w:lvl w:ilvl="1" w:tentative="0">
      <w:start w:val="1"/>
      <w:numFmt w:val="upperLetter"/>
      <w:lvlText w:val="%2."/>
      <w:lvlJc w:val="left"/>
      <w:pPr>
        <w:tabs>
          <w:tab w:val="left" w:pos="1505"/>
        </w:tabs>
        <w:ind w:left="1080" w:firstLine="0"/>
      </w:pPr>
    </w:lvl>
    <w:lvl w:ilvl="2" w:tentative="0">
      <w:start w:val="1"/>
      <w:numFmt w:val="decimal"/>
      <w:pStyle w:val="5"/>
      <w:lvlText w:val="%3."/>
      <w:lvlJc w:val="left"/>
      <w:pPr>
        <w:tabs>
          <w:tab w:val="left" w:pos="2126"/>
        </w:tabs>
        <w:ind w:left="1701" w:firstLine="0"/>
      </w:pPr>
    </w:lvl>
    <w:lvl w:ilvl="3" w:tentative="0">
      <w:start w:val="1"/>
      <w:numFmt w:val="lowerLetter"/>
      <w:lvlText w:val="%4)"/>
      <w:lvlJc w:val="left"/>
      <w:pPr>
        <w:tabs>
          <w:tab w:val="left" w:pos="2976"/>
        </w:tabs>
        <w:ind w:left="2551" w:firstLine="0"/>
      </w:pPr>
    </w:lvl>
    <w:lvl w:ilvl="4" w:tentative="0">
      <w:start w:val="1"/>
      <w:numFmt w:val="decimal"/>
      <w:pStyle w:val="7"/>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2">
    <w:nsid w:val="612C2EAF"/>
    <w:multiLevelType w:val="multilevel"/>
    <w:tmpl w:val="612C2EAF"/>
    <w:lvl w:ilvl="0" w:tentative="0">
      <w:start w:val="1"/>
      <w:numFmt w:val="chineseCountingThousand"/>
      <w:suff w:val="nothing"/>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lvlRestart w:val="2"/>
      <w:pStyle w:val="75"/>
      <w:isLgl/>
      <w:suff w:val="space"/>
      <w:lvlText w:val="表%1.%2-%4"/>
      <w:lvlJc w:val="left"/>
      <w:pPr>
        <w:ind w:left="0" w:firstLine="0"/>
      </w:pPr>
      <w:rPr>
        <w:rFonts w:hint="eastAsia"/>
      </w:rPr>
    </w:lvl>
    <w:lvl w:ilvl="4" w:tentative="0">
      <w:start w:val="1"/>
      <w:numFmt w:val="decimal"/>
      <w:lvlRestart w:val="2"/>
      <w:isLgl/>
      <w:suff w:val="space"/>
      <w:lvlText w:val="图%1.%2-%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N2FmYzU2OWRhNWFmYzM0ZTY0MjBkOTQwOGE3ZjYifQ=="/>
  </w:docVars>
  <w:rsids>
    <w:rsidRoot w:val="00A14947"/>
    <w:rsid w:val="000060B3"/>
    <w:rsid w:val="00040F6C"/>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96D6D"/>
    <w:rsid w:val="001A1B35"/>
    <w:rsid w:val="001A48A2"/>
    <w:rsid w:val="001A62EE"/>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A67B9"/>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4848"/>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D1B1C"/>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1CC5"/>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93FA5"/>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A456F"/>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00300"/>
    <w:rsid w:val="00B107EF"/>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4CEB"/>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3CE5"/>
    <w:rsid w:val="00FB503A"/>
    <w:rsid w:val="00FB516C"/>
    <w:rsid w:val="00FD0236"/>
    <w:rsid w:val="00FD18F4"/>
    <w:rsid w:val="00FD54DB"/>
    <w:rsid w:val="00FD619F"/>
    <w:rsid w:val="01290F7E"/>
    <w:rsid w:val="015D1E09"/>
    <w:rsid w:val="02697903"/>
    <w:rsid w:val="02F96569"/>
    <w:rsid w:val="03E414C3"/>
    <w:rsid w:val="03EA7B21"/>
    <w:rsid w:val="046C2B0C"/>
    <w:rsid w:val="047B2AB9"/>
    <w:rsid w:val="05B60754"/>
    <w:rsid w:val="05F83EAE"/>
    <w:rsid w:val="06150AA9"/>
    <w:rsid w:val="06155A2B"/>
    <w:rsid w:val="063E7D85"/>
    <w:rsid w:val="07293586"/>
    <w:rsid w:val="07295285"/>
    <w:rsid w:val="07375B44"/>
    <w:rsid w:val="07636392"/>
    <w:rsid w:val="07663572"/>
    <w:rsid w:val="07770C56"/>
    <w:rsid w:val="07C43A23"/>
    <w:rsid w:val="08150280"/>
    <w:rsid w:val="08734797"/>
    <w:rsid w:val="088A62C2"/>
    <w:rsid w:val="08F22718"/>
    <w:rsid w:val="08F3287C"/>
    <w:rsid w:val="090D408D"/>
    <w:rsid w:val="092217DD"/>
    <w:rsid w:val="092D1901"/>
    <w:rsid w:val="093A7294"/>
    <w:rsid w:val="0A082BCF"/>
    <w:rsid w:val="0A263993"/>
    <w:rsid w:val="0A2D3AC2"/>
    <w:rsid w:val="0A641820"/>
    <w:rsid w:val="0AA755DF"/>
    <w:rsid w:val="0AF470A4"/>
    <w:rsid w:val="0B120D44"/>
    <w:rsid w:val="0B92607E"/>
    <w:rsid w:val="0BD27BF6"/>
    <w:rsid w:val="0C27052E"/>
    <w:rsid w:val="0C3B3C7D"/>
    <w:rsid w:val="0CAB2EAE"/>
    <w:rsid w:val="0D3F33D7"/>
    <w:rsid w:val="0D496C4D"/>
    <w:rsid w:val="0D621C7D"/>
    <w:rsid w:val="0E460A03"/>
    <w:rsid w:val="0E73034D"/>
    <w:rsid w:val="0EC8767D"/>
    <w:rsid w:val="0F13775A"/>
    <w:rsid w:val="0F5F45FE"/>
    <w:rsid w:val="0F9A112B"/>
    <w:rsid w:val="0FB93515"/>
    <w:rsid w:val="102E1829"/>
    <w:rsid w:val="106D2F64"/>
    <w:rsid w:val="10B63710"/>
    <w:rsid w:val="10DB2CEB"/>
    <w:rsid w:val="10F10820"/>
    <w:rsid w:val="111C2F7A"/>
    <w:rsid w:val="11665CA1"/>
    <w:rsid w:val="124D0B31"/>
    <w:rsid w:val="12D11CBB"/>
    <w:rsid w:val="13951726"/>
    <w:rsid w:val="13AA5567"/>
    <w:rsid w:val="14396509"/>
    <w:rsid w:val="14992F1B"/>
    <w:rsid w:val="14DD2C3C"/>
    <w:rsid w:val="16087E1D"/>
    <w:rsid w:val="17502639"/>
    <w:rsid w:val="17701D14"/>
    <w:rsid w:val="17735226"/>
    <w:rsid w:val="189F624C"/>
    <w:rsid w:val="19380E55"/>
    <w:rsid w:val="195C29D1"/>
    <w:rsid w:val="19F73A88"/>
    <w:rsid w:val="19FA52FB"/>
    <w:rsid w:val="1A1C66C0"/>
    <w:rsid w:val="1A42393B"/>
    <w:rsid w:val="1A445B32"/>
    <w:rsid w:val="1A86723E"/>
    <w:rsid w:val="1AAD45DE"/>
    <w:rsid w:val="1AB55F47"/>
    <w:rsid w:val="1B046F80"/>
    <w:rsid w:val="1B3267B5"/>
    <w:rsid w:val="1B40161D"/>
    <w:rsid w:val="1B441859"/>
    <w:rsid w:val="1B6606B1"/>
    <w:rsid w:val="1BD20A0F"/>
    <w:rsid w:val="1C555640"/>
    <w:rsid w:val="1C573145"/>
    <w:rsid w:val="1C5E7925"/>
    <w:rsid w:val="1CFD070F"/>
    <w:rsid w:val="1D5F6196"/>
    <w:rsid w:val="1D6132A5"/>
    <w:rsid w:val="1D630C4E"/>
    <w:rsid w:val="1D8E56D5"/>
    <w:rsid w:val="1E283E3B"/>
    <w:rsid w:val="1E7A43DA"/>
    <w:rsid w:val="1EA960EF"/>
    <w:rsid w:val="1F7A7D72"/>
    <w:rsid w:val="1FE7539E"/>
    <w:rsid w:val="1FFD6DD2"/>
    <w:rsid w:val="202A4A6F"/>
    <w:rsid w:val="20671BE0"/>
    <w:rsid w:val="20963CB8"/>
    <w:rsid w:val="20A81A1B"/>
    <w:rsid w:val="20B07FB6"/>
    <w:rsid w:val="20B646FB"/>
    <w:rsid w:val="213B74B1"/>
    <w:rsid w:val="215A2310"/>
    <w:rsid w:val="216A5B3F"/>
    <w:rsid w:val="21DE318A"/>
    <w:rsid w:val="21EF5B80"/>
    <w:rsid w:val="21FC38B5"/>
    <w:rsid w:val="22576990"/>
    <w:rsid w:val="225D4A8A"/>
    <w:rsid w:val="226D5BFB"/>
    <w:rsid w:val="22F47480"/>
    <w:rsid w:val="23370B16"/>
    <w:rsid w:val="23DE1C48"/>
    <w:rsid w:val="240210CD"/>
    <w:rsid w:val="246A772A"/>
    <w:rsid w:val="24B134DC"/>
    <w:rsid w:val="24BF09F7"/>
    <w:rsid w:val="24CB4D99"/>
    <w:rsid w:val="252D53FE"/>
    <w:rsid w:val="25406916"/>
    <w:rsid w:val="25EC2D81"/>
    <w:rsid w:val="2725581B"/>
    <w:rsid w:val="277057A2"/>
    <w:rsid w:val="278109B5"/>
    <w:rsid w:val="283B7AA0"/>
    <w:rsid w:val="286F7236"/>
    <w:rsid w:val="28C42FAB"/>
    <w:rsid w:val="29206EB8"/>
    <w:rsid w:val="29595666"/>
    <w:rsid w:val="29874881"/>
    <w:rsid w:val="29E325E0"/>
    <w:rsid w:val="2A452503"/>
    <w:rsid w:val="2A47723E"/>
    <w:rsid w:val="2AA2158F"/>
    <w:rsid w:val="2AC33076"/>
    <w:rsid w:val="2BA936A8"/>
    <w:rsid w:val="2C2755A2"/>
    <w:rsid w:val="2C315A5A"/>
    <w:rsid w:val="2C4B1C25"/>
    <w:rsid w:val="2CB46A7B"/>
    <w:rsid w:val="2CD326E1"/>
    <w:rsid w:val="2D9631E2"/>
    <w:rsid w:val="2D9E56F5"/>
    <w:rsid w:val="2DB4377E"/>
    <w:rsid w:val="2E1B2080"/>
    <w:rsid w:val="2E5179AA"/>
    <w:rsid w:val="2E667F96"/>
    <w:rsid w:val="2E8226AB"/>
    <w:rsid w:val="2E9758C4"/>
    <w:rsid w:val="2F6548BF"/>
    <w:rsid w:val="2F7F38AB"/>
    <w:rsid w:val="2FD065E6"/>
    <w:rsid w:val="2FD96870"/>
    <w:rsid w:val="30580BC9"/>
    <w:rsid w:val="309C17B2"/>
    <w:rsid w:val="311E2ED7"/>
    <w:rsid w:val="315619EE"/>
    <w:rsid w:val="315C449C"/>
    <w:rsid w:val="3161677C"/>
    <w:rsid w:val="31B82709"/>
    <w:rsid w:val="31B82E65"/>
    <w:rsid w:val="31D05482"/>
    <w:rsid w:val="32400B34"/>
    <w:rsid w:val="3265202B"/>
    <w:rsid w:val="32675C30"/>
    <w:rsid w:val="329E6876"/>
    <w:rsid w:val="332112B5"/>
    <w:rsid w:val="333015F2"/>
    <w:rsid w:val="334B6320"/>
    <w:rsid w:val="33D934D4"/>
    <w:rsid w:val="33FE2F6A"/>
    <w:rsid w:val="340E07E5"/>
    <w:rsid w:val="34235BF7"/>
    <w:rsid w:val="34DF26A4"/>
    <w:rsid w:val="358C5FA8"/>
    <w:rsid w:val="35C15DF1"/>
    <w:rsid w:val="36074A7F"/>
    <w:rsid w:val="363D369A"/>
    <w:rsid w:val="3664544C"/>
    <w:rsid w:val="36923549"/>
    <w:rsid w:val="369E16CD"/>
    <w:rsid w:val="36B75FBF"/>
    <w:rsid w:val="36BD0C45"/>
    <w:rsid w:val="36BE1E78"/>
    <w:rsid w:val="372501DF"/>
    <w:rsid w:val="37606725"/>
    <w:rsid w:val="378114F3"/>
    <w:rsid w:val="37E00298"/>
    <w:rsid w:val="38016270"/>
    <w:rsid w:val="38082E10"/>
    <w:rsid w:val="38584AC4"/>
    <w:rsid w:val="38AF6E19"/>
    <w:rsid w:val="38B302F9"/>
    <w:rsid w:val="38F12CD3"/>
    <w:rsid w:val="38F94775"/>
    <w:rsid w:val="392971ED"/>
    <w:rsid w:val="39325651"/>
    <w:rsid w:val="393403C1"/>
    <w:rsid w:val="3983023D"/>
    <w:rsid w:val="3A351E43"/>
    <w:rsid w:val="3A8721A8"/>
    <w:rsid w:val="3A872856"/>
    <w:rsid w:val="3B3763D1"/>
    <w:rsid w:val="3BF60954"/>
    <w:rsid w:val="3C006010"/>
    <w:rsid w:val="3C1968A9"/>
    <w:rsid w:val="3C2F6E1E"/>
    <w:rsid w:val="3C4F64BA"/>
    <w:rsid w:val="3CDA245A"/>
    <w:rsid w:val="3D1E06B7"/>
    <w:rsid w:val="3DF12D99"/>
    <w:rsid w:val="3E317A73"/>
    <w:rsid w:val="3E8B434B"/>
    <w:rsid w:val="3EDA0523"/>
    <w:rsid w:val="3F6F77AE"/>
    <w:rsid w:val="3FD10489"/>
    <w:rsid w:val="407A6407"/>
    <w:rsid w:val="408217BD"/>
    <w:rsid w:val="4100653B"/>
    <w:rsid w:val="41024FB4"/>
    <w:rsid w:val="417A49E3"/>
    <w:rsid w:val="4200449D"/>
    <w:rsid w:val="423A3BCC"/>
    <w:rsid w:val="424C6F60"/>
    <w:rsid w:val="424E57D2"/>
    <w:rsid w:val="42B26C49"/>
    <w:rsid w:val="43281BA1"/>
    <w:rsid w:val="433A6FE6"/>
    <w:rsid w:val="43480868"/>
    <w:rsid w:val="4350713C"/>
    <w:rsid w:val="436653E0"/>
    <w:rsid w:val="43C4431A"/>
    <w:rsid w:val="44B951CC"/>
    <w:rsid w:val="44CD14E0"/>
    <w:rsid w:val="44D073D9"/>
    <w:rsid w:val="44F20B0B"/>
    <w:rsid w:val="452E5F4C"/>
    <w:rsid w:val="45612018"/>
    <w:rsid w:val="458946E9"/>
    <w:rsid w:val="4589785A"/>
    <w:rsid w:val="45A47C0E"/>
    <w:rsid w:val="46577FD6"/>
    <w:rsid w:val="46D955A7"/>
    <w:rsid w:val="47081408"/>
    <w:rsid w:val="47133957"/>
    <w:rsid w:val="47A07E0C"/>
    <w:rsid w:val="481806BC"/>
    <w:rsid w:val="4870272E"/>
    <w:rsid w:val="48C2073F"/>
    <w:rsid w:val="48E05833"/>
    <w:rsid w:val="49654661"/>
    <w:rsid w:val="499E0E5D"/>
    <w:rsid w:val="49DC7715"/>
    <w:rsid w:val="49FA3644"/>
    <w:rsid w:val="4A023139"/>
    <w:rsid w:val="4A7B576F"/>
    <w:rsid w:val="4AF561A9"/>
    <w:rsid w:val="4B8E651F"/>
    <w:rsid w:val="4BE125DA"/>
    <w:rsid w:val="4C4A0649"/>
    <w:rsid w:val="4C611391"/>
    <w:rsid w:val="4C7E5ECA"/>
    <w:rsid w:val="4C876AA5"/>
    <w:rsid w:val="4D0E00FB"/>
    <w:rsid w:val="4D1319D0"/>
    <w:rsid w:val="4D176606"/>
    <w:rsid w:val="4D4C4E9F"/>
    <w:rsid w:val="4D5A1F9D"/>
    <w:rsid w:val="4DEC4FB0"/>
    <w:rsid w:val="4E075D8A"/>
    <w:rsid w:val="4E1D411F"/>
    <w:rsid w:val="4EC00FAD"/>
    <w:rsid w:val="4ED27F68"/>
    <w:rsid w:val="4F581277"/>
    <w:rsid w:val="4F8C25F6"/>
    <w:rsid w:val="4F9843DC"/>
    <w:rsid w:val="4FC62A8C"/>
    <w:rsid w:val="4FE20F0D"/>
    <w:rsid w:val="4FE51552"/>
    <w:rsid w:val="50504C4B"/>
    <w:rsid w:val="505969CF"/>
    <w:rsid w:val="509C6E7C"/>
    <w:rsid w:val="5131673C"/>
    <w:rsid w:val="515E55B0"/>
    <w:rsid w:val="5162104E"/>
    <w:rsid w:val="51C27A56"/>
    <w:rsid w:val="51F24576"/>
    <w:rsid w:val="523B7B7B"/>
    <w:rsid w:val="52687F2F"/>
    <w:rsid w:val="52CB6E86"/>
    <w:rsid w:val="535A6E67"/>
    <w:rsid w:val="53A039CC"/>
    <w:rsid w:val="53A1505A"/>
    <w:rsid w:val="53B53D33"/>
    <w:rsid w:val="54063E08"/>
    <w:rsid w:val="543437E8"/>
    <w:rsid w:val="54F73313"/>
    <w:rsid w:val="54F80955"/>
    <w:rsid w:val="555170A7"/>
    <w:rsid w:val="5587536D"/>
    <w:rsid w:val="559B174B"/>
    <w:rsid w:val="55AF2D18"/>
    <w:rsid w:val="55CE0CF4"/>
    <w:rsid w:val="55F75258"/>
    <w:rsid w:val="56B22A9C"/>
    <w:rsid w:val="576739BE"/>
    <w:rsid w:val="57B72A76"/>
    <w:rsid w:val="57C3426C"/>
    <w:rsid w:val="57CE1F93"/>
    <w:rsid w:val="588743D1"/>
    <w:rsid w:val="5887701A"/>
    <w:rsid w:val="59172F86"/>
    <w:rsid w:val="59C0439F"/>
    <w:rsid w:val="59C100A3"/>
    <w:rsid w:val="5ABE2233"/>
    <w:rsid w:val="5ADC4ABF"/>
    <w:rsid w:val="5B1C5BA8"/>
    <w:rsid w:val="5B1E6B8A"/>
    <w:rsid w:val="5BDF5D95"/>
    <w:rsid w:val="5BEE4B07"/>
    <w:rsid w:val="5BFE7528"/>
    <w:rsid w:val="5C2F1BBF"/>
    <w:rsid w:val="5C59773E"/>
    <w:rsid w:val="5C7D0879"/>
    <w:rsid w:val="5CB464A7"/>
    <w:rsid w:val="5DF539F8"/>
    <w:rsid w:val="5E2467F1"/>
    <w:rsid w:val="5EAD5C4E"/>
    <w:rsid w:val="5EC84DC3"/>
    <w:rsid w:val="5F1A2B43"/>
    <w:rsid w:val="5FB837BB"/>
    <w:rsid w:val="60CC405A"/>
    <w:rsid w:val="61E215D8"/>
    <w:rsid w:val="621B3775"/>
    <w:rsid w:val="62364782"/>
    <w:rsid w:val="6394356A"/>
    <w:rsid w:val="63A772E9"/>
    <w:rsid w:val="63C61B2C"/>
    <w:rsid w:val="63D40BE9"/>
    <w:rsid w:val="63E124A3"/>
    <w:rsid w:val="64102431"/>
    <w:rsid w:val="642D134C"/>
    <w:rsid w:val="649C26A7"/>
    <w:rsid w:val="64A5243A"/>
    <w:rsid w:val="64C654EB"/>
    <w:rsid w:val="64F531DE"/>
    <w:rsid w:val="651C6782"/>
    <w:rsid w:val="65373578"/>
    <w:rsid w:val="65E41D35"/>
    <w:rsid w:val="65FD5337"/>
    <w:rsid w:val="6615153D"/>
    <w:rsid w:val="669B3E03"/>
    <w:rsid w:val="66AF5D8A"/>
    <w:rsid w:val="67005408"/>
    <w:rsid w:val="671F124A"/>
    <w:rsid w:val="677A33C6"/>
    <w:rsid w:val="67C543FE"/>
    <w:rsid w:val="681F6961"/>
    <w:rsid w:val="68267058"/>
    <w:rsid w:val="68610A2F"/>
    <w:rsid w:val="68805514"/>
    <w:rsid w:val="68FB5860"/>
    <w:rsid w:val="69316E2F"/>
    <w:rsid w:val="694E2071"/>
    <w:rsid w:val="69766163"/>
    <w:rsid w:val="697A3B33"/>
    <w:rsid w:val="69A566EB"/>
    <w:rsid w:val="69D44760"/>
    <w:rsid w:val="6A1811F2"/>
    <w:rsid w:val="6A2D2598"/>
    <w:rsid w:val="6A520EC7"/>
    <w:rsid w:val="6AF87E20"/>
    <w:rsid w:val="6AFB6E09"/>
    <w:rsid w:val="6B0853DB"/>
    <w:rsid w:val="6B0C558D"/>
    <w:rsid w:val="6B322639"/>
    <w:rsid w:val="6B426526"/>
    <w:rsid w:val="6B7A6B8A"/>
    <w:rsid w:val="6C1721B9"/>
    <w:rsid w:val="6C636C38"/>
    <w:rsid w:val="6D0472F1"/>
    <w:rsid w:val="6D2E310C"/>
    <w:rsid w:val="6D321495"/>
    <w:rsid w:val="6D4A7ED7"/>
    <w:rsid w:val="6DB34098"/>
    <w:rsid w:val="6DB545B6"/>
    <w:rsid w:val="6DE02FB4"/>
    <w:rsid w:val="6E514CED"/>
    <w:rsid w:val="6E6543DB"/>
    <w:rsid w:val="6E83335A"/>
    <w:rsid w:val="6EB563D5"/>
    <w:rsid w:val="6ED92677"/>
    <w:rsid w:val="6F225983"/>
    <w:rsid w:val="6F3B56CB"/>
    <w:rsid w:val="6FDA5226"/>
    <w:rsid w:val="6FF06983"/>
    <w:rsid w:val="6FFC5590"/>
    <w:rsid w:val="706D1DD0"/>
    <w:rsid w:val="70856B87"/>
    <w:rsid w:val="70D01A23"/>
    <w:rsid w:val="70D527EE"/>
    <w:rsid w:val="70F120D5"/>
    <w:rsid w:val="715B5300"/>
    <w:rsid w:val="71D27F8A"/>
    <w:rsid w:val="72553024"/>
    <w:rsid w:val="73122968"/>
    <w:rsid w:val="731F5D5E"/>
    <w:rsid w:val="73474AFA"/>
    <w:rsid w:val="736E6C15"/>
    <w:rsid w:val="737F44AC"/>
    <w:rsid w:val="73C51AD5"/>
    <w:rsid w:val="741E793C"/>
    <w:rsid w:val="745E3944"/>
    <w:rsid w:val="750F0896"/>
    <w:rsid w:val="75356AAA"/>
    <w:rsid w:val="75C40610"/>
    <w:rsid w:val="7635099D"/>
    <w:rsid w:val="767A1615"/>
    <w:rsid w:val="77762421"/>
    <w:rsid w:val="77B56B1F"/>
    <w:rsid w:val="780F09F4"/>
    <w:rsid w:val="78213868"/>
    <w:rsid w:val="78396140"/>
    <w:rsid w:val="783C5278"/>
    <w:rsid w:val="785E74DD"/>
    <w:rsid w:val="78A90480"/>
    <w:rsid w:val="78CE665B"/>
    <w:rsid w:val="79B8312C"/>
    <w:rsid w:val="79D827D7"/>
    <w:rsid w:val="79F35234"/>
    <w:rsid w:val="7A0F1A7E"/>
    <w:rsid w:val="7A364017"/>
    <w:rsid w:val="7A8265E1"/>
    <w:rsid w:val="7ADE3215"/>
    <w:rsid w:val="7B686D42"/>
    <w:rsid w:val="7B841746"/>
    <w:rsid w:val="7C2611A3"/>
    <w:rsid w:val="7C6C5AC7"/>
    <w:rsid w:val="7C720017"/>
    <w:rsid w:val="7C8B24DE"/>
    <w:rsid w:val="7CC6544B"/>
    <w:rsid w:val="7D0239FF"/>
    <w:rsid w:val="7D5E40CD"/>
    <w:rsid w:val="7D9D7EFC"/>
    <w:rsid w:val="7DCD56F2"/>
    <w:rsid w:val="7DF749D1"/>
    <w:rsid w:val="7F001CE7"/>
    <w:rsid w:val="7F713A3E"/>
    <w:rsid w:val="7FC7180E"/>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 w:semiHidden="0" w:name="heading 2" w:locked="1"/>
    <w:lsdException w:qFormat="1" w:unhideWhenUsed="0" w:uiPriority="0" w:semiHidden="0" w:name="heading 3" w:locked="1"/>
    <w:lsdException w:qFormat="1" w:unhideWhenUsed="0" w:uiPriority="9" w:semiHidden="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iPriority="99"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locked/>
    <w:uiPriority w:val="9"/>
    <w:pPr>
      <w:keepNext/>
      <w:keepLines/>
      <w:outlineLvl w:val="1"/>
    </w:pPr>
    <w:rPr>
      <w:rFonts w:ascii="Arial" w:hAnsi="Arial" w:eastAsia="黑体"/>
      <w:b/>
      <w:bCs/>
      <w:sz w:val="28"/>
      <w:szCs w:val="32"/>
    </w:rPr>
  </w:style>
  <w:style w:type="paragraph" w:styleId="5">
    <w:name w:val="heading 3"/>
    <w:basedOn w:val="1"/>
    <w:next w:val="1"/>
    <w:qFormat/>
    <w:locked/>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34"/>
    <w:qFormat/>
    <w:locked/>
    <w:uiPriority w:val="9"/>
    <w:pPr>
      <w:keepNext/>
      <w:keepLines/>
      <w:spacing w:before="280" w:after="290" w:line="372" w:lineRule="auto"/>
      <w:outlineLvl w:val="3"/>
    </w:pPr>
    <w:rPr>
      <w:rFonts w:ascii="Arial" w:hAnsi="Arial" w:eastAsia="黑体"/>
      <w:b/>
    </w:rPr>
  </w:style>
  <w:style w:type="paragraph" w:styleId="7">
    <w:name w:val="heading 5"/>
    <w:basedOn w:val="1"/>
    <w:next w:val="1"/>
    <w:link w:val="35"/>
    <w:qFormat/>
    <w:locked/>
    <w:uiPriority w:val="0"/>
    <w:pPr>
      <w:keepNext/>
      <w:keepLines/>
      <w:numPr>
        <w:ilvl w:val="4"/>
        <w:numId w:val="1"/>
      </w:numPr>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7"/>
    <w:qFormat/>
    <w:uiPriority w:val="0"/>
    <w:pPr>
      <w:widowControl/>
      <w:snapToGrid w:val="0"/>
      <w:spacing w:before="60" w:after="160" w:line="259" w:lineRule="auto"/>
      <w:ind w:right="113"/>
    </w:pPr>
    <w:rPr>
      <w:kern w:val="0"/>
      <w:sz w:val="18"/>
      <w:szCs w:val="20"/>
    </w:rPr>
  </w:style>
  <w:style w:type="paragraph" w:styleId="8">
    <w:name w:val="List 3"/>
    <w:basedOn w:val="1"/>
    <w:next w:val="1"/>
    <w:qFormat/>
    <w:locked/>
    <w:uiPriority w:val="0"/>
    <w:pPr>
      <w:autoSpaceDE w:val="0"/>
      <w:autoSpaceDN w:val="0"/>
      <w:adjustRightInd w:val="0"/>
      <w:spacing w:line="288" w:lineRule="auto"/>
      <w:ind w:left="1260" w:hanging="420"/>
      <w:jc w:val="left"/>
      <w:textAlignment w:val="baseline"/>
    </w:pPr>
    <w:rPr>
      <w:kern w:val="0"/>
      <w:szCs w:val="20"/>
    </w:rPr>
  </w:style>
  <w:style w:type="paragraph" w:styleId="9">
    <w:name w:val="Normal Indent"/>
    <w:basedOn w:val="1"/>
    <w:next w:val="1"/>
    <w:qFormat/>
    <w:locked/>
    <w:uiPriority w:val="99"/>
    <w:pPr>
      <w:ind w:firstLine="420" w:firstLineChars="200"/>
    </w:pPr>
    <w:rPr>
      <w:sz w:val="21"/>
    </w:rPr>
  </w:style>
  <w:style w:type="paragraph" w:styleId="10">
    <w:name w:val="caption"/>
    <w:basedOn w:val="1"/>
    <w:next w:val="1"/>
    <w:qFormat/>
    <w:locked/>
    <w:uiPriority w:val="0"/>
    <w:pPr>
      <w:spacing w:before="120" w:line="360" w:lineRule="auto"/>
      <w:jc w:val="center"/>
    </w:pPr>
    <w:rPr>
      <w:rFonts w:eastAsia="黑体"/>
      <w:szCs w:val="20"/>
    </w:rPr>
  </w:style>
  <w:style w:type="paragraph" w:styleId="11">
    <w:name w:val="annotation text"/>
    <w:basedOn w:val="1"/>
    <w:link w:val="36"/>
    <w:semiHidden/>
    <w:qFormat/>
    <w:uiPriority w:val="0"/>
    <w:pPr>
      <w:jc w:val="left"/>
    </w:pPr>
    <w:rPr>
      <w:kern w:val="0"/>
      <w:szCs w:val="20"/>
    </w:rPr>
  </w:style>
  <w:style w:type="paragraph" w:styleId="12">
    <w:name w:val="Body Text Indent"/>
    <w:basedOn w:val="1"/>
    <w:next w:val="13"/>
    <w:link w:val="33"/>
    <w:qFormat/>
    <w:uiPriority w:val="0"/>
    <w:pPr>
      <w:spacing w:after="120"/>
      <w:ind w:left="420" w:leftChars="200"/>
    </w:pPr>
    <w:rPr>
      <w:kern w:val="0"/>
      <w:szCs w:val="20"/>
    </w:rPr>
  </w:style>
  <w:style w:type="paragraph" w:styleId="13">
    <w:name w:val="Body Text Indent 2"/>
    <w:basedOn w:val="1"/>
    <w:next w:val="14"/>
    <w:qFormat/>
    <w:locked/>
    <w:uiPriority w:val="0"/>
    <w:pPr>
      <w:ind w:firstLine="560" w:firstLineChars="200"/>
    </w:pPr>
    <w:rPr>
      <w:rFonts w:ascii="宋体" w:hAnsi="宋体"/>
      <w:sz w:val="28"/>
      <w:szCs w:val="20"/>
    </w:rPr>
  </w:style>
  <w:style w:type="paragraph" w:styleId="14">
    <w:name w:val="Body Text First Indent 2"/>
    <w:basedOn w:val="12"/>
    <w:next w:val="1"/>
    <w:qFormat/>
    <w:locked/>
    <w:uiPriority w:val="0"/>
    <w:pPr>
      <w:ind w:firstLine="420"/>
    </w:pPr>
  </w:style>
  <w:style w:type="paragraph" w:styleId="15">
    <w:name w:val="Plain Text"/>
    <w:basedOn w:val="1"/>
    <w:unhideWhenUsed/>
    <w:qFormat/>
    <w:locked/>
    <w:uiPriority w:val="99"/>
    <w:rPr>
      <w:rFonts w:ascii="宋体" w:hAnsi="Courier New" w:cs="Courier New"/>
      <w:szCs w:val="21"/>
    </w:rPr>
  </w:style>
  <w:style w:type="paragraph" w:styleId="16">
    <w:name w:val="Date"/>
    <w:basedOn w:val="1"/>
    <w:next w:val="1"/>
    <w:link w:val="38"/>
    <w:qFormat/>
    <w:uiPriority w:val="0"/>
    <w:pPr>
      <w:ind w:left="100" w:leftChars="2500"/>
    </w:pPr>
    <w:rPr>
      <w:kern w:val="0"/>
      <w:szCs w:val="20"/>
    </w:rPr>
  </w:style>
  <w:style w:type="paragraph" w:styleId="17">
    <w:name w:val="Balloon Text"/>
    <w:basedOn w:val="1"/>
    <w:link w:val="39"/>
    <w:semiHidden/>
    <w:qFormat/>
    <w:uiPriority w:val="0"/>
    <w:rPr>
      <w:kern w:val="0"/>
      <w:sz w:val="18"/>
      <w:szCs w:val="20"/>
    </w:rPr>
  </w:style>
  <w:style w:type="paragraph" w:styleId="18">
    <w:name w:val="footer"/>
    <w:basedOn w:val="1"/>
    <w:link w:val="40"/>
    <w:qFormat/>
    <w:uiPriority w:val="99"/>
    <w:pPr>
      <w:tabs>
        <w:tab w:val="center" w:pos="4153"/>
        <w:tab w:val="right" w:pos="8306"/>
      </w:tabs>
      <w:snapToGrid w:val="0"/>
      <w:jc w:val="left"/>
    </w:pPr>
    <w:rPr>
      <w:kern w:val="0"/>
      <w:sz w:val="18"/>
      <w:szCs w:val="20"/>
    </w:rPr>
  </w:style>
  <w:style w:type="paragraph" w:styleId="19">
    <w:name w:val="header"/>
    <w:basedOn w:val="1"/>
    <w:link w:val="41"/>
    <w:qFormat/>
    <w:uiPriority w:val="0"/>
    <w:pPr>
      <w:pBdr>
        <w:bottom w:val="single" w:color="auto" w:sz="6" w:space="1"/>
      </w:pBdr>
      <w:tabs>
        <w:tab w:val="center" w:pos="4153"/>
        <w:tab w:val="right" w:pos="8306"/>
      </w:tabs>
      <w:snapToGrid w:val="0"/>
      <w:jc w:val="center"/>
    </w:pPr>
    <w:rPr>
      <w:kern w:val="0"/>
      <w:sz w:val="18"/>
      <w:szCs w:val="20"/>
    </w:rPr>
  </w:style>
  <w:style w:type="paragraph" w:styleId="20">
    <w:name w:val="index heading"/>
    <w:basedOn w:val="1"/>
    <w:next w:val="21"/>
    <w:qFormat/>
    <w:locked/>
    <w:uiPriority w:val="0"/>
    <w:rPr>
      <w:color w:val="auto"/>
      <w:kern w:val="2"/>
      <w:szCs w:val="20"/>
    </w:rPr>
  </w:style>
  <w:style w:type="paragraph" w:styleId="21">
    <w:name w:val="index 1"/>
    <w:basedOn w:val="1"/>
    <w:next w:val="1"/>
    <w:qFormat/>
    <w:locked/>
    <w:uiPriority w:val="0"/>
    <w:pPr>
      <w:jc w:val="center"/>
    </w:pPr>
    <w:rPr>
      <w:rFonts w:eastAsia="黑体"/>
      <w:color w:val="000000"/>
      <w:sz w:val="21"/>
    </w:rPr>
  </w:style>
  <w:style w:type="paragraph" w:styleId="22">
    <w:name w:val="List"/>
    <w:basedOn w:val="1"/>
    <w:qFormat/>
    <w:locked/>
    <w:uiPriority w:val="0"/>
    <w:pPr>
      <w:ind w:left="200" w:hanging="200" w:hangingChars="200"/>
    </w:pPr>
  </w:style>
  <w:style w:type="paragraph" w:styleId="23">
    <w:name w:val="Body Text 2"/>
    <w:basedOn w:val="1"/>
    <w:next w:val="1"/>
    <w:qFormat/>
    <w:locked/>
    <w:uiPriority w:val="0"/>
    <w:rPr>
      <w:sz w:val="28"/>
    </w:rPr>
  </w:style>
  <w:style w:type="paragraph" w:styleId="24">
    <w:name w:val="Normal (Web)"/>
    <w:basedOn w:val="1"/>
    <w:link w:val="42"/>
    <w:qFormat/>
    <w:uiPriority w:val="0"/>
    <w:pPr>
      <w:widowControl/>
      <w:spacing w:before="100" w:beforeAutospacing="1" w:after="100" w:afterAutospacing="1"/>
      <w:jc w:val="left"/>
    </w:pPr>
    <w:rPr>
      <w:rFonts w:ascii="宋体" w:hAnsi="宋体"/>
      <w:kern w:val="0"/>
      <w:szCs w:val="20"/>
    </w:rPr>
  </w:style>
  <w:style w:type="paragraph" w:styleId="25">
    <w:name w:val="annotation subject"/>
    <w:basedOn w:val="11"/>
    <w:next w:val="11"/>
    <w:link w:val="43"/>
    <w:semiHidden/>
    <w:qFormat/>
    <w:uiPriority w:val="0"/>
    <w:rPr>
      <w:b/>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qFormat/>
    <w:locked/>
    <w:uiPriority w:val="0"/>
  </w:style>
  <w:style w:type="character" w:styleId="30">
    <w:name w:val="Hyperlink"/>
    <w:basedOn w:val="28"/>
    <w:qFormat/>
    <w:locked/>
    <w:uiPriority w:val="0"/>
    <w:rPr>
      <w:color w:val="0000FF"/>
      <w:u w:val="single"/>
    </w:rPr>
  </w:style>
  <w:style w:type="character" w:styleId="31">
    <w:name w:val="annotation reference"/>
    <w:semiHidden/>
    <w:qFormat/>
    <w:uiPriority w:val="0"/>
    <w:rPr>
      <w:sz w:val="21"/>
    </w:rPr>
  </w:style>
  <w:style w:type="paragraph" w:customStyle="1" w:styleId="32">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兰米新宋体加粗" w:hAnsi="兰米新宋体加粗" w:eastAsia="兰米新宋体加粗" w:cs="兰米新宋体加粗"/>
      <w:kern w:val="0"/>
    </w:rPr>
  </w:style>
  <w:style w:type="character" w:customStyle="1" w:styleId="33">
    <w:name w:val="正文文本缩进 字符"/>
    <w:link w:val="12"/>
    <w:semiHidden/>
    <w:qFormat/>
    <w:locked/>
    <w:uiPriority w:val="0"/>
    <w:rPr>
      <w:rFonts w:ascii="Times New Roman" w:hAnsi="Times New Roman" w:eastAsia="宋体"/>
      <w:sz w:val="24"/>
    </w:rPr>
  </w:style>
  <w:style w:type="character" w:customStyle="1" w:styleId="34">
    <w:name w:val="标题 4 字符"/>
    <w:link w:val="6"/>
    <w:qFormat/>
    <w:uiPriority w:val="0"/>
    <w:rPr>
      <w:rFonts w:ascii="Calibri Light" w:hAnsi="Calibri Light" w:eastAsia="宋体" w:cs="Times New Roman"/>
      <w:b/>
      <w:bCs/>
      <w:kern w:val="2"/>
      <w:sz w:val="28"/>
      <w:szCs w:val="28"/>
    </w:rPr>
  </w:style>
  <w:style w:type="character" w:customStyle="1" w:styleId="35">
    <w:name w:val="标题 5 字符"/>
    <w:link w:val="7"/>
    <w:qFormat/>
    <w:uiPriority w:val="0"/>
    <w:rPr>
      <w:rFonts w:hint="eastAsia" w:ascii="宋体" w:hAnsi="宋体" w:eastAsia="宋体" w:cs="宋体"/>
      <w:b/>
      <w:bCs/>
      <w:kern w:val="2"/>
      <w:sz w:val="24"/>
      <w:szCs w:val="24"/>
      <w:lang w:val="zh-CN" w:bidi="zh-CN"/>
    </w:rPr>
  </w:style>
  <w:style w:type="character" w:customStyle="1" w:styleId="36">
    <w:name w:val="批注文字 字符"/>
    <w:link w:val="11"/>
    <w:qFormat/>
    <w:locked/>
    <w:uiPriority w:val="0"/>
    <w:rPr>
      <w:rFonts w:ascii="Times New Roman" w:hAnsi="Times New Roman" w:eastAsia="宋体"/>
      <w:sz w:val="24"/>
    </w:rPr>
  </w:style>
  <w:style w:type="character" w:customStyle="1" w:styleId="37">
    <w:name w:val="正文文本 字符2"/>
    <w:link w:val="2"/>
    <w:qFormat/>
    <w:locked/>
    <w:uiPriority w:val="0"/>
    <w:rPr>
      <w:sz w:val="18"/>
    </w:rPr>
  </w:style>
  <w:style w:type="character" w:customStyle="1" w:styleId="38">
    <w:name w:val="日期 字符1"/>
    <w:link w:val="16"/>
    <w:qFormat/>
    <w:locked/>
    <w:uiPriority w:val="0"/>
    <w:rPr>
      <w:rFonts w:ascii="Times New Roman" w:hAnsi="Times New Roman" w:eastAsia="宋体"/>
      <w:sz w:val="24"/>
    </w:rPr>
  </w:style>
  <w:style w:type="character" w:customStyle="1" w:styleId="39">
    <w:name w:val="批注框文本 字符"/>
    <w:link w:val="17"/>
    <w:semiHidden/>
    <w:qFormat/>
    <w:locked/>
    <w:uiPriority w:val="0"/>
    <w:rPr>
      <w:rFonts w:ascii="Times New Roman" w:hAnsi="Times New Roman" w:eastAsia="宋体"/>
      <w:sz w:val="18"/>
    </w:rPr>
  </w:style>
  <w:style w:type="character" w:customStyle="1" w:styleId="40">
    <w:name w:val="页脚 字符1"/>
    <w:link w:val="18"/>
    <w:qFormat/>
    <w:locked/>
    <w:uiPriority w:val="99"/>
    <w:rPr>
      <w:sz w:val="18"/>
    </w:rPr>
  </w:style>
  <w:style w:type="character" w:customStyle="1" w:styleId="41">
    <w:name w:val="页眉 字符"/>
    <w:link w:val="19"/>
    <w:qFormat/>
    <w:locked/>
    <w:uiPriority w:val="0"/>
    <w:rPr>
      <w:sz w:val="18"/>
    </w:rPr>
  </w:style>
  <w:style w:type="character" w:customStyle="1" w:styleId="42">
    <w:name w:val="普通(网站) 字符"/>
    <w:link w:val="24"/>
    <w:qFormat/>
    <w:locked/>
    <w:uiPriority w:val="0"/>
    <w:rPr>
      <w:rFonts w:ascii="宋体" w:hAnsi="宋体" w:eastAsia="宋体"/>
      <w:sz w:val="24"/>
    </w:rPr>
  </w:style>
  <w:style w:type="character" w:customStyle="1" w:styleId="43">
    <w:name w:val="批注主题 字符"/>
    <w:link w:val="25"/>
    <w:semiHidden/>
    <w:qFormat/>
    <w:locked/>
    <w:uiPriority w:val="0"/>
    <w:rPr>
      <w:rFonts w:ascii="Times New Roman" w:hAnsi="Times New Roman" w:eastAsia="宋体"/>
      <w:b/>
      <w:kern w:val="2"/>
      <w:sz w:val="24"/>
    </w:rPr>
  </w:style>
  <w:style w:type="character" w:customStyle="1" w:styleId="44">
    <w:name w:val="正文文本 字符"/>
    <w:qFormat/>
    <w:uiPriority w:val="0"/>
    <w:rPr>
      <w:kern w:val="2"/>
      <w:sz w:val="24"/>
      <w:szCs w:val="24"/>
    </w:rPr>
  </w:style>
  <w:style w:type="character" w:customStyle="1" w:styleId="45">
    <w:name w:val="批注文字 字符1"/>
    <w:semiHidden/>
    <w:qFormat/>
    <w:uiPriority w:val="0"/>
    <w:rPr>
      <w:rFonts w:ascii="Times New Roman" w:hAnsi="Times New Roman" w:eastAsia="宋体"/>
      <w:sz w:val="24"/>
    </w:rPr>
  </w:style>
  <w:style w:type="character" w:customStyle="1" w:styleId="46">
    <w:name w:val="日期 字符"/>
    <w:semiHidden/>
    <w:qFormat/>
    <w:uiPriority w:val="0"/>
    <w:rPr>
      <w:rFonts w:ascii="Times New Roman" w:hAnsi="Times New Roman" w:eastAsia="宋体"/>
      <w:sz w:val="24"/>
    </w:rPr>
  </w:style>
  <w:style w:type="character" w:customStyle="1" w:styleId="47">
    <w:name w:val="表格 Char"/>
    <w:link w:val="48"/>
    <w:qFormat/>
    <w:locked/>
    <w:uiPriority w:val="0"/>
    <w:rPr>
      <w:rFonts w:ascii="宋体"/>
      <w:sz w:val="21"/>
    </w:rPr>
  </w:style>
  <w:style w:type="paragraph" w:customStyle="1" w:styleId="48">
    <w:name w:val="表格"/>
    <w:basedOn w:val="1"/>
    <w:next w:val="1"/>
    <w:link w:val="47"/>
    <w:qFormat/>
    <w:uiPriority w:val="0"/>
    <w:pPr>
      <w:adjustRightInd w:val="0"/>
      <w:snapToGrid w:val="0"/>
      <w:spacing w:beforeLines="32" w:afterLines="32" w:line="259" w:lineRule="auto"/>
      <w:jc w:val="center"/>
    </w:pPr>
    <w:rPr>
      <w:rFonts w:ascii="宋体"/>
      <w:kern w:val="0"/>
      <w:szCs w:val="20"/>
    </w:rPr>
  </w:style>
  <w:style w:type="character" w:customStyle="1" w:styleId="49">
    <w:name w:val="页脚 字符"/>
    <w:qFormat/>
    <w:uiPriority w:val="99"/>
  </w:style>
  <w:style w:type="character" w:customStyle="1" w:styleId="50">
    <w:name w:val="正文文本 字符1"/>
    <w:semiHidden/>
    <w:qFormat/>
    <w:uiPriority w:val="0"/>
    <w:rPr>
      <w:rFonts w:ascii="Times New Roman" w:hAnsi="Times New Roman" w:eastAsia="宋体"/>
      <w:sz w:val="24"/>
    </w:rPr>
  </w:style>
  <w:style w:type="paragraph" w:customStyle="1" w:styleId="51">
    <w:name w:val="！正文"/>
    <w:basedOn w:val="1"/>
    <w:qFormat/>
    <w:uiPriority w:val="0"/>
    <w:pPr>
      <w:ind w:firstLine="480"/>
    </w:pPr>
    <w:rPr>
      <w:rFonts w:cs="宋体"/>
      <w:sz w:val="21"/>
      <w:szCs w:val="20"/>
    </w:rPr>
  </w:style>
  <w:style w:type="paragraph" w:customStyle="1" w:styleId="52">
    <w:name w:val="正文首行缩进1"/>
    <w:basedOn w:val="2"/>
    <w:qFormat/>
    <w:uiPriority w:val="0"/>
    <w:pPr>
      <w:spacing w:before="100" w:beforeAutospacing="1"/>
      <w:ind w:firstLine="420" w:firstLineChars="100"/>
    </w:pPr>
    <w:rPr>
      <w:rFonts w:ascii="Calibri" w:hAnsi="Calibri"/>
      <w:szCs w:val="21"/>
    </w:rPr>
  </w:style>
  <w:style w:type="paragraph" w:customStyle="1" w:styleId="53">
    <w:name w:val="普通(网站)2"/>
    <w:basedOn w:val="1"/>
    <w:qFormat/>
    <w:uiPriority w:val="0"/>
    <w:pPr>
      <w:widowControl/>
      <w:spacing w:before="100" w:beforeAutospacing="1" w:after="100" w:afterAutospacing="1"/>
      <w:jc w:val="left"/>
    </w:pPr>
    <w:rPr>
      <w:rFonts w:ascii="宋体" w:hAnsi="宋体"/>
      <w:szCs w:val="20"/>
    </w:rPr>
  </w:style>
  <w:style w:type="paragraph" w:customStyle="1" w:styleId="54">
    <w:name w:val="A标准格式"/>
    <w:basedOn w:val="1"/>
    <w:qFormat/>
    <w:uiPriority w:val="0"/>
    <w:pPr>
      <w:spacing w:line="440" w:lineRule="exact"/>
      <w:ind w:firstLine="480" w:firstLineChars="200"/>
    </w:pPr>
  </w:style>
  <w:style w:type="paragraph" w:customStyle="1" w:styleId="55">
    <w:name w:val="24磅正文"/>
    <w:basedOn w:val="1"/>
    <w:qFormat/>
    <w:uiPriority w:val="0"/>
    <w:pPr>
      <w:spacing w:line="480" w:lineRule="exact"/>
      <w:ind w:firstLine="480" w:firstLineChars="200"/>
    </w:pPr>
  </w:style>
  <w:style w:type="paragraph" w:customStyle="1" w:styleId="56">
    <w:name w:val="正文文字"/>
    <w:basedOn w:val="1"/>
    <w:qFormat/>
    <w:uiPriority w:val="0"/>
    <w:pPr>
      <w:spacing w:line="560" w:lineRule="exact"/>
      <w:ind w:firstLine="200" w:firstLineChars="200"/>
    </w:pPr>
    <w:rPr>
      <w:szCs w:val="20"/>
    </w:rPr>
  </w:style>
  <w:style w:type="paragraph" w:customStyle="1" w:styleId="57">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1]正文"/>
    <w:basedOn w:val="1"/>
    <w:qFormat/>
    <w:uiPriority w:val="0"/>
    <w:pPr>
      <w:autoSpaceDE w:val="0"/>
      <w:autoSpaceDN w:val="0"/>
      <w:ind w:firstLine="200" w:firstLineChars="200"/>
    </w:pPr>
    <w:rPr>
      <w:color w:val="000000"/>
      <w:kern w:val="0"/>
      <w:szCs w:val="22"/>
      <w:lang w:val="zh-CN"/>
    </w:rPr>
  </w:style>
  <w:style w:type="paragraph" w:customStyle="1" w:styleId="59">
    <w:name w:val="Default1"/>
    <w:qFormat/>
    <w:uiPriority w:val="0"/>
    <w:pPr>
      <w:widowControl w:val="0"/>
      <w:autoSpaceDE w:val="0"/>
      <w:autoSpaceDN w:val="0"/>
      <w:adjustRightInd w:val="0"/>
      <w:spacing w:after="160" w:line="252" w:lineRule="auto"/>
      <w:jc w:val="both"/>
    </w:pPr>
    <w:rPr>
      <w:rFonts w:ascii="宋体" w:hAnsi="Calibri" w:eastAsia="宋体" w:cs="宋体"/>
      <w:color w:val="000000"/>
      <w:sz w:val="24"/>
      <w:szCs w:val="24"/>
      <w:lang w:val="en-US" w:eastAsia="zh-CN" w:bidi="ar-SA"/>
    </w:rPr>
  </w:style>
  <w:style w:type="paragraph" w:customStyle="1" w:styleId="60">
    <w:name w:val="表格内容自定"/>
    <w:basedOn w:val="1"/>
    <w:qFormat/>
    <w:uiPriority w:val="0"/>
    <w:pPr>
      <w:spacing w:line="280" w:lineRule="exact"/>
      <w:jc w:val="center"/>
    </w:pPr>
    <w:rPr>
      <w:kern w:val="0"/>
      <w:sz w:val="18"/>
      <w:szCs w:val="21"/>
    </w:rPr>
  </w:style>
  <w:style w:type="paragraph" w:customStyle="1" w:styleId="61">
    <w:name w:val="*正文"/>
    <w:qFormat/>
    <w:uiPriority w:val="0"/>
    <w:pPr>
      <w:spacing w:line="360" w:lineRule="auto"/>
      <w:ind w:firstLine="200" w:firstLineChars="200"/>
      <w:jc w:val="both"/>
      <w:textAlignment w:val="baseline"/>
    </w:pPr>
    <w:rPr>
      <w:rFonts w:ascii="Times New Roman" w:hAnsi="Times New Roman" w:eastAsia="宋体" w:cs="Times New Roman"/>
      <w:color w:val="000000"/>
      <w:sz w:val="24"/>
      <w:szCs w:val="22"/>
      <w:lang w:val="en-US" w:eastAsia="zh-CN" w:bidi="ar-SA"/>
    </w:rPr>
  </w:style>
  <w:style w:type="paragraph" w:customStyle="1" w:styleId="62">
    <w:name w:val="Table Paragraph"/>
    <w:basedOn w:val="1"/>
    <w:qFormat/>
    <w:uiPriority w:val="0"/>
    <w:pPr>
      <w:jc w:val="center"/>
    </w:pPr>
    <w:rPr>
      <w:rFonts w:ascii="宋体" w:hAnsi="宋体" w:cs="宋体"/>
      <w:sz w:val="21"/>
      <w:szCs w:val="21"/>
    </w:rPr>
  </w:style>
  <w:style w:type="paragraph" w:customStyle="1" w:styleId="63">
    <w:name w:val="无间隔1"/>
    <w:basedOn w:val="1"/>
    <w:qFormat/>
    <w:uiPriority w:val="0"/>
    <w:pPr>
      <w:widowControl/>
      <w:jc w:val="left"/>
    </w:pPr>
    <w:rPr>
      <w:rFonts w:ascii="Cambria" w:hAnsi="Cambria"/>
      <w:kern w:val="0"/>
      <w:sz w:val="22"/>
      <w:szCs w:val="22"/>
      <w:lang w:eastAsia="en-US" w:bidi="en-US"/>
    </w:rPr>
  </w:style>
  <w:style w:type="paragraph" w:customStyle="1" w:styleId="64">
    <w:name w:val="p0"/>
    <w:basedOn w:val="1"/>
    <w:qFormat/>
    <w:uiPriority w:val="0"/>
    <w:pPr>
      <w:widowControl/>
      <w:spacing w:before="100" w:beforeAutospacing="1" w:after="100" w:afterAutospacing="1"/>
      <w:jc w:val="left"/>
    </w:pPr>
    <w:rPr>
      <w:rFonts w:ascii="宋体" w:hAnsi="宋体" w:cs="宋体"/>
      <w:kern w:val="0"/>
    </w:rPr>
  </w:style>
  <w:style w:type="paragraph" w:customStyle="1" w:styleId="65">
    <w:name w:val="表格内容"/>
    <w:basedOn w:val="1"/>
    <w:next w:val="1"/>
    <w:qFormat/>
    <w:uiPriority w:val="0"/>
    <w:pPr>
      <w:spacing w:line="240" w:lineRule="atLeast"/>
      <w:jc w:val="center"/>
    </w:pPr>
    <w:rPr>
      <w:szCs w:val="20"/>
    </w:rPr>
  </w:style>
  <w:style w:type="paragraph" w:customStyle="1" w:styleId="66">
    <w:name w:val="新格式表"/>
    <w:basedOn w:val="1"/>
    <w:qFormat/>
    <w:uiPriority w:val="0"/>
    <w:pPr>
      <w:adjustRightInd w:val="0"/>
      <w:snapToGrid w:val="0"/>
      <w:spacing w:line="0" w:lineRule="atLeast"/>
      <w:jc w:val="center"/>
    </w:pPr>
    <w:rPr>
      <w:kern w:val="0"/>
      <w:szCs w:val="21"/>
    </w:rPr>
  </w:style>
  <w:style w:type="paragraph" w:customStyle="1" w:styleId="67">
    <w:name w:val="Default"/>
    <w:basedOn w:val="68"/>
    <w:next w:val="69"/>
    <w:qFormat/>
    <w:uiPriority w:val="0"/>
    <w:pPr>
      <w:autoSpaceDE w:val="0"/>
      <w:autoSpaceDN w:val="0"/>
    </w:pPr>
    <w:rPr>
      <w:rFonts w:ascii="Times New Roman" w:hAnsi="Times New Roman"/>
      <w:color w:val="000000"/>
      <w:szCs w:val="24"/>
    </w:rPr>
  </w:style>
  <w:style w:type="paragraph" w:customStyle="1" w:styleId="68">
    <w:name w:val="文本"/>
    <w:basedOn w:val="1"/>
    <w:next w:val="1"/>
    <w:qFormat/>
    <w:uiPriority w:val="0"/>
    <w:pPr>
      <w:autoSpaceDE w:val="0"/>
      <w:autoSpaceDN w:val="0"/>
      <w:ind w:firstLine="480"/>
    </w:pPr>
    <w:rPr>
      <w:rFonts w:cs="Times New Roman"/>
      <w:szCs w:val="24"/>
      <w:lang w:val="zh-CN"/>
    </w:rPr>
  </w:style>
  <w:style w:type="paragraph" w:customStyle="1" w:styleId="69">
    <w:name w:val="样式1"/>
    <w:basedOn w:val="20"/>
    <w:next w:val="1"/>
    <w:qFormat/>
    <w:uiPriority w:val="0"/>
    <w:pPr>
      <w:snapToGrid w:val="0"/>
      <w:jc w:val="center"/>
    </w:pPr>
    <w:rPr>
      <w:rFonts w:ascii="宋体" w:eastAsia="宋体"/>
      <w:sz w:val="21"/>
    </w:rPr>
  </w:style>
  <w:style w:type="paragraph" w:customStyle="1" w:styleId="70">
    <w:name w:val="纯文本1"/>
    <w:basedOn w:val="1"/>
    <w:qFormat/>
    <w:uiPriority w:val="0"/>
    <w:pPr>
      <w:adjustRightInd w:val="0"/>
    </w:pPr>
    <w:rPr>
      <w:rFonts w:ascii="宋体" w:hAnsi="Courier New"/>
      <w:szCs w:val="20"/>
    </w:rPr>
  </w:style>
  <w:style w:type="paragraph" w:customStyle="1" w:styleId="71">
    <w:name w:val="表格内文字"/>
    <w:basedOn w:val="1"/>
    <w:qFormat/>
    <w:uiPriority w:val="0"/>
    <w:pPr>
      <w:tabs>
        <w:tab w:val="left" w:pos="0"/>
      </w:tabs>
      <w:adjustRightInd w:val="0"/>
      <w:snapToGrid w:val="0"/>
      <w:jc w:val="center"/>
    </w:pPr>
    <w:rPr>
      <w:kern w:val="0"/>
    </w:rPr>
  </w:style>
  <w:style w:type="paragraph" w:customStyle="1" w:styleId="72">
    <w:name w:val="表内容"/>
    <w:basedOn w:val="55"/>
    <w:next w:val="1"/>
    <w:qFormat/>
    <w:uiPriority w:val="0"/>
    <w:pPr>
      <w:spacing w:line="360" w:lineRule="exact"/>
      <w:ind w:firstLine="0" w:firstLineChars="0"/>
      <w:jc w:val="center"/>
    </w:pPr>
    <w:rPr>
      <w:szCs w:val="21"/>
    </w:rPr>
  </w:style>
  <w:style w:type="paragraph" w:customStyle="1" w:styleId="73">
    <w:name w:val="正文 + 仿宋_GB2312"/>
    <w:basedOn w:val="1"/>
    <w:qFormat/>
    <w:uiPriority w:val="99"/>
    <w:pPr>
      <w:ind w:firstLine="480" w:firstLineChars="200"/>
    </w:pPr>
    <w:rPr>
      <w:rFonts w:ascii="方正仿宋_GB2312" w:hAnsi="Calibri" w:eastAsia="方正仿宋_GB2312"/>
    </w:rPr>
  </w:style>
  <w:style w:type="paragraph" w:customStyle="1" w:styleId="74">
    <w:name w:val="胡正文"/>
    <w:basedOn w:val="1"/>
    <w:qFormat/>
    <w:uiPriority w:val="0"/>
    <w:pPr>
      <w:spacing w:line="360" w:lineRule="auto"/>
      <w:ind w:firstLine="200" w:firstLineChars="200"/>
      <w:jc w:val="left"/>
    </w:pPr>
    <w:rPr>
      <w:rFonts w:ascii="宋体" w:hAnsi="宋体"/>
      <w:szCs w:val="28"/>
    </w:rPr>
  </w:style>
  <w:style w:type="paragraph" w:customStyle="1" w:styleId="75">
    <w:name w:val="4表格标题"/>
    <w:basedOn w:val="1"/>
    <w:qFormat/>
    <w:uiPriority w:val="0"/>
    <w:pPr>
      <w:numPr>
        <w:ilvl w:val="3"/>
        <w:numId w:val="2"/>
      </w:numPr>
      <w:spacing w:line="360" w:lineRule="auto"/>
      <w:jc w:val="center"/>
    </w:pPr>
    <w:rPr>
      <w:rFonts w:ascii="gbsnu54" w:hAnsi="gbsnu54" w:cs="gbsnu54"/>
      <w:b/>
      <w:bCs/>
      <w:color w:val="000000"/>
      <w:kern w:val="0"/>
      <w:szCs w:val="16"/>
    </w:rPr>
  </w:style>
  <w:style w:type="paragraph" w:customStyle="1" w:styleId="76">
    <w:name w:val="表格－正文"/>
    <w:basedOn w:val="1"/>
    <w:qFormat/>
    <w:uiPriority w:val="0"/>
    <w:pPr>
      <w:spacing w:line="300" w:lineRule="exact"/>
      <w:jc w:val="center"/>
    </w:pPr>
    <w:rPr>
      <w:kern w:val="0"/>
      <w:sz w:val="20"/>
      <w:szCs w:val="20"/>
    </w:rPr>
  </w:style>
  <w:style w:type="paragraph" w:customStyle="1" w:styleId="77">
    <w:name w:val="无间隔2"/>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78">
    <w:name w:val="fontstyle01"/>
    <w:basedOn w:val="28"/>
    <w:qFormat/>
    <w:uiPriority w:val="0"/>
    <w:rPr>
      <w:rFonts w:hint="eastAsia" w:ascii="宋体" w:hAnsi="宋体" w:eastAsia="宋体"/>
      <w:color w:val="000000"/>
      <w:sz w:val="24"/>
      <w:szCs w:val="24"/>
    </w:rPr>
  </w:style>
  <w:style w:type="character" w:customStyle="1" w:styleId="79">
    <w:name w:val="fontstyle21"/>
    <w:basedOn w:val="28"/>
    <w:qFormat/>
    <w:uiPriority w:val="0"/>
    <w:rPr>
      <w:rFonts w:hint="default" w:ascii="TimesNewRomanPSMT" w:hAnsi="TimesNewRomanPSMT"/>
      <w:color w:val="000000"/>
      <w:sz w:val="24"/>
      <w:szCs w:val="24"/>
    </w:rPr>
  </w:style>
  <w:style w:type="paragraph" w:customStyle="1" w:styleId="80">
    <w:name w:val="表"/>
    <w:basedOn w:val="22"/>
    <w:qFormat/>
    <w:uiPriority w:val="0"/>
    <w:pPr>
      <w:keepNext/>
      <w:keepLines/>
      <w:spacing w:before="60" w:after="60" w:line="240" w:lineRule="exact"/>
      <w:ind w:left="0" w:firstLine="0" w:firstLineChars="0"/>
      <w:jc w:val="center"/>
    </w:pPr>
    <w:rPr>
      <w:szCs w:val="21"/>
    </w:rPr>
  </w:style>
  <w:style w:type="paragraph" w:customStyle="1" w:styleId="81">
    <w:name w:val="君邦正文"/>
    <w:qFormat/>
    <w:uiPriority w:val="0"/>
    <w:pPr>
      <w:spacing w:after="60" w:line="360" w:lineRule="auto"/>
      <w:ind w:firstLine="480" w:firstLineChars="200"/>
      <w:jc w:val="both"/>
    </w:pPr>
    <w:rPr>
      <w:rFonts w:ascii="Times New Roman" w:hAnsi="Times New Roman" w:eastAsia="宋体" w:cs="Times New Roman"/>
      <w:bCs/>
      <w:snapToGrid w:val="0"/>
      <w:sz w:val="24"/>
      <w:lang w:val="en-US" w:eastAsia="zh-CN" w:bidi="ar-SA"/>
    </w:rPr>
  </w:style>
  <w:style w:type="paragraph" w:customStyle="1" w:styleId="82">
    <w:name w:val="样式1 + (西文) Times New Roman (中文) 新宋体"/>
    <w:basedOn w:val="1"/>
    <w:next w:val="1"/>
    <w:qFormat/>
    <w:uiPriority w:val="0"/>
    <w:pPr>
      <w:spacing w:line="500" w:lineRule="exact"/>
      <w:ind w:firstLine="200" w:firstLineChars="200"/>
    </w:pPr>
    <w:rPr>
      <w:rFonts w:cs="Tahoma"/>
      <w:sz w:val="24"/>
      <w:szCs w:val="21"/>
    </w:rPr>
  </w:style>
  <w:style w:type="paragraph" w:customStyle="1" w:styleId="83">
    <w:name w:val="6表内容"/>
    <w:basedOn w:val="1"/>
    <w:qFormat/>
    <w:uiPriority w:val="0"/>
    <w:pPr>
      <w:spacing w:line="240" w:lineRule="auto"/>
      <w:ind w:firstLine="0" w:firstLineChars="0"/>
      <w:jc w:val="center"/>
    </w:pPr>
    <w:rPr>
      <w:rFonts w:eastAsia="宋体" w:cs="宋体"/>
      <w:color w:val="000000"/>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"/>
    </extobj>
    <extobj name="ECB019B1-382A-4266-B25C-5B523AA43C14-2">
      <extobjdata type="ECB019B1-382A-4266-B25C-5B523AA43C14" data="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"/>
    </extobj>
    <extobj name="ECB019B1-382A-4266-B25C-5B523AA43C14-3">
      <extobjdata type="ECB019B1-382A-4266-B25C-5B523AA43C14" data="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52</Pages>
  <Words>27786</Words>
  <Characters>31052</Characters>
  <Lines>372</Lines>
  <Paragraphs>104</Paragraphs>
  <TotalTime>0</TotalTime>
  <ScaleCrop>false</ScaleCrop>
  <LinksUpToDate>false</LinksUpToDate>
  <CharactersWithSpaces>31221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Chris</cp:lastModifiedBy>
  <cp:lastPrinted>2022-04-24T06:14:00Z</cp:lastPrinted>
  <dcterms:modified xsi:type="dcterms:W3CDTF">2022-05-06T06:23:03Z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EF68E70067FC4246BFEAFACC47B263AA</vt:lpwstr>
  </property>
  <property fmtid="{D5CDD505-2E9C-101B-9397-08002B2CF9AE}" pid="4" name="commondata">
    <vt:lpwstr>eyJoZGlkIjoiZTU3N2FmYzU2OWRhNWFmYzM0ZTY0MjBkOTQwOGE3ZjYifQ==</vt:lpwstr>
  </property>
</Properties>
</file>