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Theme="majorEastAsia" w:hAnsiTheme="majorEastAsia" w:eastAsiaTheme="majorEastAsia" w:cstheme="majorEastAsia"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p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525" w:rightChars="250" w:firstLine="417" w:firstLineChars="11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trike w:val="0"/>
          <w:dstrike w:val="0"/>
          <w:color w:val="000000"/>
          <w:sz w:val="36"/>
          <w:szCs w:val="36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trike w:val="0"/>
          <w:dstrike w:val="0"/>
          <w:color w:val="000000"/>
          <w:sz w:val="36"/>
          <w:szCs w:val="36"/>
          <w:highlight w:val="none"/>
          <w:u w:val="none"/>
          <w:lang w:eastAsia="zh-CN"/>
        </w:rPr>
        <w:t>取水许可“双随机、一公开”抽查工作计划表</w:t>
      </w:r>
    </w:p>
    <w:tbl>
      <w:tblPr>
        <w:tblStyle w:val="10"/>
        <w:tblW w:w="13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02"/>
        <w:gridCol w:w="2909"/>
        <w:gridCol w:w="987"/>
        <w:gridCol w:w="1417"/>
        <w:gridCol w:w="1418"/>
        <w:gridCol w:w="2268"/>
        <w:gridCol w:w="1361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抽查任务名称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抽查事项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发起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方式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抽查主体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层级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对象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抽查基数和比例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时间段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2"/>
              </w:rPr>
            </w:pPr>
            <w:r>
              <w:rPr>
                <w:rFonts w:hint="eastAsia" w:ascii="仿宋_GB2312" w:hAnsi="仿宋_GB2312" w:cs="仿宋_GB2312"/>
                <w:sz w:val="22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年度取水许可“双随机、一公开”抽查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取水许可证检查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是否按照取水许可批准的条件取水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取水计量设施安装及运行维护情况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水资源费缴纳情况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县级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自行组织发起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萧县水利局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萧县水利局审批发放取水许可证的自备水源取用水户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从检查对象名录库中随机抽取检查对象，比例不低于总数的3%或者不少于2家。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第二季度、第三季度两个批次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cs="仿宋_GB2312"/>
                <w:sz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注：抽查事项应当与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随机抽查事项</w:t>
      </w:r>
      <w:r>
        <w:rPr>
          <w:rFonts w:hint="eastAsia" w:ascii="仿宋_GB2312" w:hAnsi="仿宋_GB2312" w:eastAsia="仿宋_GB2312" w:cs="仿宋_GB2312"/>
          <w:sz w:val="30"/>
          <w:szCs w:val="30"/>
        </w:rPr>
        <w:t>清单保持一致；发起方式分为“省级统一组织发起”、“各地自行组织发起”、“各级自行组织发起”；抽查基数为计划制定时实有抽查对象数；抽查比例为全年总体抽查比例；抽查任务可以按时间段分批次开展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560" w:lineRule="exact"/>
        <w:rPr>
          <w:rFonts w:hint="eastAsia" w:asciiTheme="majorEastAsia" w:hAnsiTheme="majorEastAsia" w:eastAsiaTheme="majorEastAsia" w:cstheme="majorEastAsia"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附表2</w:t>
      </w:r>
    </w:p>
    <w:p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25" w:rightChars="25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trike w:val="0"/>
          <w:dstrike w:val="0"/>
          <w:color w:val="000000"/>
          <w:sz w:val="36"/>
          <w:szCs w:val="36"/>
          <w:highlight w:val="none"/>
          <w:u w:val="none"/>
          <w:lang w:eastAsia="zh-CN"/>
        </w:rPr>
      </w:pPr>
    </w:p>
    <w:p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25" w:rightChars="25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trike w:val="0"/>
          <w:dstrike w:val="0"/>
          <w:color w:val="000000"/>
          <w:sz w:val="36"/>
          <w:szCs w:val="36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trike w:val="0"/>
          <w:dstrike w:val="0"/>
          <w:color w:val="000000"/>
          <w:sz w:val="36"/>
          <w:szCs w:val="36"/>
          <w:highlight w:val="none"/>
          <w:u w:val="none"/>
          <w:lang w:eastAsia="zh-CN"/>
        </w:rPr>
        <w:t>取水许可“双随机、一公开”抽查事项清单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strike w:val="0"/>
          <w:dstrike w:val="0"/>
          <w:color w:val="000000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strike w:val="0"/>
          <w:dstrike w:val="0"/>
          <w:color w:val="000000"/>
          <w:highlight w:val="none"/>
          <w:u w:val="none"/>
        </w:rPr>
      </w:pPr>
    </w:p>
    <w:tbl>
      <w:tblPr>
        <w:tblStyle w:val="10"/>
        <w:tblW w:w="13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947"/>
        <w:gridCol w:w="1017"/>
        <w:gridCol w:w="2000"/>
        <w:gridCol w:w="4979"/>
        <w:gridCol w:w="1020"/>
        <w:gridCol w:w="1789"/>
        <w:gridCol w:w="945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tblHeader/>
          <w:jc w:val="center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 w:cs="黑体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序号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 w:cs="黑体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检查项目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 w:cs="黑体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检查子项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 w:cs="黑体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检查依据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 w:cs="黑体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检查内容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 w:cs="黑体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检查方式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 w:cs="黑体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检查方法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  <w:t>类别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1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取水许可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检查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取水许可证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有效期检查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《中华人民共和国水法》第四十八条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取用水单位取水许可证是否合规有效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实地核查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核查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取水许可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证有效日期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  <w:t>检查事项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是否按照取水许可批准的条件取水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《取水许可和水资源费征收管理条例》第三十八条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取水水源是否与取水许可证一致，是否存在超许可、超计划取水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实地核查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根据取水许可证水量，核查取水户用水量是否超许可取水；根据县水利局下达的取水计划，核查是否超计划取水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  <w:t>检查事项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取水计量设施安装及运行维护情况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《取水许可和水资源费征收管理条例》第三十八条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是否安装取水计量设施，取水计量设施是否正常运行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实地核查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检查取用水户取水是否安装计量设施，计量设施是否正常运行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  <w:t>检查事项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水资源费缴纳情况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《取水许可和水资源费征收管理条例》第三十八条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是否按月足额缴纳水资源费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</w:rPr>
              <w:t>实地核查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检查缴费记录，核查取用水户是否按月足额缴纳水资源费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  <w:t>检查事项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仿宋_GB2312" w:hAnsi="仿宋_GB2312" w:eastAsia="仿宋_GB2312" w:cs="仿宋_GB2312"/>
          <w:sz w:val="10"/>
          <w:szCs w:val="10"/>
          <w:lang w:val="en-US" w:eastAsia="zh-CN"/>
        </w:rPr>
      </w:pPr>
    </w:p>
    <w:sectPr>
      <w:footerReference r:id="rId3" w:type="default"/>
      <w:type w:val="continuous"/>
      <w:pgSz w:w="16838" w:h="11906" w:orient="landscape"/>
      <w:pgMar w:top="1984" w:right="1474" w:bottom="1474" w:left="1587" w:header="851" w:footer="992" w:gutter="0"/>
      <w:pgNumType w:fmt="numberInDash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363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- 25 -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- 25 -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4FEF7"/>
    <w:multiLevelType w:val="singleLevel"/>
    <w:tmpl w:val="ACE4FE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ODllMDdlMWM2NWEzYjNiZTZiNzM1NWNkNDYzOTYifQ=="/>
  </w:docVars>
  <w:rsids>
    <w:rsidRoot w:val="00172A27"/>
    <w:rsid w:val="02201D8C"/>
    <w:rsid w:val="06844A1D"/>
    <w:rsid w:val="068E7B23"/>
    <w:rsid w:val="07FA6938"/>
    <w:rsid w:val="0ABD19A4"/>
    <w:rsid w:val="119834B0"/>
    <w:rsid w:val="123766C7"/>
    <w:rsid w:val="14E25BD5"/>
    <w:rsid w:val="15DB4A1B"/>
    <w:rsid w:val="15E9035E"/>
    <w:rsid w:val="1650345C"/>
    <w:rsid w:val="16904963"/>
    <w:rsid w:val="16917EDD"/>
    <w:rsid w:val="172B7A95"/>
    <w:rsid w:val="18736C61"/>
    <w:rsid w:val="1B3E7891"/>
    <w:rsid w:val="1B6FC77A"/>
    <w:rsid w:val="1C806D50"/>
    <w:rsid w:val="1CF7D037"/>
    <w:rsid w:val="1DA6379E"/>
    <w:rsid w:val="1F055E70"/>
    <w:rsid w:val="1FB06289"/>
    <w:rsid w:val="20B6593D"/>
    <w:rsid w:val="22BC476C"/>
    <w:rsid w:val="2453086A"/>
    <w:rsid w:val="247C26DD"/>
    <w:rsid w:val="26533496"/>
    <w:rsid w:val="26914EAB"/>
    <w:rsid w:val="29953CE4"/>
    <w:rsid w:val="300051F9"/>
    <w:rsid w:val="329830F5"/>
    <w:rsid w:val="39F46FF2"/>
    <w:rsid w:val="3A80103E"/>
    <w:rsid w:val="3BB865B6"/>
    <w:rsid w:val="3CCF3BB7"/>
    <w:rsid w:val="3F3FEE8E"/>
    <w:rsid w:val="3F8337AF"/>
    <w:rsid w:val="41ED24B6"/>
    <w:rsid w:val="45F545B9"/>
    <w:rsid w:val="48AC047D"/>
    <w:rsid w:val="4DB0042C"/>
    <w:rsid w:val="4E7D7B8B"/>
    <w:rsid w:val="4F7A5C04"/>
    <w:rsid w:val="4FC6585F"/>
    <w:rsid w:val="51890380"/>
    <w:rsid w:val="52541622"/>
    <w:rsid w:val="5415414D"/>
    <w:rsid w:val="54EB06A0"/>
    <w:rsid w:val="57DF36CE"/>
    <w:rsid w:val="590F1AB3"/>
    <w:rsid w:val="5B044F1C"/>
    <w:rsid w:val="5F9E2D43"/>
    <w:rsid w:val="6130641B"/>
    <w:rsid w:val="64C3371A"/>
    <w:rsid w:val="6A1567FD"/>
    <w:rsid w:val="6B032AFA"/>
    <w:rsid w:val="6B5027A1"/>
    <w:rsid w:val="6D283C7A"/>
    <w:rsid w:val="6DAF6F69"/>
    <w:rsid w:val="6F73474D"/>
    <w:rsid w:val="6F9951A8"/>
    <w:rsid w:val="76730267"/>
    <w:rsid w:val="77EF9BFC"/>
    <w:rsid w:val="77FC93F8"/>
    <w:rsid w:val="786A065C"/>
    <w:rsid w:val="79CA43B7"/>
    <w:rsid w:val="7A71908E"/>
    <w:rsid w:val="7DCAAE92"/>
    <w:rsid w:val="7EBA43B5"/>
    <w:rsid w:val="7EFC0D1A"/>
    <w:rsid w:val="7FEEC3BA"/>
    <w:rsid w:val="7FFEC2A4"/>
    <w:rsid w:val="7FFFC6A2"/>
    <w:rsid w:val="9FFFB748"/>
    <w:rsid w:val="B7C7C3C8"/>
    <w:rsid w:val="BBFF766C"/>
    <w:rsid w:val="EFFFC403"/>
    <w:rsid w:val="FBFFFBC9"/>
    <w:rsid w:val="FE5ACC06"/>
    <w:rsid w:val="FF573D0B"/>
    <w:rsid w:val="FFBEC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40" w:lineRule="exact"/>
      <w:ind w:firstLine="480" w:firstLineChars="200"/>
    </w:pPr>
    <w:rPr>
      <w:rFonts w:ascii="Calibri" w:hAnsi="Calibri" w:eastAsia="宋体" w:cs="Times New Roman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Body Text First Indent1"/>
    <w:basedOn w:val="5"/>
    <w:qFormat/>
    <w:uiPriority w:val="0"/>
    <w:pPr>
      <w:spacing w:line="360" w:lineRule="auto"/>
      <w:ind w:firstLine="420" w:firstLineChars="100"/>
    </w:pPr>
    <w:rPr>
      <w:szCs w:val="24"/>
    </w:rPr>
  </w:style>
  <w:style w:type="paragraph" w:customStyle="1" w:styleId="5">
    <w:name w:val="Body Text"/>
    <w:basedOn w:val="1"/>
    <w:next w:val="4"/>
    <w:qFormat/>
    <w:uiPriority w:val="0"/>
    <w:pPr>
      <w:widowControl/>
      <w:snapToGrid w:val="0"/>
      <w:spacing w:before="780" w:beforeLines="250" w:beforeAutospacing="0"/>
      <w:jc w:val="center"/>
    </w:pPr>
    <w:rPr>
      <w:rFonts w:ascii="宋体" w:hAnsi="Arial"/>
      <w:b/>
      <w:spacing w:val="-5"/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3"/>
    <w:qFormat/>
    <w:uiPriority w:val="0"/>
    <w:pPr>
      <w:spacing w:after="160"/>
      <w:ind w:firstLine="250" w:firstLineChars="250"/>
    </w:pPr>
    <w:rPr>
      <w:rFonts w:ascii="Calibri" w:hAnsi="Calibri" w:eastAsia="宋体" w:cs="Times New Roman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Acronym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0000FF"/>
      <w:u w:val="none"/>
    </w:rPr>
  </w:style>
  <w:style w:type="character" w:styleId="19">
    <w:name w:val="HTML Code"/>
    <w:basedOn w:val="11"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qFormat/>
    <w:uiPriority w:val="0"/>
  </w:style>
  <w:style w:type="character" w:customStyle="1" w:styleId="21">
    <w:name w:val="ico"/>
    <w:basedOn w:val="11"/>
    <w:qFormat/>
    <w:uiPriority w:val="0"/>
  </w:style>
  <w:style w:type="character" w:customStyle="1" w:styleId="22">
    <w:name w:val="ico1"/>
    <w:basedOn w:val="11"/>
    <w:qFormat/>
    <w:uiPriority w:val="0"/>
    <w:rPr>
      <w:shd w:val="clear" w:fill="5997CC"/>
    </w:rPr>
  </w:style>
  <w:style w:type="character" w:customStyle="1" w:styleId="23">
    <w:name w:val="ico2"/>
    <w:basedOn w:val="11"/>
    <w:qFormat/>
    <w:uiPriority w:val="0"/>
  </w:style>
  <w:style w:type="character" w:customStyle="1" w:styleId="24">
    <w:name w:val="ico3"/>
    <w:basedOn w:val="11"/>
    <w:qFormat/>
    <w:uiPriority w:val="0"/>
  </w:style>
  <w:style w:type="character" w:customStyle="1" w:styleId="25">
    <w:name w:val="act14"/>
    <w:basedOn w:val="11"/>
    <w:qFormat/>
    <w:uiPriority w:val="0"/>
    <w:rPr>
      <w:color w:val="3483C5"/>
    </w:rPr>
  </w:style>
  <w:style w:type="character" w:customStyle="1" w:styleId="26">
    <w:name w:val="button"/>
    <w:basedOn w:val="11"/>
    <w:qFormat/>
    <w:uiPriority w:val="0"/>
    <w:rPr>
      <w:vanish/>
    </w:rPr>
  </w:style>
  <w:style w:type="character" w:customStyle="1" w:styleId="27">
    <w:name w:val="li_txt"/>
    <w:basedOn w:val="11"/>
    <w:qFormat/>
    <w:uiPriority w:val="0"/>
  </w:style>
  <w:style w:type="character" w:customStyle="1" w:styleId="28">
    <w:name w:val="mg_l_252"/>
    <w:basedOn w:val="11"/>
    <w:qFormat/>
    <w:uiPriority w:val="0"/>
  </w:style>
  <w:style w:type="character" w:customStyle="1" w:styleId="29">
    <w:name w:val="mg_l_25"/>
    <w:basedOn w:val="11"/>
    <w:qFormat/>
    <w:uiPriority w:val="0"/>
  </w:style>
  <w:style w:type="paragraph" w:customStyle="1" w:styleId="30">
    <w:name w:val="Table Paragraph"/>
    <w:basedOn w:val="1"/>
    <w:qFormat/>
    <w:uiPriority w:val="1"/>
    <w:pPr>
      <w:widowControl w:val="0"/>
      <w:spacing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table" w:customStyle="1" w:styleId="31">
    <w:name w:val="Table Normal"/>
    <w:unhideWhenUsed/>
    <w:qFormat/>
    <w:uiPriority w:val="2"/>
    <w:pPr>
      <w:widowControl w:val="0"/>
    </w:pPr>
    <w:rPr>
      <w:rFonts w:ascii="Calibri" w:hAnsi="Calibri" w:eastAsia="宋体" w:cs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_Style 8"/>
    <w:basedOn w:val="3"/>
    <w:next w:val="9"/>
    <w:qFormat/>
    <w:uiPriority w:val="0"/>
    <w:pPr>
      <w:spacing w:after="160"/>
      <w:ind w:firstLine="250" w:firstLineChars="250"/>
    </w:pPr>
    <w:rPr>
      <w:rFonts w:ascii="Calibri" w:hAnsi="Calibri" w:eastAsia="宋体" w:cs="Times New Roman"/>
    </w:rPr>
  </w:style>
  <w:style w:type="paragraph" w:customStyle="1" w:styleId="33">
    <w:name w:val="_Style 2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754</Characters>
  <Lines>0</Lines>
  <Paragraphs>0</Paragraphs>
  <TotalTime>53</TotalTime>
  <ScaleCrop>false</ScaleCrop>
  <LinksUpToDate>false</LinksUpToDate>
  <CharactersWithSpaces>754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2019-11-09T07:22:00Z</dcterms:created>
  <dc:creator>木森</dc:creator>
  <cp:lastModifiedBy>Administrator</cp:lastModifiedBy>
  <cp:lastPrinted>2022-05-12T08:55:22Z</cp:lastPrinted>
  <dcterms:modified xsi:type="dcterms:W3CDTF">2022-05-13T01:50:10Z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3079E89D15EE4EF6A28C4F10C121CAFF</vt:lpwstr>
  </property>
</Properties>
</file>