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jc w:val="center"/>
        <w:rPr>
          <w:rFonts w:eastAsia="方正小标宋_GBK"/>
          <w:color w:val="auto"/>
          <w:sz w:val="44"/>
          <w:szCs w:val="44"/>
        </w:rPr>
      </w:pPr>
      <w:r>
        <w:rPr>
          <w:rFonts w:hint="eastAsia" w:eastAsia="方正小标宋_GBK"/>
          <w:color w:val="auto"/>
          <w:sz w:val="44"/>
          <w:szCs w:val="44"/>
          <w:lang w:val="en-US" w:eastAsia="zh-CN"/>
        </w:rPr>
        <w:t>萧县新庄镇</w:t>
      </w:r>
      <w:r>
        <w:rPr>
          <w:rFonts w:hint="eastAsia" w:eastAsia="方正小标宋_GBK"/>
          <w:color w:val="auto"/>
          <w:sz w:val="44"/>
          <w:szCs w:val="44"/>
        </w:rPr>
        <w:t>权责清单指导目录</w:t>
      </w:r>
    </w:p>
    <w:tbl>
      <w:tblPr>
        <w:tblStyle w:val="3"/>
        <w:tblW w:w="14152" w:type="dxa"/>
        <w:tblInd w:w="0" w:type="dxa"/>
        <w:tblLayout w:type="autofit"/>
        <w:tblCellMar>
          <w:top w:w="0" w:type="dxa"/>
          <w:left w:w="108" w:type="dxa"/>
          <w:bottom w:w="0" w:type="dxa"/>
          <w:right w:w="108" w:type="dxa"/>
        </w:tblCellMar>
      </w:tblPr>
      <w:tblGrid>
        <w:gridCol w:w="538"/>
        <w:gridCol w:w="679"/>
        <w:gridCol w:w="1064"/>
        <w:gridCol w:w="5702"/>
        <w:gridCol w:w="2625"/>
        <w:gridCol w:w="2693"/>
        <w:gridCol w:w="851"/>
      </w:tblGrid>
      <w:tr>
        <w:tblPrEx>
          <w:tblCellMar>
            <w:top w:w="0" w:type="dxa"/>
            <w:left w:w="108" w:type="dxa"/>
            <w:bottom w:w="0" w:type="dxa"/>
            <w:right w:w="108" w:type="dxa"/>
          </w:tblCellMar>
        </w:tblPrEx>
        <w:trPr>
          <w:trHeight w:val="402" w:hRule="atLeast"/>
          <w:tblHeader/>
        </w:trPr>
        <w:tc>
          <w:tcPr>
            <w:tcW w:w="53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eastAsia="方正黑体_GBK"/>
                <w:color w:val="auto"/>
                <w:kern w:val="0"/>
              </w:rPr>
            </w:pPr>
            <w:r>
              <w:rPr>
                <w:rFonts w:hint="eastAsia" w:eastAsia="方正黑体_GBK"/>
                <w:color w:val="auto"/>
                <w:kern w:val="0"/>
              </w:rPr>
              <w:t>序</w:t>
            </w:r>
          </w:p>
          <w:p>
            <w:pPr>
              <w:widowControl/>
              <w:spacing w:line="320" w:lineRule="exact"/>
              <w:jc w:val="center"/>
              <w:rPr>
                <w:rFonts w:eastAsia="方正黑体_GBK"/>
                <w:color w:val="auto"/>
                <w:kern w:val="0"/>
              </w:rPr>
            </w:pPr>
            <w:r>
              <w:rPr>
                <w:rFonts w:hint="eastAsia" w:eastAsia="方正黑体_GBK"/>
                <w:color w:val="auto"/>
                <w:kern w:val="0"/>
              </w:rPr>
              <w:t>号</w:t>
            </w:r>
          </w:p>
        </w:tc>
        <w:tc>
          <w:tcPr>
            <w:tcW w:w="67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eastAsia="方正黑体_GBK"/>
                <w:color w:val="auto"/>
                <w:kern w:val="0"/>
                <w:lang w:eastAsia="zh-CN"/>
              </w:rPr>
            </w:pPr>
            <w:r>
              <w:rPr>
                <w:rFonts w:hint="eastAsia" w:eastAsia="方正黑体_GBK"/>
                <w:color w:val="auto"/>
                <w:kern w:val="0"/>
              </w:rPr>
              <w:t>权力</w:t>
            </w:r>
          </w:p>
          <w:p>
            <w:pPr>
              <w:widowControl/>
              <w:spacing w:line="320" w:lineRule="exact"/>
              <w:jc w:val="center"/>
              <w:rPr>
                <w:rFonts w:eastAsia="方正黑体_GBK"/>
                <w:color w:val="auto"/>
                <w:kern w:val="0"/>
              </w:rPr>
            </w:pPr>
            <w:r>
              <w:rPr>
                <w:rFonts w:hint="eastAsia" w:eastAsia="方正黑体_GBK"/>
                <w:color w:val="auto"/>
                <w:kern w:val="0"/>
              </w:rPr>
              <w:t>类型</w:t>
            </w:r>
          </w:p>
        </w:tc>
        <w:tc>
          <w:tcPr>
            <w:tcW w:w="106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eastAsia="方正黑体_GBK"/>
                <w:color w:val="auto"/>
                <w:kern w:val="0"/>
              </w:rPr>
            </w:pPr>
            <w:r>
              <w:rPr>
                <w:rFonts w:hint="eastAsia" w:eastAsia="方正黑体_GBK"/>
                <w:color w:val="auto"/>
                <w:kern w:val="0"/>
              </w:rPr>
              <w:t>事项名称</w:t>
            </w:r>
          </w:p>
        </w:tc>
        <w:tc>
          <w:tcPr>
            <w:tcW w:w="570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eastAsia="方正黑体_GBK"/>
                <w:color w:val="auto"/>
                <w:kern w:val="0"/>
              </w:rPr>
            </w:pPr>
            <w:r>
              <w:rPr>
                <w:rFonts w:hint="eastAsia" w:eastAsia="方正黑体_GBK"/>
                <w:color w:val="auto"/>
                <w:kern w:val="0"/>
              </w:rPr>
              <w:t>实施依据</w:t>
            </w:r>
          </w:p>
        </w:tc>
        <w:tc>
          <w:tcPr>
            <w:tcW w:w="5318" w:type="dxa"/>
            <w:gridSpan w:val="2"/>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eastAsia="方正黑体_GBK"/>
                <w:color w:val="auto"/>
                <w:kern w:val="0"/>
              </w:rPr>
            </w:pPr>
            <w:r>
              <w:rPr>
                <w:rFonts w:hint="eastAsia" w:eastAsia="方正黑体_GBK"/>
                <w:color w:val="auto"/>
                <w:kern w:val="0"/>
              </w:rPr>
              <w:t>职责边界划分</w:t>
            </w:r>
          </w:p>
        </w:tc>
        <w:tc>
          <w:tcPr>
            <w:tcW w:w="851" w:type="dxa"/>
            <w:vMerge w:val="restart"/>
            <w:tcBorders>
              <w:top w:val="single" w:color="auto" w:sz="4" w:space="0"/>
              <w:left w:val="nil"/>
              <w:right w:val="single" w:color="auto" w:sz="4" w:space="0"/>
            </w:tcBorders>
            <w:noWrap w:val="0"/>
            <w:vAlign w:val="center"/>
          </w:tcPr>
          <w:p>
            <w:pPr>
              <w:widowControl/>
              <w:spacing w:line="320" w:lineRule="exact"/>
              <w:jc w:val="center"/>
              <w:rPr>
                <w:rFonts w:eastAsia="方正黑体_GBK"/>
                <w:color w:val="auto"/>
                <w:kern w:val="0"/>
              </w:rPr>
            </w:pPr>
            <w:r>
              <w:rPr>
                <w:rFonts w:hint="eastAsia" w:eastAsia="方正黑体_GBK"/>
                <w:color w:val="auto"/>
                <w:kern w:val="0"/>
              </w:rPr>
              <w:t>备注</w:t>
            </w:r>
          </w:p>
        </w:tc>
      </w:tr>
      <w:tr>
        <w:tblPrEx>
          <w:tblCellMar>
            <w:top w:w="0" w:type="dxa"/>
            <w:left w:w="108" w:type="dxa"/>
            <w:bottom w:w="0" w:type="dxa"/>
            <w:right w:w="108" w:type="dxa"/>
          </w:tblCellMar>
        </w:tblPrEx>
        <w:trPr>
          <w:trHeight w:val="402" w:hRule="atLeast"/>
          <w:tblHeader/>
        </w:trPr>
        <w:tc>
          <w:tcPr>
            <w:tcW w:w="53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eastAsia="黑体"/>
                <w:color w:val="auto"/>
                <w:kern w:val="0"/>
              </w:rPr>
            </w:pPr>
          </w:p>
        </w:tc>
        <w:tc>
          <w:tcPr>
            <w:tcW w:w="6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eastAsia="黑体"/>
                <w:color w:val="auto"/>
                <w:kern w:val="0"/>
              </w:rPr>
            </w:pPr>
          </w:p>
        </w:tc>
        <w:tc>
          <w:tcPr>
            <w:tcW w:w="10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eastAsia="黑体"/>
                <w:color w:val="auto"/>
                <w:kern w:val="0"/>
              </w:rPr>
            </w:pPr>
          </w:p>
        </w:tc>
        <w:tc>
          <w:tcPr>
            <w:tcW w:w="570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eastAsia="黑体"/>
                <w:color w:val="auto"/>
                <w:kern w:val="0"/>
              </w:rPr>
            </w:pPr>
          </w:p>
        </w:tc>
        <w:tc>
          <w:tcPr>
            <w:tcW w:w="2625" w:type="dxa"/>
            <w:tcBorders>
              <w:top w:val="nil"/>
              <w:left w:val="nil"/>
              <w:bottom w:val="single" w:color="auto" w:sz="4" w:space="0"/>
              <w:right w:val="single" w:color="auto" w:sz="4" w:space="0"/>
            </w:tcBorders>
            <w:noWrap w:val="0"/>
            <w:vAlign w:val="center"/>
          </w:tcPr>
          <w:p>
            <w:pPr>
              <w:widowControl/>
              <w:spacing w:line="320" w:lineRule="exact"/>
              <w:jc w:val="center"/>
              <w:rPr>
                <w:rFonts w:eastAsia="方正黑体_GBK"/>
                <w:color w:val="auto"/>
                <w:kern w:val="0"/>
              </w:rPr>
            </w:pPr>
            <w:r>
              <w:rPr>
                <w:rFonts w:hint="eastAsia" w:eastAsia="方正黑体_GBK"/>
                <w:color w:val="auto"/>
                <w:kern w:val="0"/>
              </w:rPr>
              <w:t>县级部门</w:t>
            </w:r>
          </w:p>
        </w:tc>
        <w:tc>
          <w:tcPr>
            <w:tcW w:w="2693" w:type="dxa"/>
            <w:tcBorders>
              <w:top w:val="nil"/>
              <w:left w:val="nil"/>
              <w:bottom w:val="single" w:color="auto" w:sz="4" w:space="0"/>
              <w:right w:val="single" w:color="auto" w:sz="4" w:space="0"/>
            </w:tcBorders>
            <w:noWrap w:val="0"/>
            <w:vAlign w:val="center"/>
          </w:tcPr>
          <w:p>
            <w:pPr>
              <w:widowControl/>
              <w:spacing w:line="320" w:lineRule="exact"/>
              <w:jc w:val="center"/>
              <w:rPr>
                <w:rFonts w:eastAsia="方正黑体_GBK"/>
                <w:color w:val="auto"/>
                <w:kern w:val="0"/>
              </w:rPr>
            </w:pPr>
            <w:r>
              <w:rPr>
                <w:rFonts w:hint="eastAsia" w:eastAsia="方正黑体_GBK"/>
                <w:color w:val="auto"/>
                <w:kern w:val="0"/>
              </w:rPr>
              <w:t>乡镇（街道）</w:t>
            </w:r>
          </w:p>
        </w:tc>
        <w:tc>
          <w:tcPr>
            <w:tcW w:w="851" w:type="dxa"/>
            <w:vMerge w:val="continue"/>
            <w:tcBorders>
              <w:left w:val="nil"/>
              <w:bottom w:val="single" w:color="auto" w:sz="4" w:space="0"/>
              <w:right w:val="single" w:color="auto" w:sz="4" w:space="0"/>
            </w:tcBorders>
            <w:noWrap w:val="0"/>
            <w:vAlign w:val="top"/>
          </w:tcPr>
          <w:p>
            <w:pPr>
              <w:widowControl/>
              <w:spacing w:line="320" w:lineRule="exact"/>
              <w:jc w:val="center"/>
              <w:rPr>
                <w:rFonts w:eastAsia="黑体"/>
                <w:color w:val="auto"/>
                <w:kern w:val="0"/>
              </w:rPr>
            </w:pPr>
          </w:p>
        </w:tc>
      </w:tr>
      <w:tr>
        <w:tblPrEx>
          <w:tblCellMar>
            <w:top w:w="0" w:type="dxa"/>
            <w:left w:w="108" w:type="dxa"/>
            <w:bottom w:w="0" w:type="dxa"/>
            <w:right w:w="108" w:type="dxa"/>
          </w:tblCellMar>
        </w:tblPrEx>
        <w:trPr>
          <w:trHeight w:val="1867" w:hRule="atLeast"/>
        </w:trPr>
        <w:tc>
          <w:tcPr>
            <w:tcW w:w="538"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rPr>
                <w:color w:val="auto"/>
                <w:kern w:val="0"/>
              </w:rPr>
            </w:pPr>
            <w:r>
              <w:rPr>
                <w:color w:val="auto"/>
                <w:kern w:val="0"/>
              </w:rPr>
              <w:t>1</w:t>
            </w:r>
          </w:p>
        </w:tc>
        <w:tc>
          <w:tcPr>
            <w:tcW w:w="679" w:type="dxa"/>
            <w:tcBorders>
              <w:top w:val="nil"/>
              <w:left w:val="nil"/>
              <w:bottom w:val="single" w:color="auto" w:sz="4" w:space="0"/>
              <w:right w:val="single" w:color="auto" w:sz="4" w:space="0"/>
            </w:tcBorders>
            <w:noWrap w:val="0"/>
            <w:vAlign w:val="center"/>
          </w:tcPr>
          <w:p>
            <w:pPr>
              <w:widowControl/>
              <w:spacing w:line="320" w:lineRule="exact"/>
              <w:jc w:val="center"/>
              <w:rPr>
                <w:color w:val="auto"/>
                <w:kern w:val="0"/>
              </w:rPr>
            </w:pPr>
            <w:r>
              <w:rPr>
                <w:rFonts w:hint="eastAsia"/>
                <w:color w:val="auto"/>
                <w:kern w:val="0"/>
              </w:rPr>
              <w:t>行政许可</w:t>
            </w:r>
          </w:p>
        </w:tc>
        <w:tc>
          <w:tcPr>
            <w:tcW w:w="1064" w:type="dxa"/>
            <w:tcBorders>
              <w:top w:val="nil"/>
              <w:left w:val="nil"/>
              <w:bottom w:val="single" w:color="auto" w:sz="4" w:space="0"/>
              <w:right w:val="single" w:color="auto" w:sz="4" w:space="0"/>
            </w:tcBorders>
            <w:noWrap w:val="0"/>
            <w:vAlign w:val="center"/>
          </w:tcPr>
          <w:p>
            <w:pPr>
              <w:widowControl/>
              <w:spacing w:line="320" w:lineRule="exact"/>
              <w:rPr>
                <w:color w:val="auto"/>
                <w:kern w:val="0"/>
              </w:rPr>
            </w:pPr>
            <w:r>
              <w:rPr>
                <w:rFonts w:hint="eastAsia"/>
                <w:color w:val="auto"/>
                <w:kern w:val="0"/>
              </w:rPr>
              <w:t>《农村宅基地批准书》和乡村建设规划许可证</w:t>
            </w:r>
            <w:r>
              <w:rPr>
                <w:rFonts w:hint="eastAsia" w:eastAsia="楷体_GB2312"/>
                <w:color w:val="auto"/>
                <w:kern w:val="0"/>
              </w:rPr>
              <w:t>（使用原有宅基地和其他非农用地）</w:t>
            </w:r>
            <w:r>
              <w:rPr>
                <w:rFonts w:hint="eastAsia"/>
                <w:color w:val="auto"/>
                <w:kern w:val="0"/>
              </w:rPr>
              <w:t>核发</w:t>
            </w:r>
          </w:p>
        </w:tc>
        <w:tc>
          <w:tcPr>
            <w:tcW w:w="5702" w:type="dxa"/>
            <w:tcBorders>
              <w:top w:val="nil"/>
              <w:left w:val="nil"/>
              <w:bottom w:val="single" w:color="auto" w:sz="4" w:space="0"/>
              <w:right w:val="single" w:color="auto" w:sz="4" w:space="0"/>
            </w:tcBorders>
            <w:noWrap w:val="0"/>
            <w:vAlign w:val="center"/>
          </w:tcPr>
          <w:p>
            <w:pPr>
              <w:widowControl/>
              <w:spacing w:line="300" w:lineRule="exact"/>
              <w:rPr>
                <w:rFonts w:hint="eastAsia" w:eastAsia="宋体"/>
                <w:color w:val="auto"/>
                <w:kern w:val="0"/>
                <w:lang w:eastAsia="zh-CN"/>
              </w:rPr>
            </w:pPr>
            <w:r>
              <w:rPr>
                <w:color w:val="auto"/>
                <w:kern w:val="0"/>
              </w:rPr>
              <w:t>1.</w:t>
            </w:r>
            <w:r>
              <w:rPr>
                <w:rFonts w:hint="eastAsia"/>
                <w:color w:val="auto"/>
                <w:kern w:val="0"/>
              </w:rPr>
              <w:t>《中华人民共和国土地管理法》第六十二条：农村村民一户只能拥有一处宅基地，其宅基地的面积不得超过省、自治区、直辖市规定的标准。</w:t>
            </w:r>
            <w:bookmarkStart w:id="0" w:name="tiao_62_kuan_3"/>
            <w:bookmarkEnd w:id="0"/>
            <w:r>
              <w:rPr>
                <w:rFonts w:hint="eastAsia"/>
                <w:color w:val="auto"/>
                <w:kern w:val="0"/>
              </w:rPr>
              <w:t>农村村民建住宅，应当符合乡（镇）土地利用总体规划、村庄规划，不得占用永久基本农田，并尽量使用原有的宅基地和村内空闲地。</w:t>
            </w:r>
            <w:bookmarkStart w:id="1" w:name="tiao_62_kuan_4"/>
            <w:bookmarkEnd w:id="1"/>
            <w:r>
              <w:rPr>
                <w:rFonts w:hint="eastAsia"/>
                <w:color w:val="auto"/>
                <w:kern w:val="0"/>
              </w:rPr>
              <w:t>农村村民住宅用地，由乡（镇）人民政府审核批准；其中，涉及占用农用地的，依照本法第四十四条的规定办理审批手续。</w:t>
            </w:r>
            <w:bookmarkStart w:id="2" w:name="tiao_62_kuan_5"/>
            <w:bookmarkEnd w:id="2"/>
            <w:r>
              <w:rPr>
                <w:rFonts w:hint="eastAsia"/>
                <w:color w:val="auto"/>
                <w:kern w:val="0"/>
              </w:rPr>
              <w:t>农村村民出卖、出租、赠与住宅后，再申请宅基地的，不予批准。</w:t>
            </w:r>
          </w:p>
          <w:p>
            <w:pPr>
              <w:widowControl/>
              <w:spacing w:line="300" w:lineRule="exact"/>
              <w:rPr>
                <w:rFonts w:hint="eastAsia" w:eastAsia="宋体"/>
                <w:color w:val="auto"/>
                <w:kern w:val="0"/>
                <w:lang w:eastAsia="zh-CN"/>
              </w:rPr>
            </w:pPr>
            <w:r>
              <w:rPr>
                <w:color w:val="auto"/>
                <w:kern w:val="0"/>
              </w:rPr>
              <w:t>2.</w:t>
            </w:r>
            <w:r>
              <w:rPr>
                <w:rFonts w:hint="eastAsia"/>
                <w:color w:val="auto"/>
                <w:kern w:val="0"/>
              </w:rPr>
              <w:t>《安徽省城乡规划条例》第三十二条：在乡、村庄规划区内进行农村村民住宅建设的，申请人应当持村民委员会证明材料、户口簿及其复印件，向镇、乡人民政府提出申请。使用原有宅基地和其他非农用地的，镇、乡人民政府应当自收到申请之日起十日内作出决定，符合乡规划或者村庄规划的，核发乡村建设规划许可证；不符合乡规划或者村庄规划的，不予核发乡村建设规划许可证，书面告知申请人，并说明理由。确需占用农用地的，申请人还应当提供农用地转用批准材料。镇、乡人民政府应当自收到申请之日起十日内提出审查意见，报城市、县人民政府城乡规划主管部门。城乡规划主管部门应当自收到审查意见之日起十五日内做出决定，符合乡规划或者村庄规划的，核发乡村建设规划许可证；不符合乡规划或者村庄规划的，不予核发乡村建设规划许可证，书面告知申请人，并说明理由。</w:t>
            </w:r>
          </w:p>
          <w:p>
            <w:pPr>
              <w:widowControl/>
              <w:spacing w:line="300" w:lineRule="exact"/>
              <w:rPr>
                <w:color w:val="auto"/>
                <w:kern w:val="0"/>
              </w:rPr>
            </w:pPr>
            <w:r>
              <w:rPr>
                <w:color w:val="auto"/>
                <w:kern w:val="0"/>
              </w:rPr>
              <w:t>3.</w:t>
            </w:r>
            <w:r>
              <w:rPr>
                <w:rFonts w:hint="eastAsia"/>
                <w:color w:val="auto"/>
                <w:kern w:val="0"/>
              </w:rPr>
              <w:t>《安徽省农业农村厅</w:t>
            </w:r>
            <w:r>
              <w:rPr>
                <w:color w:val="auto"/>
                <w:kern w:val="0"/>
              </w:rPr>
              <w:t xml:space="preserve"> </w:t>
            </w:r>
            <w:r>
              <w:rPr>
                <w:rFonts w:hint="eastAsia"/>
                <w:color w:val="auto"/>
                <w:kern w:val="0"/>
              </w:rPr>
              <w:t>安徽省自然资源厅关于进一步加强农村宅基地审批管理的实施意见》（皖农合〔</w:t>
            </w:r>
            <w:r>
              <w:rPr>
                <w:color w:val="auto"/>
                <w:kern w:val="0"/>
              </w:rPr>
              <w:t>2020</w:t>
            </w:r>
            <w:r>
              <w:rPr>
                <w:rFonts w:hint="eastAsia"/>
                <w:color w:val="auto"/>
                <w:kern w:val="0"/>
              </w:rPr>
              <w:t>〕</w:t>
            </w:r>
            <w:r>
              <w:rPr>
                <w:color w:val="auto"/>
                <w:kern w:val="0"/>
              </w:rPr>
              <w:t>38</w:t>
            </w:r>
            <w:r>
              <w:rPr>
                <w:rFonts w:hint="eastAsia"/>
                <w:color w:val="auto"/>
                <w:kern w:val="0"/>
              </w:rPr>
              <w:t>号）：三、严格农村宅基地审批。（七）明确农村宅基地审批流程。</w:t>
            </w:r>
            <w:r>
              <w:rPr>
                <w:color w:val="auto"/>
                <w:kern w:val="0"/>
              </w:rPr>
              <w:t>1</w:t>
            </w:r>
            <w:r>
              <w:rPr>
                <w:rFonts w:hint="eastAsia"/>
                <w:color w:val="auto"/>
                <w:kern w:val="0"/>
              </w:rPr>
              <w:t>．部门联审。乡镇人民政府受理农村村民宅基地和建房（规划许可）申请后，应当在</w:t>
            </w:r>
            <w:r>
              <w:rPr>
                <w:color w:val="auto"/>
                <w:kern w:val="0"/>
              </w:rPr>
              <w:t>10</w:t>
            </w:r>
            <w:r>
              <w:rPr>
                <w:rFonts w:hint="eastAsia"/>
                <w:color w:val="auto"/>
                <w:kern w:val="0"/>
              </w:rPr>
              <w:t>个工作日内，组织农业农村、自然资源等相关部门完成联合审核工作。农业农村部门负责审查申请人是否符合申请条件、拟用地是否符合宅基地合理布局要求和面积标准、宅基地和建房（规划许可）申请是否经过村组审核公示等，并综合各有关部门意见提出审批建议。自然资源部门负责审查用地建房是否符合国土空间规划、用途管制要求，是否取得用地计划。涉及占用农用地的，是否办理了农用地转用审批手续。涉及林业、水利、电力、公路等部门的，要及时征求意见。</w:t>
            </w:r>
            <w:r>
              <w:rPr>
                <w:color w:val="auto"/>
                <w:kern w:val="0"/>
              </w:rPr>
              <w:t>2</w:t>
            </w:r>
            <w:r>
              <w:rPr>
                <w:rFonts w:hint="eastAsia"/>
                <w:color w:val="auto"/>
                <w:kern w:val="0"/>
              </w:rPr>
              <w:t>．乡镇审批。乡镇人民政府根据各部门联审结果，对农村村民宅基地申请进行审批。经审核认为宅基地申请和用地审批符合条件、报送材料完备的，应当自联审合格之日起，在</w:t>
            </w:r>
            <w:r>
              <w:rPr>
                <w:color w:val="auto"/>
                <w:kern w:val="0"/>
              </w:rPr>
              <w:t>5</w:t>
            </w:r>
            <w:r>
              <w:rPr>
                <w:rFonts w:hint="eastAsia"/>
                <w:color w:val="auto"/>
                <w:kern w:val="0"/>
              </w:rPr>
              <w:t>个工作日内予以批准，发放《农村宅基地批准书》和乡村建设规划许可证，并同步将审批情况书面报县级农业农村、自然资源等部门备案。经联审不符合宅基地和用地审批申请条件的，乡镇人民政府应当在</w:t>
            </w:r>
            <w:r>
              <w:rPr>
                <w:color w:val="auto"/>
                <w:kern w:val="0"/>
              </w:rPr>
              <w:t>3</w:t>
            </w:r>
            <w:r>
              <w:rPr>
                <w:rFonts w:hint="eastAsia"/>
                <w:color w:val="auto"/>
                <w:kern w:val="0"/>
              </w:rPr>
              <w:t>个工作日内依法答复申请人，并说明理由；属报送材料不完备的，应当在</w:t>
            </w:r>
            <w:r>
              <w:rPr>
                <w:color w:val="auto"/>
                <w:kern w:val="0"/>
              </w:rPr>
              <w:t>3</w:t>
            </w:r>
            <w:r>
              <w:rPr>
                <w:rFonts w:hint="eastAsia"/>
                <w:color w:val="auto"/>
                <w:kern w:val="0"/>
              </w:rPr>
              <w:t>个工作日内一次性告知申请人需要补正的材料和相关要求。村民申请在符合村庄规划的现有宅基地上改建住宅的，在不突破规定宅基地面积、符合农房规划设计要求、不涉及切坡建房的情况下，确需改建的，市、县人民政府可结合实际制定简易审批程序。</w:t>
            </w:r>
          </w:p>
        </w:tc>
        <w:tc>
          <w:tcPr>
            <w:tcW w:w="2625" w:type="dxa"/>
            <w:tcBorders>
              <w:top w:val="nil"/>
              <w:left w:val="nil"/>
              <w:bottom w:val="single" w:color="auto" w:sz="4" w:space="0"/>
              <w:right w:val="single" w:color="auto" w:sz="4" w:space="0"/>
            </w:tcBorders>
            <w:noWrap w:val="0"/>
            <w:vAlign w:val="center"/>
          </w:tcPr>
          <w:p>
            <w:pPr>
              <w:widowControl/>
              <w:spacing w:line="320" w:lineRule="exact"/>
              <w:rPr>
                <w:rFonts w:hint="eastAsia" w:eastAsia="宋体"/>
                <w:color w:val="auto"/>
                <w:kern w:val="0"/>
                <w:lang w:eastAsia="zh-CN"/>
              </w:rPr>
            </w:pPr>
            <w:r>
              <w:rPr>
                <w:rFonts w:hint="eastAsia"/>
                <w:color w:val="auto"/>
                <w:kern w:val="0"/>
              </w:rPr>
              <w:t>农业农村部门负责建立健全宅基地分配、使用、流转、违法用地查处等管理制度，完善宅基地用地标准；及时将农民建房新增建设用地需求通报同级自然资源和规划部门。</w:t>
            </w:r>
          </w:p>
          <w:p>
            <w:pPr>
              <w:widowControl/>
              <w:spacing w:line="320" w:lineRule="exact"/>
              <w:rPr>
                <w:color w:val="auto"/>
                <w:kern w:val="0"/>
              </w:rPr>
            </w:pPr>
            <w:r>
              <w:rPr>
                <w:rFonts w:hint="eastAsia"/>
                <w:color w:val="auto"/>
                <w:kern w:val="0"/>
              </w:rPr>
              <w:t>自然资源和规划部门负责国土空间规划、土地利用计划和规划许可等工作，在国土空间规划中统筹安排宅基地用地规模和布局，满足合理的宅基地需求，依法办理农用地转用审查报批和规划许可等相关手续。</w:t>
            </w:r>
          </w:p>
        </w:tc>
        <w:tc>
          <w:tcPr>
            <w:tcW w:w="2693" w:type="dxa"/>
            <w:tcBorders>
              <w:top w:val="nil"/>
              <w:left w:val="nil"/>
              <w:bottom w:val="single" w:color="auto" w:sz="4" w:space="0"/>
              <w:right w:val="single" w:color="auto" w:sz="4" w:space="0"/>
            </w:tcBorders>
            <w:noWrap w:val="0"/>
            <w:vAlign w:val="center"/>
          </w:tcPr>
          <w:p>
            <w:pPr>
              <w:widowControl/>
              <w:spacing w:line="320" w:lineRule="exact"/>
              <w:rPr>
                <w:color w:val="auto"/>
                <w:kern w:val="0"/>
              </w:rPr>
            </w:pPr>
            <w:r>
              <w:rPr>
                <w:rFonts w:hint="eastAsia"/>
                <w:color w:val="auto"/>
                <w:kern w:val="0"/>
              </w:rPr>
              <w:t>受理农村村民宅基地和建房（</w:t>
            </w:r>
            <w:r>
              <w:rPr>
                <w:color w:val="auto"/>
                <w:kern w:val="0"/>
              </w:rPr>
              <w:t xml:space="preserve"> </w:t>
            </w:r>
            <w:r>
              <w:rPr>
                <w:rFonts w:hint="eastAsia"/>
                <w:color w:val="auto"/>
                <w:kern w:val="0"/>
              </w:rPr>
              <w:t>规划许可）申请后，应当组织农业农村、自然资源和规划等相关部门完成联合审核工作，并根据各部门联审结果，对农村村民宅基地申请进行审批。经审核认为宅基地申请和用地审批符合条件、报送材料完备的，应当自联审合格之日起，在</w:t>
            </w:r>
            <w:r>
              <w:rPr>
                <w:color w:val="auto"/>
                <w:kern w:val="0"/>
              </w:rPr>
              <w:t xml:space="preserve"> 5 </w:t>
            </w:r>
            <w:r>
              <w:rPr>
                <w:rFonts w:hint="eastAsia"/>
                <w:color w:val="auto"/>
                <w:kern w:val="0"/>
              </w:rPr>
              <w:t>个工作日内予以批准，发放《农村宅基地批准书》和乡村建设规划许可证，并同步将审批情况书面报县级农业农村、自然资源和规划等部门备案。</w:t>
            </w:r>
          </w:p>
        </w:tc>
        <w:tc>
          <w:tcPr>
            <w:tcW w:w="851" w:type="dxa"/>
            <w:tcBorders>
              <w:top w:val="nil"/>
              <w:left w:val="nil"/>
              <w:bottom w:val="single" w:color="auto" w:sz="4" w:space="0"/>
              <w:right w:val="single" w:color="auto" w:sz="4" w:space="0"/>
            </w:tcBorders>
            <w:noWrap w:val="0"/>
            <w:vAlign w:val="center"/>
          </w:tcPr>
          <w:p>
            <w:pPr>
              <w:widowControl/>
              <w:spacing w:line="320" w:lineRule="exact"/>
              <w:jc w:val="center"/>
              <w:rPr>
                <w:rFonts w:hint="eastAsia" w:eastAsia="宋体"/>
                <w:color w:val="auto"/>
                <w:kern w:val="0"/>
                <w:lang w:eastAsia="zh-CN"/>
              </w:rPr>
            </w:pPr>
            <w:r>
              <w:rPr>
                <w:rFonts w:hint="eastAsia"/>
                <w:color w:val="auto"/>
                <w:kern w:val="0"/>
                <w:lang w:eastAsia="zh-CN"/>
              </w:rPr>
              <w:t>仅限</w:t>
            </w:r>
            <w:r>
              <w:rPr>
                <w:rFonts w:hint="eastAsia"/>
                <w:color w:val="auto"/>
                <w:kern w:val="0"/>
                <w:lang w:val="en-US" w:eastAsia="zh-CN"/>
              </w:rPr>
              <w:t>新庄</w:t>
            </w:r>
            <w:r>
              <w:rPr>
                <w:rFonts w:hint="eastAsia"/>
                <w:color w:val="auto"/>
                <w:kern w:val="0"/>
                <w:lang w:eastAsia="zh-CN"/>
              </w:rPr>
              <w:t>镇人民政府</w:t>
            </w:r>
          </w:p>
        </w:tc>
      </w:tr>
      <w:tr>
        <w:tblPrEx>
          <w:tblCellMar>
            <w:top w:w="0" w:type="dxa"/>
            <w:left w:w="108" w:type="dxa"/>
            <w:bottom w:w="0" w:type="dxa"/>
            <w:right w:w="108" w:type="dxa"/>
          </w:tblCellMar>
        </w:tblPrEx>
        <w:trPr>
          <w:trHeight w:val="4083" w:hRule="atLeast"/>
        </w:trPr>
        <w:tc>
          <w:tcPr>
            <w:tcW w:w="538"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rPr>
                <w:color w:val="auto"/>
                <w:kern w:val="0"/>
              </w:rPr>
            </w:pPr>
            <w:r>
              <w:rPr>
                <w:color w:val="auto"/>
                <w:kern w:val="0"/>
              </w:rPr>
              <w:t>2</w:t>
            </w:r>
          </w:p>
        </w:tc>
        <w:tc>
          <w:tcPr>
            <w:tcW w:w="679" w:type="dxa"/>
            <w:tcBorders>
              <w:top w:val="nil"/>
              <w:left w:val="nil"/>
              <w:bottom w:val="single" w:color="auto" w:sz="4" w:space="0"/>
              <w:right w:val="single" w:color="auto" w:sz="4" w:space="0"/>
            </w:tcBorders>
            <w:noWrap w:val="0"/>
            <w:vAlign w:val="center"/>
          </w:tcPr>
          <w:p>
            <w:pPr>
              <w:widowControl/>
              <w:spacing w:line="320" w:lineRule="exact"/>
              <w:jc w:val="center"/>
              <w:rPr>
                <w:color w:val="auto"/>
                <w:kern w:val="0"/>
              </w:rPr>
            </w:pPr>
            <w:r>
              <w:rPr>
                <w:rFonts w:hint="eastAsia"/>
                <w:color w:val="auto"/>
                <w:kern w:val="0"/>
              </w:rPr>
              <w:t>行政许可</w:t>
            </w:r>
          </w:p>
        </w:tc>
        <w:tc>
          <w:tcPr>
            <w:tcW w:w="1064" w:type="dxa"/>
            <w:tcBorders>
              <w:top w:val="nil"/>
              <w:left w:val="nil"/>
              <w:bottom w:val="single" w:color="auto" w:sz="4" w:space="0"/>
              <w:right w:val="single" w:color="auto" w:sz="4" w:space="0"/>
            </w:tcBorders>
            <w:noWrap w:val="0"/>
            <w:vAlign w:val="center"/>
          </w:tcPr>
          <w:p>
            <w:pPr>
              <w:widowControl/>
              <w:spacing w:line="320" w:lineRule="exact"/>
              <w:rPr>
                <w:color w:val="auto"/>
                <w:kern w:val="0"/>
              </w:rPr>
            </w:pPr>
            <w:r>
              <w:rPr>
                <w:rFonts w:hint="eastAsia"/>
                <w:color w:val="auto"/>
                <w:kern w:val="0"/>
              </w:rPr>
              <w:t>在村庄、集镇规划区修建临时建筑物、构筑物和其他设施的批准</w:t>
            </w:r>
          </w:p>
        </w:tc>
        <w:tc>
          <w:tcPr>
            <w:tcW w:w="5702" w:type="dxa"/>
            <w:tcBorders>
              <w:top w:val="nil"/>
              <w:left w:val="nil"/>
              <w:bottom w:val="single" w:color="auto" w:sz="4" w:space="0"/>
              <w:right w:val="single" w:color="auto" w:sz="4" w:space="0"/>
            </w:tcBorders>
            <w:noWrap w:val="0"/>
            <w:vAlign w:val="center"/>
          </w:tcPr>
          <w:p>
            <w:pPr>
              <w:widowControl/>
              <w:spacing w:line="320" w:lineRule="exact"/>
              <w:rPr>
                <w:color w:val="auto"/>
                <w:kern w:val="0"/>
              </w:rPr>
            </w:pPr>
            <w:r>
              <w:rPr>
                <w:rFonts w:hint="eastAsia"/>
                <w:color w:val="auto"/>
                <w:kern w:val="0"/>
              </w:rPr>
              <w:t>《村庄和集镇规划建设管理条例》第三十二条：未经乡级人民政府批准，任何单位和个人不得擅自在村庄、集镇规划区内的街道、广场、市场和车站等场所修建临时建筑物、构筑物和其他设施。</w:t>
            </w:r>
            <w:r>
              <w:rPr>
                <w:color w:val="auto"/>
                <w:kern w:val="0"/>
              </w:rPr>
              <w:t xml:space="preserve"> </w:t>
            </w:r>
          </w:p>
        </w:tc>
        <w:tc>
          <w:tcPr>
            <w:tcW w:w="2625" w:type="dxa"/>
            <w:tcBorders>
              <w:top w:val="nil"/>
              <w:left w:val="nil"/>
              <w:bottom w:val="single" w:color="auto" w:sz="4" w:space="0"/>
              <w:right w:val="single" w:color="auto" w:sz="4" w:space="0"/>
            </w:tcBorders>
            <w:noWrap w:val="0"/>
            <w:vAlign w:val="center"/>
          </w:tcPr>
          <w:p>
            <w:pPr>
              <w:widowControl/>
              <w:spacing w:line="320" w:lineRule="exact"/>
              <w:rPr>
                <w:color w:val="auto"/>
                <w:kern w:val="0"/>
              </w:rPr>
            </w:pPr>
            <w:r>
              <w:rPr>
                <w:rFonts w:hint="eastAsia"/>
                <w:color w:val="auto"/>
                <w:kern w:val="0"/>
              </w:rPr>
              <w:t>自然资源和规划、农业农村等部门按照职责分工进行业务指导。</w:t>
            </w:r>
          </w:p>
        </w:tc>
        <w:tc>
          <w:tcPr>
            <w:tcW w:w="2693" w:type="dxa"/>
            <w:tcBorders>
              <w:top w:val="nil"/>
              <w:left w:val="nil"/>
              <w:bottom w:val="single" w:color="auto" w:sz="4" w:space="0"/>
              <w:right w:val="single" w:color="auto" w:sz="4" w:space="0"/>
            </w:tcBorders>
            <w:noWrap w:val="0"/>
            <w:vAlign w:val="center"/>
          </w:tcPr>
          <w:p>
            <w:pPr>
              <w:widowControl/>
              <w:spacing w:line="320" w:lineRule="exact"/>
              <w:rPr>
                <w:color w:val="auto"/>
                <w:kern w:val="0"/>
              </w:rPr>
            </w:pPr>
            <w:r>
              <w:rPr>
                <w:rFonts w:hint="eastAsia"/>
                <w:color w:val="auto"/>
                <w:kern w:val="0"/>
              </w:rPr>
              <w:t>严格控制在村庄、集镇规划区内修建临时建筑物、构筑物和其他设施，确有需要的，按有关规定予以批准。</w:t>
            </w:r>
          </w:p>
        </w:tc>
        <w:tc>
          <w:tcPr>
            <w:tcW w:w="851" w:type="dxa"/>
            <w:tcBorders>
              <w:top w:val="nil"/>
              <w:left w:val="nil"/>
              <w:bottom w:val="single" w:color="auto" w:sz="4" w:space="0"/>
              <w:right w:val="single" w:color="auto" w:sz="4" w:space="0"/>
            </w:tcBorders>
            <w:noWrap w:val="0"/>
            <w:vAlign w:val="center"/>
          </w:tcPr>
          <w:p>
            <w:pPr>
              <w:widowControl/>
              <w:spacing w:line="320" w:lineRule="exact"/>
              <w:jc w:val="center"/>
              <w:rPr>
                <w:rFonts w:hint="eastAsia" w:eastAsia="宋体"/>
                <w:color w:val="auto"/>
                <w:kern w:val="0"/>
                <w:lang w:eastAsia="zh-CN"/>
              </w:rPr>
            </w:pPr>
            <w:r>
              <w:rPr>
                <w:rFonts w:hint="eastAsia"/>
                <w:color w:val="auto"/>
                <w:kern w:val="0"/>
                <w:lang w:eastAsia="zh-CN"/>
              </w:rPr>
              <w:t>仅限</w:t>
            </w:r>
            <w:r>
              <w:rPr>
                <w:rFonts w:hint="eastAsia"/>
                <w:color w:val="auto"/>
                <w:kern w:val="0"/>
                <w:lang w:val="en-US" w:eastAsia="zh-CN"/>
              </w:rPr>
              <w:t>新庄</w:t>
            </w:r>
            <w:r>
              <w:rPr>
                <w:rFonts w:hint="eastAsia"/>
                <w:color w:val="auto"/>
                <w:kern w:val="0"/>
                <w:lang w:eastAsia="zh-CN"/>
              </w:rPr>
              <w:t>镇人民政府</w:t>
            </w:r>
          </w:p>
        </w:tc>
      </w:tr>
      <w:tr>
        <w:tblPrEx>
          <w:tblCellMar>
            <w:top w:w="0" w:type="dxa"/>
            <w:left w:w="108" w:type="dxa"/>
            <w:bottom w:w="0" w:type="dxa"/>
            <w:right w:w="108" w:type="dxa"/>
          </w:tblCellMar>
        </w:tblPrEx>
        <w:trPr>
          <w:trHeight w:val="4084" w:hRule="atLeast"/>
        </w:trPr>
        <w:tc>
          <w:tcPr>
            <w:tcW w:w="538"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rPr>
                <w:color w:val="auto"/>
                <w:kern w:val="0"/>
              </w:rPr>
            </w:pPr>
            <w:r>
              <w:rPr>
                <w:color w:val="auto"/>
                <w:kern w:val="0"/>
              </w:rPr>
              <w:t>3</w:t>
            </w:r>
          </w:p>
        </w:tc>
        <w:tc>
          <w:tcPr>
            <w:tcW w:w="679" w:type="dxa"/>
            <w:tcBorders>
              <w:top w:val="nil"/>
              <w:left w:val="nil"/>
              <w:bottom w:val="single" w:color="auto" w:sz="4" w:space="0"/>
              <w:right w:val="single" w:color="auto" w:sz="4" w:space="0"/>
            </w:tcBorders>
            <w:noWrap w:val="0"/>
            <w:vAlign w:val="center"/>
          </w:tcPr>
          <w:p>
            <w:pPr>
              <w:widowControl/>
              <w:spacing w:line="320" w:lineRule="exact"/>
              <w:jc w:val="center"/>
              <w:rPr>
                <w:rFonts w:hint="eastAsia" w:eastAsia="宋体"/>
                <w:color w:val="auto"/>
                <w:kern w:val="0"/>
                <w:lang w:eastAsia="zh-CN"/>
              </w:rPr>
            </w:pPr>
            <w:r>
              <w:rPr>
                <w:rFonts w:hint="eastAsia"/>
                <w:color w:val="auto"/>
                <w:kern w:val="0"/>
              </w:rPr>
              <w:t>行政</w:t>
            </w:r>
          </w:p>
          <w:p>
            <w:pPr>
              <w:widowControl/>
              <w:spacing w:line="320" w:lineRule="exact"/>
              <w:jc w:val="center"/>
              <w:rPr>
                <w:color w:val="auto"/>
                <w:kern w:val="0"/>
              </w:rPr>
            </w:pPr>
            <w:r>
              <w:rPr>
                <w:rFonts w:hint="eastAsia"/>
                <w:color w:val="auto"/>
                <w:kern w:val="0"/>
              </w:rPr>
              <w:t>许可</w:t>
            </w:r>
          </w:p>
        </w:tc>
        <w:tc>
          <w:tcPr>
            <w:tcW w:w="1064" w:type="dxa"/>
            <w:tcBorders>
              <w:top w:val="nil"/>
              <w:left w:val="nil"/>
              <w:bottom w:val="single" w:color="auto" w:sz="4" w:space="0"/>
              <w:right w:val="single" w:color="auto" w:sz="4" w:space="0"/>
            </w:tcBorders>
            <w:noWrap w:val="0"/>
            <w:vAlign w:val="center"/>
          </w:tcPr>
          <w:p>
            <w:pPr>
              <w:widowControl/>
              <w:spacing w:line="320" w:lineRule="exact"/>
              <w:rPr>
                <w:color w:val="auto"/>
                <w:kern w:val="0"/>
              </w:rPr>
            </w:pPr>
            <w:r>
              <w:rPr>
                <w:rFonts w:hint="eastAsia"/>
                <w:color w:val="auto"/>
                <w:kern w:val="0"/>
              </w:rPr>
              <w:t>农民集体所有土地由本集体经济组织以外的单位或者个人承包经营的审批</w:t>
            </w:r>
          </w:p>
        </w:tc>
        <w:tc>
          <w:tcPr>
            <w:tcW w:w="5702" w:type="dxa"/>
            <w:tcBorders>
              <w:top w:val="nil"/>
              <w:left w:val="nil"/>
              <w:bottom w:val="single" w:color="auto" w:sz="4" w:space="0"/>
              <w:right w:val="single" w:color="auto" w:sz="4" w:space="0"/>
            </w:tcBorders>
            <w:noWrap w:val="0"/>
            <w:vAlign w:val="center"/>
          </w:tcPr>
          <w:p>
            <w:pPr>
              <w:widowControl/>
              <w:spacing w:line="320" w:lineRule="exact"/>
              <w:rPr>
                <w:color w:val="auto"/>
                <w:kern w:val="0"/>
              </w:rPr>
            </w:pPr>
            <w:r>
              <w:rPr>
                <w:rFonts w:hint="eastAsia"/>
                <w:color w:val="auto"/>
                <w:kern w:val="0"/>
              </w:rPr>
              <w:t>《中华人民共和国农村土地承包法》第五十二条：发包方将农村土地发包给本集体经济组织以外的单位或者个人承包，应当事先经本集体经济组织成员的村民会议三分之二以上成员或者三分之二以上村民代表的同意，并报乡（镇）人民政府批准。由本集体经济组织以外的单位或者个人承包的，应当对承包方的资信情况和经营能力进行审查后，再签订承包合同。</w:t>
            </w:r>
          </w:p>
        </w:tc>
        <w:tc>
          <w:tcPr>
            <w:tcW w:w="2625" w:type="dxa"/>
            <w:tcBorders>
              <w:top w:val="nil"/>
              <w:left w:val="nil"/>
              <w:bottom w:val="single" w:color="auto" w:sz="4" w:space="0"/>
              <w:right w:val="single" w:color="auto" w:sz="4" w:space="0"/>
            </w:tcBorders>
            <w:noWrap w:val="0"/>
            <w:vAlign w:val="center"/>
          </w:tcPr>
          <w:p>
            <w:pPr>
              <w:widowControl/>
              <w:spacing w:line="320" w:lineRule="exact"/>
              <w:rPr>
                <w:color w:val="auto"/>
                <w:kern w:val="0"/>
              </w:rPr>
            </w:pPr>
            <w:r>
              <w:rPr>
                <w:rFonts w:hint="eastAsia"/>
                <w:color w:val="auto"/>
                <w:kern w:val="0"/>
              </w:rPr>
              <w:t>农业农村、自然资源和规划、林业等部门按照职责分工进行业务指导。</w:t>
            </w:r>
          </w:p>
        </w:tc>
        <w:tc>
          <w:tcPr>
            <w:tcW w:w="2693" w:type="dxa"/>
            <w:tcBorders>
              <w:top w:val="nil"/>
              <w:left w:val="nil"/>
              <w:bottom w:val="single" w:color="auto" w:sz="4" w:space="0"/>
              <w:right w:val="single" w:color="auto" w:sz="4" w:space="0"/>
            </w:tcBorders>
            <w:noWrap w:val="0"/>
            <w:vAlign w:val="center"/>
          </w:tcPr>
          <w:p>
            <w:pPr>
              <w:widowControl/>
              <w:spacing w:line="320" w:lineRule="exact"/>
              <w:rPr>
                <w:color w:val="auto"/>
                <w:kern w:val="0"/>
              </w:rPr>
            </w:pPr>
            <w:r>
              <w:rPr>
                <w:rFonts w:hint="eastAsia"/>
                <w:color w:val="auto"/>
                <w:kern w:val="0"/>
              </w:rPr>
              <w:t>负责对农民集体所有的土地由本集体经济组织以外的单位或者个人承包经营的审批，并加强日常监管。</w:t>
            </w:r>
          </w:p>
        </w:tc>
        <w:tc>
          <w:tcPr>
            <w:tcW w:w="851" w:type="dxa"/>
            <w:tcBorders>
              <w:top w:val="nil"/>
              <w:left w:val="nil"/>
              <w:bottom w:val="single" w:color="auto" w:sz="4" w:space="0"/>
              <w:right w:val="single" w:color="auto" w:sz="4" w:space="0"/>
            </w:tcBorders>
            <w:noWrap w:val="0"/>
            <w:vAlign w:val="center"/>
          </w:tcPr>
          <w:p>
            <w:pPr>
              <w:widowControl/>
              <w:spacing w:line="320" w:lineRule="exact"/>
              <w:jc w:val="center"/>
              <w:rPr>
                <w:rFonts w:hint="eastAsia" w:eastAsia="宋体"/>
                <w:color w:val="auto"/>
                <w:kern w:val="0"/>
                <w:lang w:eastAsia="zh-CN"/>
              </w:rPr>
            </w:pPr>
            <w:r>
              <w:rPr>
                <w:rFonts w:hint="eastAsia"/>
                <w:color w:val="auto"/>
                <w:kern w:val="0"/>
                <w:lang w:eastAsia="zh-CN"/>
              </w:rPr>
              <w:t>仅限</w:t>
            </w:r>
            <w:r>
              <w:rPr>
                <w:rFonts w:hint="eastAsia"/>
                <w:color w:val="auto"/>
                <w:kern w:val="0"/>
                <w:lang w:val="en-US" w:eastAsia="zh-CN"/>
              </w:rPr>
              <w:t>新庄</w:t>
            </w:r>
            <w:r>
              <w:rPr>
                <w:rFonts w:hint="eastAsia"/>
                <w:color w:val="auto"/>
                <w:kern w:val="0"/>
                <w:lang w:eastAsia="zh-CN"/>
              </w:rPr>
              <w:t>镇人民政府</w:t>
            </w:r>
          </w:p>
        </w:tc>
      </w:tr>
      <w:tr>
        <w:tblPrEx>
          <w:tblCellMar>
            <w:top w:w="0" w:type="dxa"/>
            <w:left w:w="108" w:type="dxa"/>
            <w:bottom w:w="0" w:type="dxa"/>
            <w:right w:w="108" w:type="dxa"/>
          </w:tblCellMar>
        </w:tblPrEx>
        <w:trPr>
          <w:trHeight w:val="8050" w:hRule="atLeast"/>
        </w:trPr>
        <w:tc>
          <w:tcPr>
            <w:tcW w:w="538"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color w:val="auto"/>
                <w:kern w:val="0"/>
              </w:rPr>
            </w:pPr>
            <w:r>
              <w:rPr>
                <w:color w:val="auto"/>
                <w:kern w:val="0"/>
              </w:rPr>
              <w:t>4</w:t>
            </w:r>
          </w:p>
        </w:tc>
        <w:tc>
          <w:tcPr>
            <w:tcW w:w="679" w:type="dxa"/>
            <w:tcBorders>
              <w:top w:val="nil"/>
              <w:left w:val="nil"/>
              <w:bottom w:val="single" w:color="auto" w:sz="4" w:space="0"/>
              <w:right w:val="single" w:color="auto" w:sz="4" w:space="0"/>
            </w:tcBorders>
            <w:shd w:val="clear" w:color="auto" w:fill="auto"/>
            <w:noWrap w:val="0"/>
            <w:vAlign w:val="center"/>
          </w:tcPr>
          <w:p>
            <w:pPr>
              <w:widowControl/>
              <w:spacing w:line="320" w:lineRule="exact"/>
              <w:jc w:val="center"/>
              <w:rPr>
                <w:color w:val="auto"/>
                <w:kern w:val="0"/>
              </w:rPr>
            </w:pPr>
            <w:r>
              <w:rPr>
                <w:rFonts w:hint="eastAsia"/>
                <w:color w:val="auto"/>
                <w:kern w:val="0"/>
              </w:rPr>
              <w:t>行政许可</w:t>
            </w:r>
          </w:p>
        </w:tc>
        <w:tc>
          <w:tcPr>
            <w:tcW w:w="1064" w:type="dxa"/>
            <w:tcBorders>
              <w:top w:val="nil"/>
              <w:left w:val="nil"/>
              <w:bottom w:val="single" w:color="auto" w:sz="4" w:space="0"/>
              <w:right w:val="single" w:color="auto" w:sz="4" w:space="0"/>
            </w:tcBorders>
            <w:shd w:val="clear" w:color="auto" w:fill="auto"/>
            <w:noWrap w:val="0"/>
            <w:vAlign w:val="center"/>
          </w:tcPr>
          <w:p>
            <w:pPr>
              <w:widowControl/>
              <w:spacing w:line="320" w:lineRule="exact"/>
              <w:rPr>
                <w:color w:val="auto"/>
                <w:kern w:val="0"/>
              </w:rPr>
            </w:pPr>
            <w:r>
              <w:rPr>
                <w:rFonts w:hint="eastAsia"/>
                <w:color w:val="auto"/>
                <w:kern w:val="0"/>
              </w:rPr>
              <w:t>农村集体经济组织统一经营的林权流转给本集体经济组织以外的单位和个人的流转方案审批</w:t>
            </w:r>
          </w:p>
        </w:tc>
        <w:tc>
          <w:tcPr>
            <w:tcW w:w="5702" w:type="dxa"/>
            <w:tcBorders>
              <w:top w:val="nil"/>
              <w:left w:val="nil"/>
              <w:bottom w:val="single" w:color="auto" w:sz="4" w:space="0"/>
              <w:right w:val="single" w:color="auto" w:sz="4" w:space="0"/>
            </w:tcBorders>
            <w:shd w:val="clear" w:color="auto" w:fill="FFFFFF"/>
            <w:noWrap w:val="0"/>
            <w:vAlign w:val="center"/>
          </w:tcPr>
          <w:p>
            <w:pPr>
              <w:widowControl/>
              <w:spacing w:line="320" w:lineRule="exact"/>
              <w:rPr>
                <w:color w:val="auto"/>
                <w:kern w:val="0"/>
              </w:rPr>
            </w:pPr>
            <w:r>
              <w:rPr>
                <w:color w:val="auto"/>
                <w:kern w:val="0"/>
              </w:rPr>
              <w:t>1.</w:t>
            </w:r>
            <w:r>
              <w:rPr>
                <w:rFonts w:hint="eastAsia"/>
                <w:color w:val="auto"/>
                <w:kern w:val="0"/>
              </w:rPr>
              <w:t>《中华人民共和国森林法》第十五条：林地和林地上的森林、林木的所有权、使用权，由不动产登记机构统一登记造册，核发证书。国务院确定的国家重点林区（以下简称重点林区）的森林、林木和林地，由国务院自然资源主管部门负责登记。</w:t>
            </w:r>
          </w:p>
          <w:p>
            <w:pPr>
              <w:widowControl/>
              <w:spacing w:line="320" w:lineRule="exact"/>
              <w:rPr>
                <w:color w:val="auto"/>
                <w:kern w:val="0"/>
              </w:rPr>
            </w:pPr>
            <w:r>
              <w:rPr>
                <w:color w:val="auto"/>
                <w:kern w:val="0"/>
              </w:rPr>
              <w:t>2.</w:t>
            </w:r>
            <w:r>
              <w:rPr>
                <w:rFonts w:hint="eastAsia"/>
                <w:color w:val="auto"/>
                <w:kern w:val="0"/>
              </w:rPr>
              <w:t>《安徽省林权管理条例》第二十三条：农村集体经济组织统一经营的林权流转，应当将林权评估基价、流转期限、收入分配方案等，在本集体经济组织内公告不少于十五日，并经本集体经济组织成员的村民会议三分之二以上成员或者三分之二以上村民代表同意。其中，流转给本集体经济组织以外的单位和个人的，应当对流入方的资信情况和经营能力进行审查，通过招标、拍卖或者公开协商等方式选择流入方，其流转方案应当报乡级人民政府批准。</w:t>
            </w:r>
          </w:p>
        </w:tc>
        <w:tc>
          <w:tcPr>
            <w:tcW w:w="2625" w:type="dxa"/>
            <w:tcBorders>
              <w:top w:val="nil"/>
              <w:left w:val="nil"/>
              <w:bottom w:val="single" w:color="auto" w:sz="4" w:space="0"/>
              <w:right w:val="single" w:color="auto" w:sz="4" w:space="0"/>
            </w:tcBorders>
            <w:shd w:val="clear" w:color="auto" w:fill="FFFFFF"/>
            <w:noWrap w:val="0"/>
            <w:vAlign w:val="center"/>
          </w:tcPr>
          <w:p>
            <w:pPr>
              <w:widowControl/>
              <w:spacing w:line="320" w:lineRule="exact"/>
              <w:rPr>
                <w:color w:val="auto"/>
                <w:kern w:val="0"/>
              </w:rPr>
            </w:pPr>
            <w:r>
              <w:rPr>
                <w:rFonts w:hint="eastAsia" w:hAnsi="宋体" w:cs="宋体"/>
                <w:color w:val="auto"/>
                <w:kern w:val="0"/>
              </w:rPr>
              <w:t>自然资源和规划、林业等部门按照职责分工进行业务指导。</w:t>
            </w:r>
          </w:p>
        </w:tc>
        <w:tc>
          <w:tcPr>
            <w:tcW w:w="2693" w:type="dxa"/>
            <w:tcBorders>
              <w:top w:val="nil"/>
              <w:left w:val="nil"/>
              <w:bottom w:val="single" w:color="auto" w:sz="4" w:space="0"/>
              <w:right w:val="single" w:color="auto" w:sz="4" w:space="0"/>
            </w:tcBorders>
            <w:shd w:val="clear" w:color="auto" w:fill="FFFFFF"/>
            <w:noWrap w:val="0"/>
            <w:vAlign w:val="center"/>
          </w:tcPr>
          <w:p>
            <w:pPr>
              <w:widowControl/>
              <w:spacing w:line="320" w:lineRule="exact"/>
              <w:rPr>
                <w:color w:val="auto"/>
                <w:kern w:val="0"/>
              </w:rPr>
            </w:pPr>
            <w:r>
              <w:rPr>
                <w:rFonts w:hint="eastAsia"/>
                <w:color w:val="auto"/>
                <w:kern w:val="0"/>
              </w:rPr>
              <w:t>负责审批农村集体经济组织统一经营的林权流转给本集体经济组织以外的单位和个人的流转方案。</w:t>
            </w:r>
          </w:p>
        </w:tc>
        <w:tc>
          <w:tcPr>
            <w:tcW w:w="851" w:type="dxa"/>
            <w:tcBorders>
              <w:top w:val="nil"/>
              <w:left w:val="nil"/>
              <w:bottom w:val="single" w:color="auto" w:sz="4" w:space="0"/>
              <w:right w:val="single" w:color="auto" w:sz="4" w:space="0"/>
            </w:tcBorders>
            <w:shd w:val="clear" w:color="auto" w:fill="FFFFFF"/>
            <w:noWrap w:val="0"/>
            <w:vAlign w:val="center"/>
          </w:tcPr>
          <w:p>
            <w:pPr>
              <w:widowControl/>
              <w:spacing w:line="320" w:lineRule="exact"/>
              <w:jc w:val="center"/>
              <w:rPr>
                <w:rFonts w:hint="eastAsia" w:eastAsia="宋体"/>
                <w:color w:val="auto"/>
                <w:kern w:val="0"/>
                <w:lang w:eastAsia="zh-CN"/>
              </w:rPr>
            </w:pPr>
            <w:r>
              <w:rPr>
                <w:rFonts w:hint="eastAsia"/>
                <w:color w:val="auto"/>
                <w:kern w:val="0"/>
                <w:lang w:eastAsia="zh-CN"/>
              </w:rPr>
              <w:t>仅限</w:t>
            </w:r>
            <w:r>
              <w:rPr>
                <w:rFonts w:hint="eastAsia"/>
                <w:color w:val="auto"/>
                <w:kern w:val="0"/>
                <w:lang w:val="en-US" w:eastAsia="zh-CN"/>
              </w:rPr>
              <w:t>新庄</w:t>
            </w:r>
            <w:r>
              <w:rPr>
                <w:rFonts w:hint="eastAsia"/>
                <w:color w:val="auto"/>
                <w:kern w:val="0"/>
                <w:lang w:eastAsia="zh-CN"/>
              </w:rPr>
              <w:t>镇人民政府</w:t>
            </w:r>
          </w:p>
        </w:tc>
      </w:tr>
      <w:tr>
        <w:tblPrEx>
          <w:tblCellMar>
            <w:top w:w="0" w:type="dxa"/>
            <w:left w:w="108" w:type="dxa"/>
            <w:bottom w:w="0" w:type="dxa"/>
            <w:right w:w="108" w:type="dxa"/>
          </w:tblCellMar>
        </w:tblPrEx>
        <w:trPr>
          <w:trHeight w:val="8050" w:hRule="atLeast"/>
        </w:trPr>
        <w:tc>
          <w:tcPr>
            <w:tcW w:w="538"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color w:val="auto"/>
                <w:kern w:val="0"/>
              </w:rPr>
            </w:pPr>
            <w:r>
              <w:rPr>
                <w:color w:val="auto"/>
                <w:kern w:val="0"/>
              </w:rPr>
              <w:t>5</w:t>
            </w:r>
          </w:p>
        </w:tc>
        <w:tc>
          <w:tcPr>
            <w:tcW w:w="679" w:type="dxa"/>
            <w:tcBorders>
              <w:top w:val="nil"/>
              <w:left w:val="nil"/>
              <w:bottom w:val="single" w:color="auto" w:sz="4" w:space="0"/>
              <w:right w:val="single" w:color="auto" w:sz="4" w:space="0"/>
            </w:tcBorders>
            <w:shd w:val="clear" w:color="auto" w:fill="auto"/>
            <w:noWrap w:val="0"/>
            <w:vAlign w:val="center"/>
          </w:tcPr>
          <w:p>
            <w:pPr>
              <w:widowControl/>
              <w:spacing w:line="320" w:lineRule="exact"/>
              <w:jc w:val="center"/>
              <w:rPr>
                <w:rFonts w:hint="eastAsia" w:eastAsia="宋体"/>
                <w:color w:val="auto"/>
                <w:kern w:val="0"/>
                <w:lang w:eastAsia="zh-CN"/>
              </w:rPr>
            </w:pPr>
            <w:r>
              <w:rPr>
                <w:rFonts w:hint="eastAsia"/>
                <w:color w:val="auto"/>
                <w:kern w:val="0"/>
              </w:rPr>
              <w:t>行政</w:t>
            </w:r>
          </w:p>
          <w:p>
            <w:pPr>
              <w:widowControl/>
              <w:spacing w:line="320" w:lineRule="exact"/>
              <w:jc w:val="center"/>
              <w:rPr>
                <w:color w:val="auto"/>
                <w:kern w:val="0"/>
              </w:rPr>
            </w:pPr>
            <w:r>
              <w:rPr>
                <w:rFonts w:hint="eastAsia"/>
                <w:color w:val="auto"/>
                <w:kern w:val="0"/>
              </w:rPr>
              <w:t>许可</w:t>
            </w:r>
          </w:p>
        </w:tc>
        <w:tc>
          <w:tcPr>
            <w:tcW w:w="1064" w:type="dxa"/>
            <w:tcBorders>
              <w:top w:val="nil"/>
              <w:left w:val="nil"/>
              <w:bottom w:val="single" w:color="auto" w:sz="4" w:space="0"/>
              <w:right w:val="single" w:color="auto" w:sz="4" w:space="0"/>
            </w:tcBorders>
            <w:shd w:val="clear" w:color="auto" w:fill="auto"/>
            <w:noWrap w:val="0"/>
            <w:vAlign w:val="center"/>
          </w:tcPr>
          <w:p>
            <w:pPr>
              <w:widowControl/>
              <w:spacing w:line="320" w:lineRule="exact"/>
              <w:rPr>
                <w:color w:val="auto"/>
                <w:kern w:val="0"/>
              </w:rPr>
            </w:pPr>
            <w:r>
              <w:rPr>
                <w:rFonts w:hint="eastAsia"/>
                <w:color w:val="auto"/>
                <w:kern w:val="0"/>
              </w:rPr>
              <w:t>受委托对农村居民采伐自留山和个人承包集体林地上林木的采伐许可证的审核发放</w:t>
            </w:r>
          </w:p>
        </w:tc>
        <w:tc>
          <w:tcPr>
            <w:tcW w:w="5702" w:type="dxa"/>
            <w:tcBorders>
              <w:top w:val="nil"/>
              <w:left w:val="nil"/>
              <w:bottom w:val="single" w:color="auto" w:sz="4" w:space="0"/>
              <w:right w:val="single" w:color="auto" w:sz="4" w:space="0"/>
            </w:tcBorders>
            <w:shd w:val="clear" w:color="auto" w:fill="FFFFFF"/>
            <w:noWrap w:val="0"/>
            <w:vAlign w:val="center"/>
          </w:tcPr>
          <w:p>
            <w:pPr>
              <w:widowControl/>
              <w:spacing w:line="320" w:lineRule="exact"/>
              <w:rPr>
                <w:rFonts w:hint="eastAsia" w:eastAsia="宋体"/>
                <w:color w:val="auto"/>
                <w:kern w:val="0"/>
                <w:lang w:eastAsia="zh-CN"/>
              </w:rPr>
            </w:pPr>
            <w:r>
              <w:rPr>
                <w:rFonts w:hint="eastAsia"/>
                <w:color w:val="auto"/>
                <w:kern w:val="0"/>
              </w:rPr>
              <w:t>《中华人民共和国森林法》第五十六条：采伐林地上的林木应当申请采伐许可证，并按照采伐许可证的规定进行采伐；采伐自然保护区以外的竹林，不需要申请采伐许可证，但应当符合林木采伐技术规程。农村居民采伐自留地和房前屋后个人所有的零星林木，不需要申请采伐许可证。非林地上的农田防护林、防风固沙林、护路林、护岸护堤林和城镇林木等的更新采伐，由有关主管部门按照有关规定管理。采挖移植林木按照采伐林木管理。具体办法由国务院林业主管部门制定。禁止伪造、变造、买卖、租借采伐许可证。</w:t>
            </w:r>
          </w:p>
          <w:p>
            <w:pPr>
              <w:widowControl/>
              <w:spacing w:line="320" w:lineRule="exact"/>
              <w:rPr>
                <w:color w:val="auto"/>
                <w:kern w:val="0"/>
              </w:rPr>
            </w:pPr>
            <w:r>
              <w:rPr>
                <w:rFonts w:hint="eastAsia"/>
                <w:color w:val="auto"/>
                <w:kern w:val="0"/>
              </w:rPr>
              <w:t>第五十七条：采伐许可证由县级以上人民政府林业主管部门核发。县级以上人民政府林业主管部门应当采取措施，方便申请人办理采伐许可证。农村居民采伐自留山和个人承包集体林地上的林木，由县级人民政府林业主管部门或者其委托的乡镇人民政府核发采伐许可证。</w:t>
            </w:r>
          </w:p>
        </w:tc>
        <w:tc>
          <w:tcPr>
            <w:tcW w:w="2625" w:type="dxa"/>
            <w:tcBorders>
              <w:top w:val="nil"/>
              <w:left w:val="nil"/>
              <w:bottom w:val="single" w:color="auto" w:sz="4" w:space="0"/>
              <w:right w:val="single" w:color="auto" w:sz="4" w:space="0"/>
            </w:tcBorders>
            <w:shd w:val="clear" w:color="auto" w:fill="FFFFFF"/>
            <w:noWrap w:val="0"/>
            <w:vAlign w:val="center"/>
          </w:tcPr>
          <w:p>
            <w:pPr>
              <w:widowControl/>
              <w:spacing w:line="320" w:lineRule="exact"/>
              <w:rPr>
                <w:color w:val="auto"/>
                <w:kern w:val="0"/>
              </w:rPr>
            </w:pPr>
            <w:r>
              <w:rPr>
                <w:rFonts w:hint="eastAsia"/>
                <w:color w:val="auto"/>
                <w:kern w:val="0"/>
              </w:rPr>
              <w:t>未委托乡镇实施的，林业部门负责核发采伐许可证。</w:t>
            </w:r>
          </w:p>
          <w:p>
            <w:pPr>
              <w:widowControl/>
              <w:spacing w:line="320" w:lineRule="exact"/>
              <w:rPr>
                <w:color w:val="auto"/>
                <w:kern w:val="0"/>
              </w:rPr>
            </w:pPr>
            <w:r>
              <w:rPr>
                <w:rFonts w:hint="eastAsia"/>
                <w:color w:val="auto"/>
                <w:kern w:val="0"/>
              </w:rPr>
              <w:t>已委托乡镇实施的，林业部门负责业务指导，并加强监督。</w:t>
            </w:r>
          </w:p>
        </w:tc>
        <w:tc>
          <w:tcPr>
            <w:tcW w:w="2693" w:type="dxa"/>
            <w:tcBorders>
              <w:top w:val="nil"/>
              <w:left w:val="nil"/>
              <w:bottom w:val="single" w:color="auto" w:sz="4" w:space="0"/>
              <w:right w:val="single" w:color="auto" w:sz="4" w:space="0"/>
            </w:tcBorders>
            <w:shd w:val="clear" w:color="auto" w:fill="FFFFFF"/>
            <w:noWrap w:val="0"/>
            <w:vAlign w:val="center"/>
          </w:tcPr>
          <w:p>
            <w:pPr>
              <w:widowControl/>
              <w:spacing w:line="320" w:lineRule="exact"/>
              <w:rPr>
                <w:color w:val="auto"/>
                <w:kern w:val="0"/>
              </w:rPr>
            </w:pPr>
            <w:r>
              <w:rPr>
                <w:rFonts w:hint="eastAsia"/>
                <w:color w:val="auto"/>
                <w:kern w:val="0"/>
              </w:rPr>
              <w:t>根据县级林业部门委托，依照有关规定负责对农村居民采伐自留山和个人承包集体林地上的林木审核发放采伐许可证。</w:t>
            </w:r>
          </w:p>
        </w:tc>
        <w:tc>
          <w:tcPr>
            <w:tcW w:w="851" w:type="dxa"/>
            <w:tcBorders>
              <w:top w:val="nil"/>
              <w:left w:val="nil"/>
              <w:bottom w:val="single" w:color="auto" w:sz="4" w:space="0"/>
              <w:right w:val="single" w:color="auto" w:sz="4" w:space="0"/>
            </w:tcBorders>
            <w:shd w:val="clear" w:color="auto" w:fill="FFFFFF"/>
            <w:noWrap w:val="0"/>
            <w:vAlign w:val="center"/>
          </w:tcPr>
          <w:p>
            <w:pPr>
              <w:widowControl/>
              <w:spacing w:line="320" w:lineRule="exact"/>
              <w:jc w:val="center"/>
              <w:rPr>
                <w:rFonts w:hint="eastAsia" w:eastAsia="宋体"/>
                <w:color w:val="auto"/>
                <w:kern w:val="0"/>
                <w:lang w:eastAsia="zh-CN"/>
              </w:rPr>
            </w:pPr>
            <w:r>
              <w:rPr>
                <w:rFonts w:hint="eastAsia"/>
                <w:color w:val="auto"/>
                <w:kern w:val="0"/>
                <w:lang w:eastAsia="zh-CN"/>
              </w:rPr>
              <w:t>仅限</w:t>
            </w:r>
            <w:r>
              <w:rPr>
                <w:rFonts w:hint="eastAsia"/>
                <w:color w:val="auto"/>
                <w:kern w:val="0"/>
                <w:lang w:val="en-US" w:eastAsia="zh-CN"/>
              </w:rPr>
              <w:t>新庄</w:t>
            </w:r>
            <w:r>
              <w:rPr>
                <w:rFonts w:hint="eastAsia"/>
                <w:color w:val="auto"/>
                <w:kern w:val="0"/>
                <w:lang w:eastAsia="zh-CN"/>
              </w:rPr>
              <w:t>镇人民政府</w:t>
            </w:r>
          </w:p>
        </w:tc>
      </w:tr>
      <w:tr>
        <w:tblPrEx>
          <w:tblCellMar>
            <w:top w:w="0" w:type="dxa"/>
            <w:left w:w="108" w:type="dxa"/>
            <w:bottom w:w="0" w:type="dxa"/>
            <w:right w:w="108" w:type="dxa"/>
          </w:tblCellMar>
        </w:tblPrEx>
        <w:trPr>
          <w:trHeight w:val="3997" w:hRule="atLeast"/>
        </w:trPr>
        <w:tc>
          <w:tcPr>
            <w:tcW w:w="538"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rPr>
                <w:color w:val="auto"/>
                <w:kern w:val="0"/>
              </w:rPr>
            </w:pPr>
            <w:r>
              <w:rPr>
                <w:color w:val="auto"/>
                <w:kern w:val="0"/>
              </w:rPr>
              <w:t>6</w:t>
            </w:r>
          </w:p>
        </w:tc>
        <w:tc>
          <w:tcPr>
            <w:tcW w:w="679" w:type="dxa"/>
            <w:tcBorders>
              <w:top w:val="nil"/>
              <w:left w:val="nil"/>
              <w:bottom w:val="single" w:color="auto" w:sz="4" w:space="0"/>
              <w:right w:val="single" w:color="auto" w:sz="4" w:space="0"/>
            </w:tcBorders>
            <w:noWrap w:val="0"/>
            <w:vAlign w:val="center"/>
          </w:tcPr>
          <w:p>
            <w:pPr>
              <w:widowControl/>
              <w:spacing w:line="320" w:lineRule="exact"/>
              <w:jc w:val="center"/>
              <w:rPr>
                <w:rFonts w:hint="eastAsia" w:eastAsia="宋体"/>
                <w:color w:val="auto"/>
                <w:kern w:val="0"/>
                <w:lang w:eastAsia="zh-CN"/>
              </w:rPr>
            </w:pPr>
            <w:r>
              <w:rPr>
                <w:rFonts w:hint="eastAsia"/>
                <w:color w:val="auto"/>
                <w:kern w:val="0"/>
              </w:rPr>
              <w:t>行政</w:t>
            </w:r>
          </w:p>
          <w:p>
            <w:pPr>
              <w:widowControl/>
              <w:spacing w:line="320" w:lineRule="exact"/>
              <w:jc w:val="center"/>
              <w:rPr>
                <w:color w:val="auto"/>
                <w:kern w:val="0"/>
              </w:rPr>
            </w:pPr>
            <w:r>
              <w:rPr>
                <w:rFonts w:hint="eastAsia"/>
                <w:color w:val="auto"/>
                <w:kern w:val="0"/>
              </w:rPr>
              <w:t>强制</w:t>
            </w:r>
          </w:p>
        </w:tc>
        <w:tc>
          <w:tcPr>
            <w:tcW w:w="1064" w:type="dxa"/>
            <w:tcBorders>
              <w:top w:val="nil"/>
              <w:left w:val="nil"/>
              <w:bottom w:val="single" w:color="auto" w:sz="4" w:space="0"/>
              <w:right w:val="single" w:color="auto" w:sz="4" w:space="0"/>
            </w:tcBorders>
            <w:noWrap w:val="0"/>
            <w:vAlign w:val="center"/>
          </w:tcPr>
          <w:p>
            <w:pPr>
              <w:widowControl/>
              <w:spacing w:line="320" w:lineRule="exact"/>
              <w:rPr>
                <w:color w:val="auto"/>
                <w:kern w:val="0"/>
              </w:rPr>
            </w:pPr>
            <w:r>
              <w:rPr>
                <w:rFonts w:hint="eastAsia"/>
                <w:color w:val="auto"/>
                <w:kern w:val="0"/>
              </w:rPr>
              <w:t>对未依法取得乡村建设规划许可证或未按乡村建设规划许可证建设的，责令停止建设、限期改正</w:t>
            </w:r>
          </w:p>
        </w:tc>
        <w:tc>
          <w:tcPr>
            <w:tcW w:w="5702" w:type="dxa"/>
            <w:tcBorders>
              <w:top w:val="nil"/>
              <w:left w:val="nil"/>
              <w:bottom w:val="single" w:color="auto" w:sz="4" w:space="0"/>
              <w:right w:val="single" w:color="auto" w:sz="4" w:space="0"/>
            </w:tcBorders>
            <w:noWrap w:val="0"/>
            <w:vAlign w:val="center"/>
          </w:tcPr>
          <w:p>
            <w:pPr>
              <w:widowControl/>
              <w:spacing w:line="320" w:lineRule="exact"/>
              <w:rPr>
                <w:color w:val="auto"/>
                <w:kern w:val="0"/>
              </w:rPr>
            </w:pPr>
            <w:r>
              <w:rPr>
                <w:rFonts w:hint="eastAsia"/>
                <w:color w:val="auto"/>
                <w:kern w:val="0"/>
              </w:rPr>
              <w:t>《中华人民共和国城乡规划法》第六十五条：在乡、村庄规划区内未依法取得乡村建设规划许可证或者未按照乡村建设规划许可证的规定进行建设的，由乡、镇人民政府责令停止建设、限期改正；逾期不改正的，可以拆除。</w:t>
            </w:r>
          </w:p>
        </w:tc>
        <w:tc>
          <w:tcPr>
            <w:tcW w:w="2625" w:type="dxa"/>
            <w:tcBorders>
              <w:top w:val="nil"/>
              <w:left w:val="nil"/>
              <w:bottom w:val="single" w:color="auto" w:sz="4" w:space="0"/>
              <w:right w:val="single" w:color="auto" w:sz="4" w:space="0"/>
            </w:tcBorders>
            <w:noWrap w:val="0"/>
            <w:vAlign w:val="center"/>
          </w:tcPr>
          <w:p>
            <w:pPr>
              <w:widowControl/>
              <w:spacing w:line="320" w:lineRule="exact"/>
              <w:rPr>
                <w:color w:val="auto"/>
                <w:kern w:val="0"/>
              </w:rPr>
            </w:pPr>
            <w:r>
              <w:rPr>
                <w:rFonts w:hint="eastAsia"/>
                <w:color w:val="auto"/>
                <w:kern w:val="0"/>
              </w:rPr>
              <w:t>自然资源和规划、农业农村、城管等部门按照职责分工进行业务指导。</w:t>
            </w:r>
          </w:p>
        </w:tc>
        <w:tc>
          <w:tcPr>
            <w:tcW w:w="2693" w:type="dxa"/>
            <w:tcBorders>
              <w:top w:val="nil"/>
              <w:left w:val="nil"/>
              <w:bottom w:val="single" w:color="auto" w:sz="4" w:space="0"/>
              <w:right w:val="single" w:color="auto" w:sz="4" w:space="0"/>
            </w:tcBorders>
            <w:noWrap w:val="0"/>
            <w:vAlign w:val="center"/>
          </w:tcPr>
          <w:p>
            <w:pPr>
              <w:widowControl/>
              <w:spacing w:line="320" w:lineRule="exact"/>
              <w:rPr>
                <w:color w:val="auto"/>
                <w:kern w:val="0"/>
              </w:rPr>
            </w:pPr>
            <w:r>
              <w:rPr>
                <w:rFonts w:hint="eastAsia"/>
                <w:color w:val="auto"/>
                <w:kern w:val="0"/>
              </w:rPr>
              <w:t>对辖区内未依法取得乡村建设规划许可证或未按乡村建设规划许可证建设等情况进行巡查，发现违法行为立即责令停止建设、限期改正；逾期不改正的，可以拆除。</w:t>
            </w:r>
          </w:p>
        </w:tc>
        <w:tc>
          <w:tcPr>
            <w:tcW w:w="851" w:type="dxa"/>
            <w:tcBorders>
              <w:top w:val="nil"/>
              <w:left w:val="nil"/>
              <w:bottom w:val="single" w:color="auto" w:sz="4" w:space="0"/>
              <w:right w:val="single" w:color="auto" w:sz="4" w:space="0"/>
            </w:tcBorders>
            <w:noWrap w:val="0"/>
            <w:vAlign w:val="center"/>
          </w:tcPr>
          <w:p>
            <w:pPr>
              <w:widowControl/>
              <w:spacing w:line="320" w:lineRule="exact"/>
              <w:jc w:val="center"/>
              <w:rPr>
                <w:rFonts w:hint="eastAsia" w:eastAsia="宋体"/>
                <w:color w:val="auto"/>
                <w:kern w:val="0"/>
                <w:lang w:eastAsia="zh-CN"/>
              </w:rPr>
            </w:pPr>
            <w:r>
              <w:rPr>
                <w:rFonts w:hint="eastAsia"/>
                <w:color w:val="auto"/>
                <w:kern w:val="0"/>
                <w:lang w:eastAsia="zh-CN"/>
              </w:rPr>
              <w:t>仅限</w:t>
            </w:r>
            <w:r>
              <w:rPr>
                <w:rFonts w:hint="eastAsia"/>
                <w:color w:val="auto"/>
                <w:kern w:val="0"/>
                <w:lang w:val="en-US" w:eastAsia="zh-CN"/>
              </w:rPr>
              <w:t>新庄</w:t>
            </w:r>
            <w:r>
              <w:rPr>
                <w:rFonts w:hint="eastAsia"/>
                <w:color w:val="auto"/>
                <w:kern w:val="0"/>
                <w:lang w:eastAsia="zh-CN"/>
              </w:rPr>
              <w:t>镇人民政府</w:t>
            </w:r>
          </w:p>
        </w:tc>
      </w:tr>
      <w:tr>
        <w:tblPrEx>
          <w:tblCellMar>
            <w:top w:w="0" w:type="dxa"/>
            <w:left w:w="108" w:type="dxa"/>
            <w:bottom w:w="0" w:type="dxa"/>
            <w:right w:w="108" w:type="dxa"/>
          </w:tblCellMar>
        </w:tblPrEx>
        <w:trPr>
          <w:trHeight w:val="3998" w:hRule="atLeast"/>
        </w:trPr>
        <w:tc>
          <w:tcPr>
            <w:tcW w:w="538"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color w:val="auto"/>
                <w:kern w:val="0"/>
              </w:rPr>
            </w:pPr>
            <w:r>
              <w:rPr>
                <w:color w:val="auto"/>
                <w:kern w:val="0"/>
              </w:rPr>
              <w:t>7</w:t>
            </w:r>
          </w:p>
        </w:tc>
        <w:tc>
          <w:tcPr>
            <w:tcW w:w="679" w:type="dxa"/>
            <w:tcBorders>
              <w:top w:val="nil"/>
              <w:left w:val="nil"/>
              <w:bottom w:val="single" w:color="auto" w:sz="4" w:space="0"/>
              <w:right w:val="single" w:color="auto" w:sz="4" w:space="0"/>
            </w:tcBorders>
            <w:shd w:val="clear" w:color="auto" w:fill="auto"/>
            <w:noWrap w:val="0"/>
            <w:vAlign w:val="center"/>
          </w:tcPr>
          <w:p>
            <w:pPr>
              <w:widowControl/>
              <w:spacing w:line="320" w:lineRule="exact"/>
              <w:jc w:val="center"/>
              <w:rPr>
                <w:rFonts w:hint="eastAsia" w:eastAsia="宋体"/>
                <w:color w:val="auto"/>
                <w:kern w:val="0"/>
                <w:lang w:eastAsia="zh-CN"/>
              </w:rPr>
            </w:pPr>
            <w:r>
              <w:rPr>
                <w:rFonts w:hint="eastAsia"/>
                <w:color w:val="auto"/>
                <w:kern w:val="0"/>
              </w:rPr>
              <w:t>行政</w:t>
            </w:r>
          </w:p>
          <w:p>
            <w:pPr>
              <w:widowControl/>
              <w:spacing w:line="320" w:lineRule="exact"/>
              <w:jc w:val="center"/>
              <w:rPr>
                <w:color w:val="auto"/>
                <w:kern w:val="0"/>
              </w:rPr>
            </w:pPr>
            <w:r>
              <w:rPr>
                <w:rFonts w:hint="eastAsia"/>
                <w:color w:val="auto"/>
                <w:kern w:val="0"/>
              </w:rPr>
              <w:t>强制</w:t>
            </w:r>
          </w:p>
        </w:tc>
        <w:tc>
          <w:tcPr>
            <w:tcW w:w="1064" w:type="dxa"/>
            <w:tcBorders>
              <w:top w:val="nil"/>
              <w:left w:val="nil"/>
              <w:bottom w:val="single" w:color="auto" w:sz="4" w:space="0"/>
              <w:right w:val="single" w:color="auto" w:sz="4" w:space="0"/>
            </w:tcBorders>
            <w:shd w:val="clear" w:color="auto" w:fill="auto"/>
            <w:noWrap w:val="0"/>
            <w:vAlign w:val="center"/>
          </w:tcPr>
          <w:p>
            <w:pPr>
              <w:widowControl/>
              <w:spacing w:line="320" w:lineRule="exact"/>
              <w:rPr>
                <w:color w:val="auto"/>
                <w:kern w:val="0"/>
              </w:rPr>
            </w:pPr>
            <w:r>
              <w:rPr>
                <w:rFonts w:hint="eastAsia"/>
                <w:color w:val="auto"/>
                <w:kern w:val="0"/>
              </w:rPr>
              <w:t>防汛采取非常紧急措施遇到阻拦和拖延时组织强制实施</w:t>
            </w:r>
          </w:p>
        </w:tc>
        <w:tc>
          <w:tcPr>
            <w:tcW w:w="5702" w:type="dxa"/>
            <w:tcBorders>
              <w:top w:val="nil"/>
              <w:left w:val="nil"/>
              <w:bottom w:val="single" w:color="auto" w:sz="4" w:space="0"/>
              <w:right w:val="single" w:color="auto" w:sz="4" w:space="0"/>
            </w:tcBorders>
            <w:shd w:val="clear" w:color="auto" w:fill="auto"/>
            <w:noWrap w:val="0"/>
            <w:vAlign w:val="center"/>
          </w:tcPr>
          <w:p>
            <w:pPr>
              <w:widowControl/>
              <w:spacing w:line="320" w:lineRule="exact"/>
              <w:rPr>
                <w:color w:val="auto"/>
                <w:kern w:val="0"/>
              </w:rPr>
            </w:pPr>
            <w:r>
              <w:rPr>
                <w:rFonts w:hint="eastAsia"/>
                <w:color w:val="auto"/>
                <w:kern w:val="0"/>
              </w:rPr>
              <w:t>《中华人民共和国防汛条例》第三十三条：当河道水位或者流量达到规定的分洪、滞洪标准时，有管辖权的人民政府防汛指挥部有权根据经批准的分洪、滞洪方案，采取分洪、滞洪措施。采取上述措施对毗邻地区有危害的，须经有管辖权的上级防汛指挥机构批准，并事先通知有关地区。在非常情况下，为保护国家确定的重点地区和大局安全，必须作出局部牺牲时，在报经有管辖权的上级人民政府防汛指挥部批准后，当地人民政府防汛指挥部可以采取非常紧急措施。实施上述措施时，任何单位和个人不得阻拦，如遇到阻拦和拖延时，有管辖权的人民政府有权组织强制实施。</w:t>
            </w:r>
          </w:p>
        </w:tc>
        <w:tc>
          <w:tcPr>
            <w:tcW w:w="2625" w:type="dxa"/>
            <w:tcBorders>
              <w:top w:val="nil"/>
              <w:left w:val="nil"/>
              <w:bottom w:val="single" w:color="auto" w:sz="4" w:space="0"/>
              <w:right w:val="single" w:color="auto" w:sz="4" w:space="0"/>
            </w:tcBorders>
            <w:shd w:val="clear" w:color="auto" w:fill="FFFFFF"/>
            <w:noWrap w:val="0"/>
            <w:vAlign w:val="center"/>
          </w:tcPr>
          <w:p>
            <w:pPr>
              <w:widowControl/>
              <w:spacing w:line="320" w:lineRule="exact"/>
              <w:rPr>
                <w:color w:val="auto"/>
                <w:kern w:val="0"/>
              </w:rPr>
            </w:pPr>
            <w:r>
              <w:rPr>
                <w:rFonts w:hint="eastAsia"/>
                <w:color w:val="auto"/>
                <w:kern w:val="0"/>
              </w:rPr>
              <w:t>县级人民政府防汛指挥部指导乡镇开展工作，采取非常紧急措施遇到阻拦和拖延时，对不配合的单位和个人组织强制实施。</w:t>
            </w:r>
          </w:p>
        </w:tc>
        <w:tc>
          <w:tcPr>
            <w:tcW w:w="2693" w:type="dxa"/>
            <w:tcBorders>
              <w:top w:val="nil"/>
              <w:left w:val="nil"/>
              <w:bottom w:val="single" w:color="auto" w:sz="4" w:space="0"/>
              <w:right w:val="single" w:color="auto" w:sz="4" w:space="0"/>
            </w:tcBorders>
            <w:shd w:val="clear" w:color="auto" w:fill="FFFFFF"/>
            <w:noWrap w:val="0"/>
            <w:vAlign w:val="center"/>
          </w:tcPr>
          <w:p>
            <w:pPr>
              <w:widowControl/>
              <w:spacing w:line="320" w:lineRule="exact"/>
              <w:rPr>
                <w:color w:val="auto"/>
                <w:kern w:val="0"/>
              </w:rPr>
            </w:pPr>
            <w:r>
              <w:rPr>
                <w:rFonts w:hint="eastAsia"/>
                <w:color w:val="auto"/>
                <w:kern w:val="0"/>
              </w:rPr>
              <w:t>应当告知相关单位和个人应履行的义务并告之其履行义务的期限、方式和依法享有的陈述权、申辩权，若当事人依然阻拦和拖延，报告上级主管部门，并配合执法部门做好相关执法工作。</w:t>
            </w:r>
          </w:p>
        </w:tc>
        <w:tc>
          <w:tcPr>
            <w:tcW w:w="851" w:type="dxa"/>
            <w:tcBorders>
              <w:top w:val="nil"/>
              <w:left w:val="nil"/>
              <w:bottom w:val="single" w:color="auto" w:sz="4" w:space="0"/>
              <w:right w:val="single" w:color="auto" w:sz="4" w:space="0"/>
            </w:tcBorders>
            <w:shd w:val="clear" w:color="auto" w:fill="FFFFFF"/>
            <w:noWrap w:val="0"/>
            <w:vAlign w:val="center"/>
          </w:tcPr>
          <w:p>
            <w:pPr>
              <w:widowControl/>
              <w:spacing w:line="320" w:lineRule="exact"/>
              <w:jc w:val="center"/>
              <w:rPr>
                <w:color w:val="auto"/>
                <w:kern w:val="0"/>
              </w:rPr>
            </w:pPr>
          </w:p>
        </w:tc>
      </w:tr>
      <w:tr>
        <w:tblPrEx>
          <w:tblCellMar>
            <w:top w:w="0" w:type="dxa"/>
            <w:left w:w="108" w:type="dxa"/>
            <w:bottom w:w="0" w:type="dxa"/>
            <w:right w:w="108" w:type="dxa"/>
          </w:tblCellMar>
        </w:tblPrEx>
        <w:trPr>
          <w:trHeight w:val="8050" w:hRule="atLeast"/>
        </w:trPr>
        <w:tc>
          <w:tcPr>
            <w:tcW w:w="538"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rPr>
                <w:color w:val="auto"/>
                <w:kern w:val="0"/>
              </w:rPr>
            </w:pPr>
            <w:r>
              <w:rPr>
                <w:color w:val="auto"/>
                <w:kern w:val="0"/>
              </w:rPr>
              <w:t>8</w:t>
            </w:r>
          </w:p>
        </w:tc>
        <w:tc>
          <w:tcPr>
            <w:tcW w:w="679" w:type="dxa"/>
            <w:tcBorders>
              <w:top w:val="nil"/>
              <w:left w:val="nil"/>
              <w:bottom w:val="single" w:color="auto" w:sz="4" w:space="0"/>
              <w:right w:val="single" w:color="auto" w:sz="4" w:space="0"/>
            </w:tcBorders>
            <w:noWrap w:val="0"/>
            <w:vAlign w:val="center"/>
          </w:tcPr>
          <w:p>
            <w:pPr>
              <w:widowControl/>
              <w:spacing w:line="320" w:lineRule="exact"/>
              <w:jc w:val="center"/>
              <w:rPr>
                <w:color w:val="auto"/>
                <w:kern w:val="0"/>
              </w:rPr>
            </w:pPr>
            <w:r>
              <w:rPr>
                <w:rFonts w:hint="eastAsia"/>
                <w:color w:val="auto"/>
                <w:kern w:val="0"/>
              </w:rPr>
              <w:t>行政确认</w:t>
            </w:r>
          </w:p>
        </w:tc>
        <w:tc>
          <w:tcPr>
            <w:tcW w:w="1064" w:type="dxa"/>
            <w:tcBorders>
              <w:top w:val="nil"/>
              <w:left w:val="nil"/>
              <w:bottom w:val="single" w:color="auto" w:sz="4" w:space="0"/>
              <w:right w:val="single" w:color="auto" w:sz="4" w:space="0"/>
            </w:tcBorders>
            <w:noWrap w:val="0"/>
            <w:vAlign w:val="center"/>
          </w:tcPr>
          <w:p>
            <w:pPr>
              <w:widowControl/>
              <w:spacing w:line="320" w:lineRule="exact"/>
              <w:rPr>
                <w:color w:val="auto"/>
                <w:kern w:val="0"/>
              </w:rPr>
            </w:pPr>
            <w:r>
              <w:rPr>
                <w:rFonts w:hint="eastAsia"/>
                <w:color w:val="auto"/>
                <w:kern w:val="0"/>
              </w:rPr>
              <w:t>确定村道公路用地外缘的建筑控制区</w:t>
            </w:r>
          </w:p>
        </w:tc>
        <w:tc>
          <w:tcPr>
            <w:tcW w:w="5702" w:type="dxa"/>
            <w:tcBorders>
              <w:top w:val="nil"/>
              <w:left w:val="nil"/>
              <w:bottom w:val="single" w:color="auto" w:sz="4" w:space="0"/>
              <w:right w:val="single" w:color="auto" w:sz="4" w:space="0"/>
            </w:tcBorders>
            <w:noWrap w:val="0"/>
            <w:vAlign w:val="center"/>
          </w:tcPr>
          <w:p>
            <w:pPr>
              <w:widowControl/>
              <w:spacing w:line="320" w:lineRule="exact"/>
              <w:rPr>
                <w:color w:val="auto"/>
                <w:kern w:val="0"/>
              </w:rPr>
            </w:pPr>
            <w:r>
              <w:rPr>
                <w:rFonts w:hint="eastAsia"/>
                <w:color w:val="auto"/>
                <w:kern w:val="0"/>
              </w:rPr>
              <w:t>《安徽省农村公路条例》第三十二条：县级人民政府应当确定县道、乡道两侧自边沟（截水沟、坡脚护坡道）外缘起不少于一米的范围为公路用地，自公路用地外缘起县道不少于十米、乡道不少于五米的范围为建筑控制区，并向社会公告。村道的公路用地范围由村民委员会通过村民会议或者村民代表会议确定。乡（镇）人民政府应当根据具体情况，确定村道自公路用地外缘起一般不少于三米的范围为建筑控制区，并向村民公告。</w:t>
            </w:r>
          </w:p>
        </w:tc>
        <w:tc>
          <w:tcPr>
            <w:tcW w:w="2625" w:type="dxa"/>
            <w:tcBorders>
              <w:top w:val="nil"/>
              <w:left w:val="nil"/>
              <w:bottom w:val="single" w:color="auto" w:sz="4" w:space="0"/>
              <w:right w:val="single" w:color="auto" w:sz="4" w:space="0"/>
            </w:tcBorders>
            <w:noWrap w:val="0"/>
            <w:vAlign w:val="center"/>
          </w:tcPr>
          <w:p>
            <w:pPr>
              <w:widowControl/>
              <w:spacing w:line="320" w:lineRule="exact"/>
              <w:rPr>
                <w:color w:val="auto"/>
                <w:kern w:val="0"/>
              </w:rPr>
            </w:pPr>
            <w:r>
              <w:rPr>
                <w:rFonts w:hint="eastAsia"/>
                <w:color w:val="auto"/>
                <w:kern w:val="0"/>
              </w:rPr>
              <w:t>交通运输、自然资源和规划等部门按规定做好县道、乡道两侧建筑控制区的确定和公告等工作。</w:t>
            </w:r>
          </w:p>
        </w:tc>
        <w:tc>
          <w:tcPr>
            <w:tcW w:w="2693" w:type="dxa"/>
            <w:tcBorders>
              <w:top w:val="nil"/>
              <w:left w:val="nil"/>
              <w:bottom w:val="single" w:color="auto" w:sz="4" w:space="0"/>
              <w:right w:val="single" w:color="auto" w:sz="4" w:space="0"/>
            </w:tcBorders>
            <w:noWrap w:val="0"/>
            <w:vAlign w:val="center"/>
          </w:tcPr>
          <w:p>
            <w:pPr>
              <w:widowControl/>
              <w:spacing w:line="320" w:lineRule="exact"/>
              <w:rPr>
                <w:color w:val="auto"/>
                <w:kern w:val="0"/>
              </w:rPr>
            </w:pPr>
            <w:r>
              <w:rPr>
                <w:rFonts w:hint="eastAsia"/>
                <w:color w:val="auto"/>
                <w:kern w:val="0"/>
              </w:rPr>
              <w:t>在村民委员会确定村道的公路用地范围后，根据具体情况确定村道公路用地外缘的建筑控制区，并向村民公告。</w:t>
            </w:r>
          </w:p>
        </w:tc>
        <w:tc>
          <w:tcPr>
            <w:tcW w:w="851" w:type="dxa"/>
            <w:tcBorders>
              <w:top w:val="nil"/>
              <w:left w:val="nil"/>
              <w:bottom w:val="single" w:color="auto" w:sz="4" w:space="0"/>
              <w:right w:val="single" w:color="auto" w:sz="4" w:space="0"/>
            </w:tcBorders>
            <w:noWrap w:val="0"/>
            <w:vAlign w:val="center"/>
          </w:tcPr>
          <w:p>
            <w:pPr>
              <w:widowControl/>
              <w:spacing w:line="320" w:lineRule="exact"/>
              <w:jc w:val="center"/>
              <w:rPr>
                <w:rFonts w:hint="eastAsia" w:eastAsia="宋体"/>
                <w:color w:val="auto"/>
                <w:kern w:val="0"/>
                <w:lang w:eastAsia="zh-CN"/>
              </w:rPr>
            </w:pPr>
            <w:r>
              <w:rPr>
                <w:rFonts w:hint="eastAsia"/>
                <w:color w:val="auto"/>
                <w:kern w:val="0"/>
                <w:lang w:eastAsia="zh-CN"/>
              </w:rPr>
              <w:t>仅限</w:t>
            </w:r>
            <w:r>
              <w:rPr>
                <w:rFonts w:hint="eastAsia"/>
                <w:color w:val="auto"/>
                <w:kern w:val="0"/>
                <w:lang w:val="en-US" w:eastAsia="zh-CN"/>
              </w:rPr>
              <w:t>新庄</w:t>
            </w:r>
            <w:r>
              <w:rPr>
                <w:rFonts w:hint="eastAsia"/>
                <w:color w:val="auto"/>
                <w:kern w:val="0"/>
                <w:lang w:eastAsia="zh-CN"/>
              </w:rPr>
              <w:t>镇人民政府</w:t>
            </w:r>
          </w:p>
        </w:tc>
      </w:tr>
      <w:tr>
        <w:tblPrEx>
          <w:tblCellMar>
            <w:top w:w="0" w:type="dxa"/>
            <w:left w:w="108" w:type="dxa"/>
            <w:bottom w:w="0" w:type="dxa"/>
            <w:right w:w="108" w:type="dxa"/>
          </w:tblCellMar>
        </w:tblPrEx>
        <w:trPr>
          <w:trHeight w:val="8050" w:hRule="atLeast"/>
        </w:trPr>
        <w:tc>
          <w:tcPr>
            <w:tcW w:w="538"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rPr>
                <w:color w:val="auto"/>
                <w:kern w:val="0"/>
              </w:rPr>
            </w:pPr>
            <w:r>
              <w:rPr>
                <w:color w:val="auto"/>
                <w:kern w:val="0"/>
              </w:rPr>
              <w:t>9</w:t>
            </w:r>
          </w:p>
        </w:tc>
        <w:tc>
          <w:tcPr>
            <w:tcW w:w="679" w:type="dxa"/>
            <w:tcBorders>
              <w:top w:val="nil"/>
              <w:left w:val="nil"/>
              <w:bottom w:val="single" w:color="auto" w:sz="4" w:space="0"/>
              <w:right w:val="single" w:color="auto" w:sz="4" w:space="0"/>
            </w:tcBorders>
            <w:noWrap w:val="0"/>
            <w:vAlign w:val="center"/>
          </w:tcPr>
          <w:p>
            <w:pPr>
              <w:widowControl/>
              <w:spacing w:line="320" w:lineRule="exact"/>
              <w:jc w:val="center"/>
              <w:rPr>
                <w:rFonts w:hint="eastAsia" w:eastAsia="宋体"/>
                <w:color w:val="auto"/>
                <w:kern w:val="0"/>
                <w:lang w:eastAsia="zh-CN"/>
              </w:rPr>
            </w:pPr>
            <w:r>
              <w:rPr>
                <w:rFonts w:hint="eastAsia"/>
                <w:color w:val="auto"/>
                <w:kern w:val="0"/>
              </w:rPr>
              <w:t>行政</w:t>
            </w:r>
          </w:p>
          <w:p>
            <w:pPr>
              <w:widowControl/>
              <w:spacing w:line="320" w:lineRule="exact"/>
              <w:jc w:val="center"/>
              <w:rPr>
                <w:color w:val="auto"/>
                <w:kern w:val="0"/>
              </w:rPr>
            </w:pPr>
            <w:r>
              <w:rPr>
                <w:rFonts w:hint="eastAsia"/>
                <w:color w:val="auto"/>
                <w:kern w:val="0"/>
              </w:rPr>
              <w:t>规划</w:t>
            </w:r>
          </w:p>
        </w:tc>
        <w:tc>
          <w:tcPr>
            <w:tcW w:w="1064" w:type="dxa"/>
            <w:tcBorders>
              <w:top w:val="nil"/>
              <w:left w:val="nil"/>
              <w:bottom w:val="single" w:color="auto" w:sz="4" w:space="0"/>
              <w:right w:val="single" w:color="auto" w:sz="4" w:space="0"/>
            </w:tcBorders>
            <w:noWrap w:val="0"/>
            <w:vAlign w:val="center"/>
          </w:tcPr>
          <w:p>
            <w:pPr>
              <w:widowControl/>
              <w:spacing w:line="320" w:lineRule="exact"/>
              <w:rPr>
                <w:color w:val="auto"/>
                <w:kern w:val="0"/>
              </w:rPr>
            </w:pPr>
            <w:r>
              <w:rPr>
                <w:rFonts w:hint="eastAsia"/>
                <w:color w:val="auto"/>
                <w:kern w:val="0"/>
              </w:rPr>
              <w:t>编制乡镇国土空间规划及村庄规划</w:t>
            </w:r>
          </w:p>
        </w:tc>
        <w:tc>
          <w:tcPr>
            <w:tcW w:w="5702" w:type="dxa"/>
            <w:tcBorders>
              <w:top w:val="nil"/>
              <w:left w:val="nil"/>
              <w:bottom w:val="single" w:color="auto" w:sz="4" w:space="0"/>
              <w:right w:val="single" w:color="auto" w:sz="4" w:space="0"/>
            </w:tcBorders>
            <w:noWrap w:val="0"/>
            <w:vAlign w:val="center"/>
          </w:tcPr>
          <w:p>
            <w:pPr>
              <w:widowControl/>
              <w:spacing w:line="320" w:lineRule="exact"/>
              <w:rPr>
                <w:rFonts w:hint="eastAsia" w:eastAsia="宋体"/>
                <w:color w:val="auto"/>
                <w:kern w:val="0"/>
                <w:lang w:eastAsia="zh-CN"/>
              </w:rPr>
            </w:pPr>
            <w:r>
              <w:rPr>
                <w:color w:val="auto"/>
                <w:kern w:val="0"/>
              </w:rPr>
              <w:t>1.</w:t>
            </w:r>
            <w:r>
              <w:rPr>
                <w:rFonts w:hint="eastAsia"/>
                <w:color w:val="auto"/>
                <w:kern w:val="0"/>
              </w:rPr>
              <w:t>《中华人民共和国土地管理法》第十五条：各级人民政府应当依据国民经济和社会发展规划、国土整治和资源环境保护的要求、土地供给能力以及各项建设对土地的需求，组织编制土地利用总体规划。</w:t>
            </w:r>
          </w:p>
          <w:p>
            <w:pPr>
              <w:widowControl/>
              <w:spacing w:line="320" w:lineRule="exact"/>
              <w:rPr>
                <w:rFonts w:hint="eastAsia" w:eastAsia="宋体"/>
                <w:color w:val="auto"/>
                <w:kern w:val="0"/>
                <w:lang w:eastAsia="zh-CN"/>
              </w:rPr>
            </w:pPr>
            <w:r>
              <w:rPr>
                <w:color w:val="auto"/>
                <w:kern w:val="0"/>
              </w:rPr>
              <w:t>2.</w:t>
            </w:r>
            <w:r>
              <w:rPr>
                <w:rFonts w:hint="eastAsia"/>
                <w:color w:val="auto"/>
                <w:kern w:val="0"/>
              </w:rPr>
              <w:t>《中华人民共和国城乡规划法》第十五条：县人民政府组织编制县人民政府所在地镇的总体规划，报上一级人民政府审批。其他镇的总体规划由镇人民政府组织编制，报上一级人民政府审批。</w:t>
            </w:r>
            <w:r>
              <w:rPr>
                <w:color w:val="auto"/>
                <w:kern w:val="0"/>
              </w:rPr>
              <w:t xml:space="preserve"> </w:t>
            </w:r>
          </w:p>
          <w:p>
            <w:pPr>
              <w:widowControl/>
              <w:spacing w:line="320" w:lineRule="exact"/>
              <w:rPr>
                <w:rFonts w:hint="eastAsia" w:eastAsia="宋体"/>
                <w:color w:val="auto"/>
                <w:kern w:val="0"/>
                <w:lang w:eastAsia="zh-CN"/>
              </w:rPr>
            </w:pPr>
            <w:r>
              <w:rPr>
                <w:color w:val="auto"/>
                <w:kern w:val="0"/>
              </w:rPr>
              <w:t>3.</w:t>
            </w:r>
            <w:r>
              <w:rPr>
                <w:rFonts w:hint="eastAsia"/>
                <w:color w:val="auto"/>
                <w:kern w:val="0"/>
              </w:rPr>
              <w:t>《村庄和集镇规划建设管理条例》第八条：村庄、集镇规划由乡级人民政府负责组织编制，并监督实施。</w:t>
            </w:r>
            <w:r>
              <w:rPr>
                <w:color w:val="auto"/>
                <w:kern w:val="0"/>
              </w:rPr>
              <w:t xml:space="preserve"> </w:t>
            </w:r>
          </w:p>
          <w:p>
            <w:pPr>
              <w:widowControl/>
              <w:spacing w:line="320" w:lineRule="exact"/>
              <w:rPr>
                <w:rFonts w:hint="eastAsia" w:eastAsia="宋体"/>
                <w:color w:val="auto"/>
                <w:kern w:val="0"/>
                <w:lang w:eastAsia="zh-CN"/>
              </w:rPr>
            </w:pPr>
            <w:r>
              <w:rPr>
                <w:color w:val="auto"/>
                <w:kern w:val="0"/>
              </w:rPr>
              <w:t>4.</w:t>
            </w:r>
            <w:r>
              <w:rPr>
                <w:rFonts w:hint="eastAsia"/>
                <w:color w:val="auto"/>
                <w:kern w:val="0"/>
              </w:rPr>
              <w:t>《中共中央</w:t>
            </w:r>
            <w:r>
              <w:rPr>
                <w:color w:val="auto"/>
                <w:kern w:val="0"/>
              </w:rPr>
              <w:t xml:space="preserve">  </w:t>
            </w:r>
            <w:r>
              <w:rPr>
                <w:rFonts w:hint="eastAsia"/>
                <w:color w:val="auto"/>
                <w:kern w:val="0"/>
              </w:rPr>
              <w:t>国务院关于建立国土空间规划体系并监督实施的若干意见》（中发〔</w:t>
            </w:r>
            <w:r>
              <w:rPr>
                <w:color w:val="auto"/>
                <w:kern w:val="0"/>
              </w:rPr>
              <w:t>2019</w:t>
            </w:r>
            <w:r>
              <w:rPr>
                <w:rFonts w:hint="eastAsia"/>
                <w:color w:val="auto"/>
                <w:kern w:val="0"/>
              </w:rPr>
              <w:t>〕</w:t>
            </w:r>
            <w:r>
              <w:rPr>
                <w:color w:val="auto"/>
                <w:kern w:val="0"/>
              </w:rPr>
              <w:t>18</w:t>
            </w:r>
            <w:r>
              <w:rPr>
                <w:rFonts w:hint="eastAsia"/>
                <w:color w:val="auto"/>
                <w:kern w:val="0"/>
              </w:rPr>
              <w:t>号）：建立国土空间规划体系并监督实施，将主体功能区规划、土地利用规划、城乡规划等空间规划融合为统一的国土空间规划，实现</w:t>
            </w:r>
            <w:r>
              <w:rPr>
                <w:color w:val="auto"/>
                <w:kern w:val="0"/>
              </w:rPr>
              <w:t>“</w:t>
            </w:r>
            <w:r>
              <w:rPr>
                <w:rFonts w:hint="eastAsia"/>
                <w:color w:val="auto"/>
                <w:kern w:val="0"/>
              </w:rPr>
              <w:t>多规合一</w:t>
            </w:r>
            <w:r>
              <w:rPr>
                <w:color w:val="auto"/>
                <w:kern w:val="0"/>
              </w:rPr>
              <w:t>”</w:t>
            </w:r>
            <w:r>
              <w:rPr>
                <w:rFonts w:hint="eastAsia"/>
                <w:color w:val="auto"/>
                <w:kern w:val="0"/>
              </w:rPr>
              <w:t>。</w:t>
            </w:r>
          </w:p>
          <w:p>
            <w:pPr>
              <w:widowControl/>
              <w:spacing w:line="320" w:lineRule="exact"/>
              <w:rPr>
                <w:rFonts w:hint="eastAsia" w:eastAsia="宋体"/>
                <w:color w:val="auto"/>
                <w:kern w:val="0"/>
                <w:lang w:eastAsia="zh-CN"/>
              </w:rPr>
            </w:pPr>
            <w:r>
              <w:rPr>
                <w:color w:val="auto"/>
                <w:kern w:val="0"/>
              </w:rPr>
              <w:t>5.</w:t>
            </w:r>
            <w:r>
              <w:rPr>
                <w:rFonts w:hint="eastAsia"/>
                <w:color w:val="auto"/>
                <w:kern w:val="0"/>
              </w:rPr>
              <w:t>《自然资源部关于全面开展国土空间规划工作的通知》（自然资发〔</w:t>
            </w:r>
            <w:r>
              <w:rPr>
                <w:color w:val="auto"/>
                <w:kern w:val="0"/>
              </w:rPr>
              <w:t>2019</w:t>
            </w:r>
            <w:r>
              <w:rPr>
                <w:rFonts w:hint="eastAsia"/>
                <w:color w:val="auto"/>
                <w:kern w:val="0"/>
              </w:rPr>
              <w:t>〕</w:t>
            </w:r>
            <w:r>
              <w:rPr>
                <w:color w:val="auto"/>
                <w:kern w:val="0"/>
              </w:rPr>
              <w:t>87</w:t>
            </w:r>
            <w:r>
              <w:rPr>
                <w:rFonts w:hint="eastAsia"/>
                <w:color w:val="auto"/>
                <w:kern w:val="0"/>
              </w:rPr>
              <w:t>号）：各地不再新编和报批主体功能区规划、土地利用总体规划、城镇体系规划、城市（镇）总体规划、海洋功能区划等。</w:t>
            </w:r>
          </w:p>
          <w:p>
            <w:pPr>
              <w:widowControl/>
              <w:spacing w:line="320" w:lineRule="exact"/>
              <w:rPr>
                <w:color w:val="auto"/>
                <w:kern w:val="0"/>
              </w:rPr>
            </w:pPr>
            <w:r>
              <w:rPr>
                <w:color w:val="auto"/>
                <w:kern w:val="0"/>
              </w:rPr>
              <w:t>6.</w:t>
            </w:r>
            <w:r>
              <w:rPr>
                <w:rFonts w:hint="eastAsia"/>
                <w:color w:val="auto"/>
                <w:kern w:val="0"/>
              </w:rPr>
              <w:t>《安徽省人民政府办公厅关于印发全省国土空间规划编制工作方案的通知》（皖政办〔</w:t>
            </w:r>
            <w:r>
              <w:rPr>
                <w:color w:val="auto"/>
                <w:kern w:val="0"/>
              </w:rPr>
              <w:t>2019</w:t>
            </w:r>
            <w:r>
              <w:rPr>
                <w:rFonts w:hint="eastAsia"/>
                <w:color w:val="auto"/>
                <w:kern w:val="0"/>
              </w:rPr>
              <w:t>〕</w:t>
            </w:r>
            <w:r>
              <w:rPr>
                <w:color w:val="auto"/>
                <w:kern w:val="0"/>
              </w:rPr>
              <w:t>32</w:t>
            </w:r>
            <w:r>
              <w:rPr>
                <w:rFonts w:hint="eastAsia"/>
                <w:color w:val="auto"/>
                <w:kern w:val="0"/>
              </w:rPr>
              <w:t>号）：乡镇国土空间规划由乡镇政府组织编制，报县（市）政府审批。</w:t>
            </w:r>
          </w:p>
        </w:tc>
        <w:tc>
          <w:tcPr>
            <w:tcW w:w="2625" w:type="dxa"/>
            <w:tcBorders>
              <w:top w:val="nil"/>
              <w:left w:val="nil"/>
              <w:bottom w:val="single" w:color="auto" w:sz="4" w:space="0"/>
              <w:right w:val="single" w:color="auto" w:sz="4" w:space="0"/>
            </w:tcBorders>
            <w:noWrap w:val="0"/>
            <w:vAlign w:val="center"/>
          </w:tcPr>
          <w:p>
            <w:pPr>
              <w:widowControl/>
              <w:spacing w:line="320" w:lineRule="exact"/>
              <w:rPr>
                <w:color w:val="auto"/>
                <w:kern w:val="0"/>
              </w:rPr>
            </w:pPr>
            <w:r>
              <w:rPr>
                <w:rFonts w:hint="eastAsia"/>
                <w:color w:val="auto"/>
                <w:kern w:val="0"/>
              </w:rPr>
              <w:t>自然资源和规划部门加强对乡镇国土空间规划及城镇开发边界外的详细规划编制的业务指导，并按照有关规定进行审查。</w:t>
            </w:r>
          </w:p>
        </w:tc>
        <w:tc>
          <w:tcPr>
            <w:tcW w:w="2693" w:type="dxa"/>
            <w:tcBorders>
              <w:top w:val="nil"/>
              <w:left w:val="nil"/>
              <w:bottom w:val="single" w:color="auto" w:sz="4" w:space="0"/>
              <w:right w:val="single" w:color="auto" w:sz="4" w:space="0"/>
            </w:tcBorders>
            <w:noWrap w:val="0"/>
            <w:vAlign w:val="center"/>
          </w:tcPr>
          <w:p>
            <w:pPr>
              <w:widowControl/>
              <w:spacing w:line="320" w:lineRule="exact"/>
              <w:rPr>
                <w:color w:val="auto"/>
                <w:kern w:val="0"/>
              </w:rPr>
            </w:pPr>
            <w:r>
              <w:rPr>
                <w:rFonts w:hint="eastAsia"/>
                <w:color w:val="auto"/>
                <w:kern w:val="0"/>
              </w:rPr>
              <w:t>按照有关规定组织编制乡镇国土空间规划及村庄规划，并按程序报批。</w:t>
            </w:r>
          </w:p>
        </w:tc>
        <w:tc>
          <w:tcPr>
            <w:tcW w:w="851" w:type="dxa"/>
            <w:tcBorders>
              <w:top w:val="nil"/>
              <w:left w:val="nil"/>
              <w:bottom w:val="single" w:color="auto" w:sz="4" w:space="0"/>
              <w:right w:val="single" w:color="auto" w:sz="4" w:space="0"/>
            </w:tcBorders>
            <w:noWrap w:val="0"/>
            <w:vAlign w:val="center"/>
          </w:tcPr>
          <w:p>
            <w:pPr>
              <w:widowControl/>
              <w:spacing w:line="320" w:lineRule="exact"/>
              <w:jc w:val="center"/>
              <w:rPr>
                <w:rFonts w:hint="eastAsia" w:eastAsia="宋体"/>
                <w:color w:val="auto"/>
                <w:kern w:val="0"/>
                <w:lang w:eastAsia="zh-CN"/>
              </w:rPr>
            </w:pPr>
            <w:r>
              <w:rPr>
                <w:rFonts w:hint="eastAsia"/>
                <w:color w:val="auto"/>
                <w:kern w:val="0"/>
                <w:lang w:eastAsia="zh-CN"/>
              </w:rPr>
              <w:t>仅限</w:t>
            </w:r>
            <w:r>
              <w:rPr>
                <w:rFonts w:hint="eastAsia"/>
                <w:color w:val="auto"/>
                <w:kern w:val="0"/>
                <w:lang w:val="en-US" w:eastAsia="zh-CN"/>
              </w:rPr>
              <w:t>新庄</w:t>
            </w:r>
            <w:r>
              <w:rPr>
                <w:rFonts w:hint="eastAsia"/>
                <w:color w:val="auto"/>
                <w:kern w:val="0"/>
                <w:lang w:eastAsia="zh-CN"/>
              </w:rPr>
              <w:t>镇人民政府</w:t>
            </w:r>
          </w:p>
        </w:tc>
      </w:tr>
      <w:tr>
        <w:tblPrEx>
          <w:tblCellMar>
            <w:top w:w="0" w:type="dxa"/>
            <w:left w:w="108" w:type="dxa"/>
            <w:bottom w:w="0" w:type="dxa"/>
            <w:right w:w="108" w:type="dxa"/>
          </w:tblCellMar>
        </w:tblPrEx>
        <w:trPr>
          <w:trHeight w:val="4019" w:hRule="atLeast"/>
        </w:trPr>
        <w:tc>
          <w:tcPr>
            <w:tcW w:w="538"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rPr>
                <w:color w:val="auto"/>
                <w:kern w:val="0"/>
              </w:rPr>
            </w:pPr>
            <w:r>
              <w:rPr>
                <w:color w:val="auto"/>
                <w:kern w:val="0"/>
              </w:rPr>
              <w:t>10</w:t>
            </w:r>
          </w:p>
        </w:tc>
        <w:tc>
          <w:tcPr>
            <w:tcW w:w="679" w:type="dxa"/>
            <w:tcBorders>
              <w:top w:val="nil"/>
              <w:left w:val="nil"/>
              <w:bottom w:val="single" w:color="auto" w:sz="4" w:space="0"/>
              <w:right w:val="single" w:color="auto" w:sz="4" w:space="0"/>
            </w:tcBorders>
            <w:noWrap w:val="0"/>
            <w:vAlign w:val="center"/>
          </w:tcPr>
          <w:p>
            <w:pPr>
              <w:widowControl/>
              <w:spacing w:line="320" w:lineRule="exact"/>
              <w:jc w:val="center"/>
              <w:textAlignment w:val="center"/>
              <w:rPr>
                <w:color w:val="auto"/>
                <w:kern w:val="0"/>
              </w:rPr>
            </w:pPr>
            <w:r>
              <w:rPr>
                <w:rFonts w:hint="eastAsia"/>
                <w:color w:val="auto"/>
                <w:kern w:val="0"/>
              </w:rPr>
              <w:t>行政规划</w:t>
            </w:r>
          </w:p>
        </w:tc>
        <w:tc>
          <w:tcPr>
            <w:tcW w:w="1064" w:type="dxa"/>
            <w:tcBorders>
              <w:top w:val="nil"/>
              <w:left w:val="nil"/>
              <w:bottom w:val="single" w:color="auto" w:sz="4" w:space="0"/>
              <w:right w:val="single" w:color="auto" w:sz="4" w:space="0"/>
            </w:tcBorders>
            <w:noWrap w:val="0"/>
            <w:vAlign w:val="center"/>
          </w:tcPr>
          <w:p>
            <w:pPr>
              <w:widowControl/>
              <w:spacing w:line="320" w:lineRule="exact"/>
              <w:textAlignment w:val="center"/>
              <w:rPr>
                <w:color w:val="auto"/>
                <w:kern w:val="0"/>
              </w:rPr>
            </w:pPr>
            <w:r>
              <w:rPr>
                <w:rFonts w:hint="eastAsia"/>
                <w:color w:val="auto"/>
                <w:kern w:val="0"/>
              </w:rPr>
              <w:t>编制、修改乡道规划</w:t>
            </w:r>
          </w:p>
        </w:tc>
        <w:tc>
          <w:tcPr>
            <w:tcW w:w="5702" w:type="dxa"/>
            <w:tcBorders>
              <w:top w:val="nil"/>
              <w:left w:val="nil"/>
              <w:bottom w:val="single" w:color="auto" w:sz="4" w:space="0"/>
              <w:right w:val="single" w:color="auto" w:sz="4" w:space="0"/>
            </w:tcBorders>
            <w:noWrap w:val="0"/>
            <w:vAlign w:val="center"/>
          </w:tcPr>
          <w:p>
            <w:pPr>
              <w:widowControl/>
              <w:spacing w:line="320" w:lineRule="exact"/>
              <w:textAlignment w:val="center"/>
              <w:rPr>
                <w:rStyle w:val="6"/>
                <w:rFonts w:hint="eastAsia" w:eastAsia="宋体"/>
                <w:color w:val="auto"/>
                <w:sz w:val="21"/>
                <w:szCs w:val="21"/>
                <w:lang w:eastAsia="zh-CN"/>
              </w:rPr>
            </w:pPr>
            <w:r>
              <w:rPr>
                <w:rStyle w:val="6"/>
                <w:rFonts w:hint="eastAsia"/>
                <w:color w:val="auto"/>
                <w:sz w:val="21"/>
                <w:szCs w:val="21"/>
              </w:rPr>
              <w:t>《中华人民共和国公路法》第十四条：乡道规划由县级人民政府交通主管部门协助乡、民族乡、镇人民政府编制，报县级人民政府批准。</w:t>
            </w:r>
          </w:p>
          <w:p>
            <w:pPr>
              <w:widowControl/>
              <w:spacing w:line="320" w:lineRule="exact"/>
              <w:textAlignment w:val="center"/>
              <w:rPr>
                <w:color w:val="auto"/>
                <w:kern w:val="0"/>
              </w:rPr>
            </w:pPr>
            <w:r>
              <w:rPr>
                <w:rStyle w:val="6"/>
                <w:rFonts w:hint="eastAsia"/>
                <w:color w:val="auto"/>
                <w:sz w:val="21"/>
                <w:szCs w:val="21"/>
              </w:rPr>
              <w:t>第十六条：经批准的省道、县道、乡道公路规划需要修改的，由原编制机关提出修改方案，报原批准机关批准。</w:t>
            </w:r>
          </w:p>
        </w:tc>
        <w:tc>
          <w:tcPr>
            <w:tcW w:w="2625" w:type="dxa"/>
            <w:tcBorders>
              <w:top w:val="nil"/>
              <w:left w:val="nil"/>
              <w:bottom w:val="single" w:color="auto" w:sz="4" w:space="0"/>
              <w:right w:val="single" w:color="auto" w:sz="4" w:space="0"/>
            </w:tcBorders>
            <w:noWrap w:val="0"/>
            <w:vAlign w:val="center"/>
          </w:tcPr>
          <w:p>
            <w:pPr>
              <w:widowControl/>
              <w:spacing w:line="320" w:lineRule="exact"/>
              <w:textAlignment w:val="center"/>
              <w:rPr>
                <w:color w:val="auto"/>
                <w:kern w:val="0"/>
              </w:rPr>
            </w:pPr>
            <w:r>
              <w:rPr>
                <w:rFonts w:hint="eastAsia"/>
                <w:color w:val="auto"/>
                <w:kern w:val="0"/>
              </w:rPr>
              <w:t>交通运输部门负责指导、协助乡、民族乡、镇人民政府编制乡道规划。</w:t>
            </w:r>
          </w:p>
        </w:tc>
        <w:tc>
          <w:tcPr>
            <w:tcW w:w="2693" w:type="dxa"/>
            <w:tcBorders>
              <w:top w:val="nil"/>
              <w:left w:val="nil"/>
              <w:bottom w:val="single" w:color="auto" w:sz="4" w:space="0"/>
              <w:right w:val="single" w:color="auto" w:sz="4" w:space="0"/>
            </w:tcBorders>
            <w:noWrap w:val="0"/>
            <w:vAlign w:val="center"/>
          </w:tcPr>
          <w:p>
            <w:pPr>
              <w:widowControl/>
              <w:spacing w:line="320" w:lineRule="exact"/>
              <w:textAlignment w:val="center"/>
              <w:rPr>
                <w:color w:val="auto"/>
                <w:kern w:val="0"/>
              </w:rPr>
            </w:pPr>
            <w:r>
              <w:rPr>
                <w:rFonts w:hint="eastAsia"/>
                <w:color w:val="auto"/>
                <w:kern w:val="0"/>
              </w:rPr>
              <w:t>在县级交通部门的协助下，编制、修改乡道规划，并报县级人民政府批准。</w:t>
            </w:r>
          </w:p>
        </w:tc>
        <w:tc>
          <w:tcPr>
            <w:tcW w:w="851" w:type="dxa"/>
            <w:tcBorders>
              <w:top w:val="nil"/>
              <w:left w:val="nil"/>
              <w:bottom w:val="single" w:color="auto" w:sz="4" w:space="0"/>
              <w:right w:val="single" w:color="auto" w:sz="4" w:space="0"/>
            </w:tcBorders>
            <w:noWrap w:val="0"/>
            <w:vAlign w:val="center"/>
          </w:tcPr>
          <w:p>
            <w:pPr>
              <w:widowControl/>
              <w:spacing w:line="320" w:lineRule="exact"/>
              <w:jc w:val="center"/>
              <w:rPr>
                <w:rFonts w:hint="eastAsia" w:eastAsia="宋体"/>
                <w:color w:val="auto"/>
                <w:kern w:val="0"/>
                <w:lang w:eastAsia="zh-CN"/>
              </w:rPr>
            </w:pPr>
            <w:r>
              <w:rPr>
                <w:rFonts w:hint="eastAsia"/>
                <w:color w:val="auto"/>
                <w:kern w:val="0"/>
                <w:lang w:eastAsia="zh-CN"/>
              </w:rPr>
              <w:t>仅限</w:t>
            </w:r>
            <w:r>
              <w:rPr>
                <w:rFonts w:hint="eastAsia"/>
                <w:color w:val="auto"/>
                <w:kern w:val="0"/>
                <w:lang w:val="en-US" w:eastAsia="zh-CN"/>
              </w:rPr>
              <w:t>新庄</w:t>
            </w:r>
            <w:r>
              <w:rPr>
                <w:rFonts w:hint="eastAsia"/>
                <w:color w:val="auto"/>
                <w:kern w:val="0"/>
                <w:lang w:eastAsia="zh-CN"/>
              </w:rPr>
              <w:t>镇人民政府</w:t>
            </w:r>
          </w:p>
        </w:tc>
      </w:tr>
      <w:tr>
        <w:tblPrEx>
          <w:tblCellMar>
            <w:top w:w="0" w:type="dxa"/>
            <w:left w:w="108" w:type="dxa"/>
            <w:bottom w:w="0" w:type="dxa"/>
            <w:right w:w="108" w:type="dxa"/>
          </w:tblCellMar>
        </w:tblPrEx>
        <w:trPr>
          <w:trHeight w:val="4019" w:hRule="atLeast"/>
        </w:trPr>
        <w:tc>
          <w:tcPr>
            <w:tcW w:w="538"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rPr>
                <w:color w:val="auto"/>
                <w:kern w:val="0"/>
              </w:rPr>
            </w:pPr>
            <w:r>
              <w:rPr>
                <w:color w:val="auto"/>
                <w:kern w:val="0"/>
              </w:rPr>
              <w:t>11</w:t>
            </w:r>
          </w:p>
        </w:tc>
        <w:tc>
          <w:tcPr>
            <w:tcW w:w="679" w:type="dxa"/>
            <w:tcBorders>
              <w:top w:val="nil"/>
              <w:left w:val="nil"/>
              <w:bottom w:val="single" w:color="auto" w:sz="4" w:space="0"/>
              <w:right w:val="single" w:color="auto" w:sz="4" w:space="0"/>
            </w:tcBorders>
            <w:noWrap w:val="0"/>
            <w:vAlign w:val="center"/>
          </w:tcPr>
          <w:p>
            <w:pPr>
              <w:widowControl/>
              <w:spacing w:line="320" w:lineRule="exact"/>
              <w:jc w:val="center"/>
              <w:rPr>
                <w:color w:val="auto"/>
                <w:kern w:val="0"/>
              </w:rPr>
            </w:pPr>
            <w:r>
              <w:rPr>
                <w:rFonts w:hint="eastAsia"/>
                <w:color w:val="auto"/>
                <w:kern w:val="0"/>
              </w:rPr>
              <w:t>行政裁决</w:t>
            </w:r>
          </w:p>
        </w:tc>
        <w:tc>
          <w:tcPr>
            <w:tcW w:w="1064" w:type="dxa"/>
            <w:tcBorders>
              <w:top w:val="nil"/>
              <w:left w:val="nil"/>
              <w:bottom w:val="single" w:color="auto" w:sz="4" w:space="0"/>
              <w:right w:val="single" w:color="auto" w:sz="4" w:space="0"/>
            </w:tcBorders>
            <w:noWrap w:val="0"/>
            <w:vAlign w:val="center"/>
          </w:tcPr>
          <w:p>
            <w:pPr>
              <w:widowControl/>
              <w:spacing w:line="320" w:lineRule="exact"/>
              <w:rPr>
                <w:color w:val="auto"/>
                <w:kern w:val="0"/>
              </w:rPr>
            </w:pPr>
            <w:r>
              <w:rPr>
                <w:rFonts w:hint="eastAsia"/>
                <w:color w:val="auto"/>
                <w:kern w:val="0"/>
              </w:rPr>
              <w:t>个人之间、个人与单位之间林木所有权和林地使用权争议处理</w:t>
            </w:r>
          </w:p>
        </w:tc>
        <w:tc>
          <w:tcPr>
            <w:tcW w:w="5702" w:type="dxa"/>
            <w:tcBorders>
              <w:top w:val="nil"/>
              <w:left w:val="nil"/>
              <w:bottom w:val="single" w:color="auto" w:sz="4" w:space="0"/>
              <w:right w:val="single" w:color="auto" w:sz="4" w:space="0"/>
            </w:tcBorders>
            <w:noWrap w:val="0"/>
            <w:vAlign w:val="center"/>
          </w:tcPr>
          <w:p>
            <w:pPr>
              <w:widowControl/>
              <w:spacing w:line="320" w:lineRule="exact"/>
              <w:rPr>
                <w:color w:val="auto"/>
                <w:kern w:val="0"/>
              </w:rPr>
            </w:pPr>
            <w:r>
              <w:rPr>
                <w:rFonts w:hint="eastAsia"/>
                <w:color w:val="auto"/>
                <w:kern w:val="0"/>
              </w:rPr>
              <w:t>《中华人民共和国森林法》第二十二条：单位之间发生的林木、林地所有权和使用权争议，由县级以上人民政府依法处理。</w:t>
            </w:r>
            <w:r>
              <w:rPr>
                <w:color w:val="auto"/>
                <w:kern w:val="0"/>
              </w:rPr>
              <w:t xml:space="preserve"> </w:t>
            </w:r>
            <w:r>
              <w:rPr>
                <w:rFonts w:hint="eastAsia"/>
                <w:color w:val="auto"/>
                <w:kern w:val="0"/>
              </w:rPr>
              <w:t>个人之间、个人与单位之间发生的林木所有权和林地使用权争议，由乡镇人民政府或者县级以上人民政府依法处理。</w:t>
            </w:r>
            <w:r>
              <w:rPr>
                <w:color w:val="auto"/>
                <w:kern w:val="0"/>
              </w:rPr>
              <w:t xml:space="preserve"> </w:t>
            </w:r>
            <w:r>
              <w:rPr>
                <w:rFonts w:hint="eastAsia"/>
                <w:color w:val="auto"/>
                <w:kern w:val="0"/>
              </w:rPr>
              <w:t>当事人对有关人民政府的处理决定不服的，可以自接到处理决定通知之日起三十日内，向人民法院起诉。</w:t>
            </w:r>
            <w:r>
              <w:rPr>
                <w:color w:val="auto"/>
                <w:kern w:val="0"/>
              </w:rPr>
              <w:t xml:space="preserve"> </w:t>
            </w:r>
            <w:r>
              <w:rPr>
                <w:rFonts w:hint="eastAsia"/>
                <w:color w:val="auto"/>
                <w:kern w:val="0"/>
              </w:rPr>
              <w:t>在林木、林地权属争议解决前，除因森林防火、林业有害生物防治、国家重大基础设施建设等需要外，当事人任何一方不得砍伐有争议的林木或者改变林地现状。</w:t>
            </w:r>
            <w:r>
              <w:rPr>
                <w:color w:val="auto"/>
                <w:kern w:val="0"/>
              </w:rPr>
              <w:t xml:space="preserve"> </w:t>
            </w:r>
          </w:p>
        </w:tc>
        <w:tc>
          <w:tcPr>
            <w:tcW w:w="2625" w:type="dxa"/>
            <w:tcBorders>
              <w:top w:val="nil"/>
              <w:left w:val="nil"/>
              <w:bottom w:val="single" w:color="auto" w:sz="4" w:space="0"/>
              <w:right w:val="single" w:color="auto" w:sz="4" w:space="0"/>
            </w:tcBorders>
            <w:noWrap w:val="0"/>
            <w:vAlign w:val="center"/>
          </w:tcPr>
          <w:p>
            <w:pPr>
              <w:widowControl/>
              <w:spacing w:line="320" w:lineRule="exact"/>
              <w:rPr>
                <w:color w:val="auto"/>
                <w:kern w:val="0"/>
              </w:rPr>
            </w:pPr>
            <w:r>
              <w:rPr>
                <w:rFonts w:hint="eastAsia"/>
                <w:bCs/>
                <w:color w:val="auto"/>
                <w:kern w:val="0"/>
              </w:rPr>
              <w:t>自然资源和规划部门会同林业部门负责对单位之间发生的林木、林地所有权和使用权争议处理，并负责对乡镇林木、林地相关争议处理的业务指导。</w:t>
            </w:r>
          </w:p>
        </w:tc>
        <w:tc>
          <w:tcPr>
            <w:tcW w:w="2693" w:type="dxa"/>
            <w:tcBorders>
              <w:top w:val="nil"/>
              <w:left w:val="nil"/>
              <w:bottom w:val="single" w:color="auto" w:sz="4" w:space="0"/>
              <w:right w:val="single" w:color="auto" w:sz="4" w:space="0"/>
            </w:tcBorders>
            <w:noWrap w:val="0"/>
            <w:vAlign w:val="center"/>
          </w:tcPr>
          <w:p>
            <w:pPr>
              <w:widowControl/>
              <w:spacing w:line="320" w:lineRule="exact"/>
              <w:rPr>
                <w:color w:val="auto"/>
                <w:kern w:val="0"/>
              </w:rPr>
            </w:pPr>
            <w:r>
              <w:rPr>
                <w:rFonts w:hint="eastAsia"/>
                <w:color w:val="auto"/>
                <w:kern w:val="0"/>
              </w:rPr>
              <w:t>负责对个人之间、个人与单位之间发生的林木所有权和林地使用权争议处理。</w:t>
            </w:r>
          </w:p>
        </w:tc>
        <w:tc>
          <w:tcPr>
            <w:tcW w:w="851" w:type="dxa"/>
            <w:tcBorders>
              <w:top w:val="nil"/>
              <w:left w:val="nil"/>
              <w:bottom w:val="single" w:color="auto" w:sz="4" w:space="0"/>
              <w:right w:val="single" w:color="auto" w:sz="4" w:space="0"/>
            </w:tcBorders>
            <w:noWrap w:val="0"/>
            <w:vAlign w:val="center"/>
          </w:tcPr>
          <w:p>
            <w:pPr>
              <w:widowControl/>
              <w:spacing w:line="320" w:lineRule="exact"/>
              <w:jc w:val="center"/>
              <w:rPr>
                <w:rFonts w:hint="eastAsia" w:eastAsia="宋体"/>
                <w:color w:val="auto"/>
                <w:kern w:val="0"/>
                <w:lang w:eastAsia="zh-CN"/>
              </w:rPr>
            </w:pPr>
            <w:r>
              <w:rPr>
                <w:rFonts w:hint="eastAsia"/>
                <w:color w:val="auto"/>
                <w:kern w:val="0"/>
                <w:lang w:eastAsia="zh-CN"/>
              </w:rPr>
              <w:t>仅限</w:t>
            </w:r>
            <w:r>
              <w:rPr>
                <w:rFonts w:hint="eastAsia"/>
                <w:color w:val="auto"/>
                <w:kern w:val="0"/>
                <w:lang w:val="en-US" w:eastAsia="zh-CN"/>
              </w:rPr>
              <w:t>新庄</w:t>
            </w:r>
            <w:r>
              <w:rPr>
                <w:rFonts w:hint="eastAsia"/>
                <w:color w:val="auto"/>
                <w:kern w:val="0"/>
                <w:lang w:eastAsia="zh-CN"/>
              </w:rPr>
              <w:t>镇人民政府</w:t>
            </w:r>
          </w:p>
        </w:tc>
      </w:tr>
      <w:tr>
        <w:tblPrEx>
          <w:tblCellMar>
            <w:top w:w="0" w:type="dxa"/>
            <w:left w:w="108" w:type="dxa"/>
            <w:bottom w:w="0" w:type="dxa"/>
            <w:right w:w="108" w:type="dxa"/>
          </w:tblCellMar>
        </w:tblPrEx>
        <w:trPr>
          <w:trHeight w:val="5247" w:hRule="atLeast"/>
        </w:trPr>
        <w:tc>
          <w:tcPr>
            <w:tcW w:w="538"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rPr>
                <w:color w:val="auto"/>
                <w:kern w:val="0"/>
              </w:rPr>
            </w:pPr>
            <w:r>
              <w:rPr>
                <w:color w:val="auto"/>
                <w:kern w:val="0"/>
              </w:rPr>
              <w:t>12</w:t>
            </w:r>
          </w:p>
        </w:tc>
        <w:tc>
          <w:tcPr>
            <w:tcW w:w="679" w:type="dxa"/>
            <w:tcBorders>
              <w:top w:val="nil"/>
              <w:left w:val="nil"/>
              <w:bottom w:val="single" w:color="auto" w:sz="4" w:space="0"/>
              <w:right w:val="single" w:color="auto" w:sz="4" w:space="0"/>
            </w:tcBorders>
            <w:noWrap w:val="0"/>
            <w:vAlign w:val="center"/>
          </w:tcPr>
          <w:p>
            <w:pPr>
              <w:widowControl/>
              <w:spacing w:line="320" w:lineRule="exact"/>
              <w:jc w:val="center"/>
              <w:rPr>
                <w:color w:val="auto"/>
                <w:kern w:val="0"/>
              </w:rPr>
            </w:pPr>
            <w:r>
              <w:rPr>
                <w:rFonts w:hint="eastAsia"/>
                <w:color w:val="auto"/>
                <w:kern w:val="0"/>
              </w:rPr>
              <w:t>行政裁决</w:t>
            </w:r>
          </w:p>
        </w:tc>
        <w:tc>
          <w:tcPr>
            <w:tcW w:w="1064" w:type="dxa"/>
            <w:tcBorders>
              <w:top w:val="nil"/>
              <w:left w:val="nil"/>
              <w:bottom w:val="single" w:color="auto" w:sz="4" w:space="0"/>
              <w:right w:val="single" w:color="auto" w:sz="4" w:space="0"/>
            </w:tcBorders>
            <w:noWrap w:val="0"/>
            <w:vAlign w:val="center"/>
          </w:tcPr>
          <w:p>
            <w:pPr>
              <w:widowControl/>
              <w:spacing w:line="320" w:lineRule="exact"/>
              <w:rPr>
                <w:color w:val="auto"/>
                <w:kern w:val="0"/>
              </w:rPr>
            </w:pPr>
            <w:r>
              <w:rPr>
                <w:rFonts w:hint="eastAsia"/>
                <w:color w:val="auto"/>
                <w:kern w:val="0"/>
              </w:rPr>
              <w:t>个人之间、个人与单位之间的土地所有权和使用权争议处理</w:t>
            </w:r>
          </w:p>
        </w:tc>
        <w:tc>
          <w:tcPr>
            <w:tcW w:w="5702" w:type="dxa"/>
            <w:tcBorders>
              <w:top w:val="nil"/>
              <w:left w:val="nil"/>
              <w:bottom w:val="single" w:color="auto" w:sz="4" w:space="0"/>
              <w:right w:val="single" w:color="auto" w:sz="4" w:space="0"/>
            </w:tcBorders>
            <w:noWrap w:val="0"/>
            <w:vAlign w:val="center"/>
          </w:tcPr>
          <w:p>
            <w:pPr>
              <w:widowControl/>
              <w:spacing w:line="320" w:lineRule="exact"/>
              <w:rPr>
                <w:color w:val="auto"/>
                <w:kern w:val="0"/>
              </w:rPr>
            </w:pPr>
            <w:r>
              <w:rPr>
                <w:rFonts w:hint="eastAsia"/>
                <w:color w:val="auto"/>
                <w:kern w:val="0"/>
              </w:rPr>
              <w:t>《中华人民共和国土地管理法》第十四条：土地所有权和使用权争议，由当事人协商解决；协商不成的，由人民政府处理。单位之间的争议，由县级以上人民政府处理；个人之间、个人与单位之间的争议，由乡级人民政府或者县级以上人民政府处理。当事人对有关人民政府的处理决定不服的，可以自接到处理决定通知之日起三十日内，向人民法院起诉。在土地所有权和使用权争议解决前，任何一方不得改变土地利用现状。</w:t>
            </w:r>
          </w:p>
          <w:p>
            <w:pPr>
              <w:widowControl/>
              <w:spacing w:line="320" w:lineRule="exact"/>
              <w:rPr>
                <w:color w:val="auto"/>
                <w:kern w:val="0"/>
              </w:rPr>
            </w:pPr>
            <w:r>
              <w:rPr>
                <w:color w:val="auto"/>
                <w:kern w:val="0"/>
              </w:rPr>
              <w:t>2.</w:t>
            </w:r>
            <w:r>
              <w:rPr>
                <w:rFonts w:hint="eastAsia"/>
                <w:color w:val="auto"/>
                <w:kern w:val="0"/>
              </w:rPr>
              <w:t>《安徽省土地权属争议处理条例》第三十条：农村个人之间、个人与农村集体所有制单位之间发生土地权属争议，由争议土地所在地乡</w:t>
            </w:r>
            <w:r>
              <w:rPr>
                <w:color w:val="auto"/>
                <w:kern w:val="0"/>
              </w:rPr>
              <w:t>(</w:t>
            </w:r>
            <w:r>
              <w:rPr>
                <w:rFonts w:hint="eastAsia"/>
                <w:color w:val="auto"/>
                <w:kern w:val="0"/>
              </w:rPr>
              <w:t>镇</w:t>
            </w:r>
            <w:r>
              <w:rPr>
                <w:color w:val="auto"/>
                <w:kern w:val="0"/>
              </w:rPr>
              <w:t>)</w:t>
            </w:r>
            <w:r>
              <w:rPr>
                <w:rFonts w:hint="eastAsia"/>
                <w:color w:val="auto"/>
                <w:kern w:val="0"/>
              </w:rPr>
              <w:t>人民政府处理。城市个人之间、个人与全民所有制单位、城市集体所有制单位之间发生土地权属争议，由县级人民政府处理。争议土地跨行政区域的，由其共同的上一级人民政府处理。</w:t>
            </w:r>
          </w:p>
        </w:tc>
        <w:tc>
          <w:tcPr>
            <w:tcW w:w="2625" w:type="dxa"/>
            <w:tcBorders>
              <w:top w:val="nil"/>
              <w:left w:val="nil"/>
              <w:bottom w:val="single" w:color="auto" w:sz="4" w:space="0"/>
              <w:right w:val="single" w:color="auto" w:sz="4" w:space="0"/>
            </w:tcBorders>
            <w:noWrap w:val="0"/>
            <w:vAlign w:val="center"/>
          </w:tcPr>
          <w:p>
            <w:pPr>
              <w:widowControl/>
              <w:spacing w:line="320" w:lineRule="exact"/>
              <w:rPr>
                <w:color w:val="auto"/>
                <w:kern w:val="0"/>
              </w:rPr>
            </w:pPr>
            <w:r>
              <w:rPr>
                <w:rFonts w:hint="eastAsia"/>
                <w:bCs/>
                <w:color w:val="auto"/>
                <w:kern w:val="0"/>
              </w:rPr>
              <w:t>自然资源和规划等部门按职责分工负责对单位之间发生的</w:t>
            </w:r>
            <w:r>
              <w:rPr>
                <w:rFonts w:hint="eastAsia"/>
                <w:color w:val="auto"/>
                <w:kern w:val="0"/>
              </w:rPr>
              <w:t>土地所有权和使用权争议处理</w:t>
            </w:r>
            <w:r>
              <w:rPr>
                <w:rFonts w:hint="eastAsia"/>
                <w:bCs/>
                <w:color w:val="auto"/>
                <w:kern w:val="0"/>
              </w:rPr>
              <w:t>，并负责对乡镇</w:t>
            </w:r>
            <w:r>
              <w:rPr>
                <w:rFonts w:hint="eastAsia"/>
                <w:color w:val="auto"/>
                <w:kern w:val="0"/>
              </w:rPr>
              <w:t>土地所有权和使用权争议处理</w:t>
            </w:r>
            <w:r>
              <w:rPr>
                <w:rFonts w:hint="eastAsia"/>
                <w:bCs/>
                <w:color w:val="auto"/>
                <w:kern w:val="0"/>
              </w:rPr>
              <w:t>的业务指导。</w:t>
            </w:r>
          </w:p>
        </w:tc>
        <w:tc>
          <w:tcPr>
            <w:tcW w:w="2693" w:type="dxa"/>
            <w:tcBorders>
              <w:top w:val="nil"/>
              <w:left w:val="nil"/>
              <w:bottom w:val="single" w:color="auto" w:sz="4" w:space="0"/>
              <w:right w:val="single" w:color="auto" w:sz="4" w:space="0"/>
            </w:tcBorders>
            <w:noWrap w:val="0"/>
            <w:vAlign w:val="center"/>
          </w:tcPr>
          <w:p>
            <w:pPr>
              <w:widowControl/>
              <w:spacing w:line="320" w:lineRule="exact"/>
              <w:rPr>
                <w:color w:val="auto"/>
                <w:kern w:val="0"/>
              </w:rPr>
            </w:pPr>
            <w:r>
              <w:rPr>
                <w:rFonts w:hint="eastAsia"/>
                <w:color w:val="auto"/>
                <w:kern w:val="0"/>
              </w:rPr>
              <w:t>负责对个人之间、个人与单位之间发生的土地所有权和使用权争议处理。</w:t>
            </w:r>
          </w:p>
        </w:tc>
        <w:tc>
          <w:tcPr>
            <w:tcW w:w="851" w:type="dxa"/>
            <w:tcBorders>
              <w:top w:val="nil"/>
              <w:left w:val="nil"/>
              <w:bottom w:val="single" w:color="auto" w:sz="4" w:space="0"/>
              <w:right w:val="single" w:color="auto" w:sz="4" w:space="0"/>
            </w:tcBorders>
            <w:noWrap w:val="0"/>
            <w:vAlign w:val="center"/>
          </w:tcPr>
          <w:p>
            <w:pPr>
              <w:widowControl/>
              <w:spacing w:line="320" w:lineRule="exact"/>
              <w:jc w:val="center"/>
              <w:rPr>
                <w:rFonts w:hint="eastAsia" w:eastAsia="宋体"/>
                <w:color w:val="auto"/>
                <w:kern w:val="0"/>
                <w:lang w:eastAsia="zh-CN"/>
              </w:rPr>
            </w:pPr>
            <w:r>
              <w:rPr>
                <w:rFonts w:hint="eastAsia"/>
                <w:color w:val="auto"/>
                <w:kern w:val="0"/>
                <w:lang w:eastAsia="zh-CN"/>
              </w:rPr>
              <w:t>仅限</w:t>
            </w:r>
            <w:r>
              <w:rPr>
                <w:rFonts w:hint="eastAsia"/>
                <w:color w:val="auto"/>
                <w:kern w:val="0"/>
                <w:lang w:val="en-US" w:eastAsia="zh-CN"/>
              </w:rPr>
              <w:t>新庄</w:t>
            </w:r>
            <w:r>
              <w:rPr>
                <w:rFonts w:hint="eastAsia"/>
                <w:color w:val="auto"/>
                <w:kern w:val="0"/>
                <w:lang w:eastAsia="zh-CN"/>
              </w:rPr>
              <w:t>镇人民政府</w:t>
            </w:r>
          </w:p>
        </w:tc>
      </w:tr>
      <w:tr>
        <w:tblPrEx>
          <w:tblCellMar>
            <w:top w:w="0" w:type="dxa"/>
            <w:left w:w="108" w:type="dxa"/>
            <w:bottom w:w="0" w:type="dxa"/>
            <w:right w:w="108" w:type="dxa"/>
          </w:tblCellMar>
        </w:tblPrEx>
        <w:trPr>
          <w:trHeight w:val="2790" w:hRule="atLeast"/>
        </w:trPr>
        <w:tc>
          <w:tcPr>
            <w:tcW w:w="538"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rPr>
                <w:color w:val="auto"/>
                <w:kern w:val="0"/>
              </w:rPr>
            </w:pPr>
            <w:r>
              <w:rPr>
                <w:color w:val="auto"/>
                <w:kern w:val="0"/>
              </w:rPr>
              <w:t>13</w:t>
            </w:r>
          </w:p>
        </w:tc>
        <w:tc>
          <w:tcPr>
            <w:tcW w:w="679" w:type="dxa"/>
            <w:tcBorders>
              <w:top w:val="nil"/>
              <w:left w:val="nil"/>
              <w:bottom w:val="single" w:color="auto" w:sz="4" w:space="0"/>
              <w:right w:val="single" w:color="auto" w:sz="4" w:space="0"/>
            </w:tcBorders>
            <w:noWrap w:val="0"/>
            <w:vAlign w:val="center"/>
          </w:tcPr>
          <w:p>
            <w:pPr>
              <w:widowControl/>
              <w:spacing w:line="320" w:lineRule="exact"/>
              <w:jc w:val="center"/>
              <w:rPr>
                <w:rFonts w:hint="eastAsia" w:eastAsia="宋体"/>
                <w:color w:val="auto"/>
                <w:kern w:val="0"/>
                <w:lang w:eastAsia="zh-CN"/>
              </w:rPr>
            </w:pPr>
            <w:r>
              <w:rPr>
                <w:rFonts w:hint="eastAsia"/>
                <w:color w:val="auto"/>
                <w:kern w:val="0"/>
              </w:rPr>
              <w:t>其他</w:t>
            </w:r>
          </w:p>
          <w:p>
            <w:pPr>
              <w:widowControl/>
              <w:spacing w:line="320" w:lineRule="exact"/>
              <w:jc w:val="center"/>
              <w:rPr>
                <w:color w:val="auto"/>
                <w:kern w:val="0"/>
              </w:rPr>
            </w:pPr>
            <w:r>
              <w:rPr>
                <w:rFonts w:hint="eastAsia"/>
                <w:color w:val="auto"/>
                <w:kern w:val="0"/>
              </w:rPr>
              <w:t>权力</w:t>
            </w:r>
          </w:p>
        </w:tc>
        <w:tc>
          <w:tcPr>
            <w:tcW w:w="1064" w:type="dxa"/>
            <w:tcBorders>
              <w:top w:val="nil"/>
              <w:left w:val="nil"/>
              <w:bottom w:val="single" w:color="auto" w:sz="4" w:space="0"/>
              <w:right w:val="single" w:color="auto" w:sz="4" w:space="0"/>
            </w:tcBorders>
            <w:noWrap w:val="0"/>
            <w:vAlign w:val="center"/>
          </w:tcPr>
          <w:p>
            <w:pPr>
              <w:widowControl/>
              <w:spacing w:line="320" w:lineRule="exact"/>
              <w:rPr>
                <w:color w:val="auto"/>
                <w:kern w:val="0"/>
              </w:rPr>
            </w:pPr>
            <w:r>
              <w:rPr>
                <w:rFonts w:hint="eastAsia"/>
                <w:color w:val="auto"/>
                <w:kern w:val="0"/>
              </w:rPr>
              <w:t>对非法种植毒品原植物的铲除</w:t>
            </w:r>
          </w:p>
        </w:tc>
        <w:tc>
          <w:tcPr>
            <w:tcW w:w="5702" w:type="dxa"/>
            <w:tcBorders>
              <w:top w:val="nil"/>
              <w:left w:val="nil"/>
              <w:bottom w:val="single" w:color="auto" w:sz="4" w:space="0"/>
              <w:right w:val="single" w:color="auto" w:sz="4" w:space="0"/>
            </w:tcBorders>
            <w:noWrap w:val="0"/>
            <w:vAlign w:val="center"/>
          </w:tcPr>
          <w:p>
            <w:pPr>
              <w:widowControl/>
              <w:spacing w:line="320" w:lineRule="exact"/>
              <w:rPr>
                <w:color w:val="auto"/>
                <w:kern w:val="0"/>
              </w:rPr>
            </w:pPr>
            <w:r>
              <w:rPr>
                <w:rFonts w:hint="eastAsia"/>
                <w:color w:val="auto"/>
                <w:kern w:val="0"/>
              </w:rPr>
              <w:t>《中华人民共和国禁毒法》第十二条：各级人民政府应当经常组织开展多种形式的禁毒宣传教育。</w:t>
            </w:r>
          </w:p>
          <w:p>
            <w:pPr>
              <w:widowControl/>
              <w:spacing w:line="320" w:lineRule="exact"/>
              <w:rPr>
                <w:color w:val="auto"/>
                <w:kern w:val="0"/>
              </w:rPr>
            </w:pPr>
            <w:r>
              <w:rPr>
                <w:rFonts w:hint="eastAsia"/>
                <w:color w:val="auto"/>
                <w:kern w:val="0"/>
              </w:rPr>
              <w:t>第十九条：地方各级人民政府发现非法种植毒品原植物的，应当立即采取措施予以制止、铲除。村民委员会、居民委员会发现非法种植毒品原植物的，应当及时予以制止、铲除，并向当地公安机关报告。</w:t>
            </w:r>
          </w:p>
        </w:tc>
        <w:tc>
          <w:tcPr>
            <w:tcW w:w="2625" w:type="dxa"/>
            <w:tcBorders>
              <w:top w:val="nil"/>
              <w:left w:val="nil"/>
              <w:bottom w:val="single" w:color="auto" w:sz="4" w:space="0"/>
              <w:right w:val="single" w:color="auto" w:sz="4" w:space="0"/>
            </w:tcBorders>
            <w:noWrap w:val="0"/>
            <w:vAlign w:val="center"/>
          </w:tcPr>
          <w:p>
            <w:pPr>
              <w:widowControl/>
              <w:spacing w:line="320" w:lineRule="exact"/>
              <w:rPr>
                <w:color w:val="auto"/>
                <w:kern w:val="0"/>
              </w:rPr>
            </w:pPr>
            <w:r>
              <w:rPr>
                <w:rFonts w:hint="eastAsia"/>
                <w:color w:val="auto"/>
                <w:kern w:val="0"/>
              </w:rPr>
              <w:t>公安部门加强巡查，发现违法行为立即采取措施予以制止、铲除并依法处理，将相关信息通知所在乡镇（街道）。</w:t>
            </w:r>
          </w:p>
        </w:tc>
        <w:tc>
          <w:tcPr>
            <w:tcW w:w="2693" w:type="dxa"/>
            <w:tcBorders>
              <w:top w:val="nil"/>
              <w:left w:val="nil"/>
              <w:bottom w:val="single" w:color="auto" w:sz="4" w:space="0"/>
              <w:right w:val="single" w:color="auto" w:sz="4" w:space="0"/>
            </w:tcBorders>
            <w:noWrap w:val="0"/>
            <w:vAlign w:val="center"/>
          </w:tcPr>
          <w:p>
            <w:pPr>
              <w:widowControl/>
              <w:spacing w:line="320" w:lineRule="exact"/>
              <w:rPr>
                <w:color w:val="auto"/>
                <w:kern w:val="0"/>
              </w:rPr>
            </w:pPr>
            <w:r>
              <w:rPr>
                <w:rFonts w:hint="eastAsia"/>
                <w:color w:val="auto"/>
                <w:kern w:val="0"/>
              </w:rPr>
              <w:t>开展多种形式的禁毒宣传教育；加强巡查，及时发现违法行为并会同公安机关立即采取措施予以制止、铲除。</w:t>
            </w:r>
          </w:p>
        </w:tc>
        <w:tc>
          <w:tcPr>
            <w:tcW w:w="851" w:type="dxa"/>
            <w:tcBorders>
              <w:top w:val="nil"/>
              <w:left w:val="nil"/>
              <w:bottom w:val="single" w:color="auto" w:sz="4" w:space="0"/>
              <w:right w:val="single" w:color="auto" w:sz="4" w:space="0"/>
            </w:tcBorders>
            <w:noWrap w:val="0"/>
            <w:vAlign w:val="top"/>
          </w:tcPr>
          <w:p>
            <w:pPr>
              <w:widowControl/>
              <w:spacing w:line="320" w:lineRule="exact"/>
              <w:rPr>
                <w:color w:val="auto"/>
                <w:kern w:val="0"/>
              </w:rPr>
            </w:pPr>
          </w:p>
        </w:tc>
      </w:tr>
      <w:tr>
        <w:tblPrEx>
          <w:tblCellMar>
            <w:top w:w="0" w:type="dxa"/>
            <w:left w:w="108" w:type="dxa"/>
            <w:bottom w:w="0" w:type="dxa"/>
            <w:right w:w="108" w:type="dxa"/>
          </w:tblCellMar>
        </w:tblPrEx>
        <w:trPr>
          <w:trHeight w:val="8050" w:hRule="atLeast"/>
        </w:trPr>
        <w:tc>
          <w:tcPr>
            <w:tcW w:w="538"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color w:val="auto"/>
                <w:kern w:val="0"/>
              </w:rPr>
            </w:pPr>
            <w:r>
              <w:rPr>
                <w:color w:val="auto"/>
                <w:kern w:val="0"/>
              </w:rPr>
              <w:t>14</w:t>
            </w:r>
          </w:p>
        </w:tc>
        <w:tc>
          <w:tcPr>
            <w:tcW w:w="679" w:type="dxa"/>
            <w:tcBorders>
              <w:top w:val="nil"/>
              <w:left w:val="nil"/>
              <w:bottom w:val="single" w:color="auto" w:sz="4" w:space="0"/>
              <w:right w:val="single" w:color="auto" w:sz="4" w:space="0"/>
            </w:tcBorders>
            <w:shd w:val="clear" w:color="auto" w:fill="auto"/>
            <w:noWrap w:val="0"/>
            <w:vAlign w:val="center"/>
          </w:tcPr>
          <w:p>
            <w:pPr>
              <w:widowControl/>
              <w:spacing w:line="320" w:lineRule="exact"/>
              <w:jc w:val="center"/>
              <w:rPr>
                <w:rFonts w:hint="eastAsia" w:eastAsia="宋体"/>
                <w:color w:val="auto"/>
                <w:kern w:val="0"/>
                <w:lang w:eastAsia="zh-CN"/>
              </w:rPr>
            </w:pPr>
            <w:r>
              <w:rPr>
                <w:rFonts w:hint="eastAsia"/>
                <w:color w:val="auto"/>
                <w:kern w:val="0"/>
              </w:rPr>
              <w:t>其他</w:t>
            </w:r>
          </w:p>
          <w:p>
            <w:pPr>
              <w:widowControl/>
              <w:spacing w:line="320" w:lineRule="exact"/>
              <w:jc w:val="center"/>
              <w:rPr>
                <w:color w:val="auto"/>
                <w:kern w:val="0"/>
              </w:rPr>
            </w:pPr>
            <w:r>
              <w:rPr>
                <w:rFonts w:hint="eastAsia"/>
                <w:color w:val="auto"/>
                <w:kern w:val="0"/>
              </w:rPr>
              <w:t>权力</w:t>
            </w:r>
          </w:p>
        </w:tc>
        <w:tc>
          <w:tcPr>
            <w:tcW w:w="1064" w:type="dxa"/>
            <w:tcBorders>
              <w:top w:val="nil"/>
              <w:left w:val="nil"/>
              <w:bottom w:val="single" w:color="auto" w:sz="4" w:space="0"/>
              <w:right w:val="single" w:color="auto" w:sz="4" w:space="0"/>
            </w:tcBorders>
            <w:shd w:val="clear" w:color="auto" w:fill="FFFFFF"/>
            <w:noWrap w:val="0"/>
            <w:vAlign w:val="center"/>
          </w:tcPr>
          <w:p>
            <w:pPr>
              <w:widowControl/>
              <w:spacing w:line="320" w:lineRule="exact"/>
              <w:rPr>
                <w:color w:val="auto"/>
                <w:kern w:val="0"/>
              </w:rPr>
            </w:pPr>
            <w:r>
              <w:rPr>
                <w:rFonts w:hint="eastAsia"/>
                <w:color w:val="auto"/>
                <w:kern w:val="0"/>
              </w:rPr>
              <w:t>最低生活保障审核转报</w:t>
            </w:r>
          </w:p>
        </w:tc>
        <w:tc>
          <w:tcPr>
            <w:tcW w:w="5702" w:type="dxa"/>
            <w:tcBorders>
              <w:top w:val="nil"/>
              <w:left w:val="nil"/>
              <w:bottom w:val="single" w:color="auto" w:sz="4" w:space="0"/>
              <w:right w:val="single" w:color="auto" w:sz="4" w:space="0"/>
            </w:tcBorders>
            <w:shd w:val="clear" w:color="auto" w:fill="FFFFFF"/>
            <w:noWrap w:val="0"/>
            <w:vAlign w:val="center"/>
          </w:tcPr>
          <w:p>
            <w:pPr>
              <w:widowControl/>
              <w:spacing w:line="320" w:lineRule="exact"/>
              <w:rPr>
                <w:color w:val="auto"/>
                <w:kern w:val="0"/>
              </w:rPr>
            </w:pPr>
            <w:r>
              <w:rPr>
                <w:color w:val="auto"/>
                <w:kern w:val="0"/>
              </w:rPr>
              <w:t>1.</w:t>
            </w:r>
            <w:r>
              <w:rPr>
                <w:rFonts w:hint="eastAsia"/>
                <w:color w:val="auto"/>
                <w:kern w:val="0"/>
              </w:rPr>
              <w:t>《社会救助暂行办法》第四条：乡镇人民政府、街道办事处负责有关社会救助的申请受理、调查审核，具体工作由社会救助经办机构或者经办人员承担。村民委员会、居民委员会协助做好有关社会救助工作。</w:t>
            </w:r>
          </w:p>
          <w:p>
            <w:pPr>
              <w:autoSpaceDE w:val="0"/>
              <w:autoSpaceDN w:val="0"/>
              <w:spacing w:line="320" w:lineRule="exact"/>
              <w:rPr>
                <w:color w:val="auto"/>
                <w:kern w:val="0"/>
              </w:rPr>
            </w:pPr>
            <w:r>
              <w:rPr>
                <w:color w:val="auto"/>
                <w:kern w:val="0"/>
              </w:rPr>
              <w:t xml:space="preserve">2. </w:t>
            </w:r>
            <w:r>
              <w:rPr>
                <w:rFonts w:hint="eastAsia"/>
                <w:color w:val="auto"/>
                <w:kern w:val="0"/>
              </w:rPr>
              <w:t>《安徽省最低生活保障工作操作规程》（皖民社救字〔</w:t>
            </w:r>
            <w:r>
              <w:rPr>
                <w:color w:val="auto"/>
                <w:kern w:val="0"/>
              </w:rPr>
              <w:t>2021</w:t>
            </w:r>
            <w:r>
              <w:rPr>
                <w:rFonts w:hint="eastAsia"/>
                <w:color w:val="auto"/>
                <w:kern w:val="0"/>
              </w:rPr>
              <w:t>〕</w:t>
            </w:r>
            <w:r>
              <w:rPr>
                <w:color w:val="auto"/>
                <w:kern w:val="0"/>
              </w:rPr>
              <w:t>76</w:t>
            </w:r>
            <w:r>
              <w:rPr>
                <w:rFonts w:hint="eastAsia"/>
                <w:color w:val="auto"/>
                <w:kern w:val="0"/>
              </w:rPr>
              <w:t>号，省民政厅、省财政厅于</w:t>
            </w:r>
            <w:r>
              <w:rPr>
                <w:color w:val="auto"/>
                <w:kern w:val="0"/>
              </w:rPr>
              <w:t>2021</w:t>
            </w:r>
            <w:r>
              <w:rPr>
                <w:rFonts w:hint="eastAsia"/>
                <w:color w:val="auto"/>
                <w:kern w:val="0"/>
              </w:rPr>
              <w:t>年</w:t>
            </w:r>
            <w:r>
              <w:rPr>
                <w:color w:val="auto"/>
                <w:kern w:val="0"/>
              </w:rPr>
              <w:t>9</w:t>
            </w:r>
            <w:r>
              <w:rPr>
                <w:rFonts w:hint="eastAsia"/>
                <w:color w:val="auto"/>
                <w:kern w:val="0"/>
              </w:rPr>
              <w:t>月</w:t>
            </w:r>
            <w:r>
              <w:rPr>
                <w:color w:val="auto"/>
                <w:kern w:val="0"/>
              </w:rPr>
              <w:t>7</w:t>
            </w:r>
            <w:r>
              <w:rPr>
                <w:rFonts w:hint="eastAsia"/>
                <w:color w:val="auto"/>
                <w:kern w:val="0"/>
              </w:rPr>
              <w:t>日印发）第二条：县级民政部门负责低保的审核确认工作，乡镇人民政府（街道办事处）负责低保的受理、初审工作。村（居）民委员会协助做好相关工作。低保审核确认权限下放至乡镇人民政府（街道办事处）的，应建立党（工）委领导、政府（办事处）负责，部门参与的低保联审联批制度，县级民政部门加强监督指导。</w:t>
            </w:r>
          </w:p>
          <w:p>
            <w:pPr>
              <w:widowControl/>
              <w:spacing w:line="320" w:lineRule="exact"/>
              <w:rPr>
                <w:color w:val="auto"/>
                <w:kern w:val="0"/>
              </w:rPr>
            </w:pPr>
            <w:r>
              <w:rPr>
                <w:rFonts w:hint="eastAsia"/>
                <w:color w:val="auto"/>
                <w:kern w:val="0"/>
              </w:rPr>
              <w:t>第八条：低保工作程序按照居民申请，乡镇人民政府（街道办事处）受理、初审，县（市、区）民政部门审核确认的程序实施。</w:t>
            </w:r>
          </w:p>
        </w:tc>
        <w:tc>
          <w:tcPr>
            <w:tcW w:w="2625" w:type="dxa"/>
            <w:tcBorders>
              <w:top w:val="nil"/>
              <w:left w:val="nil"/>
              <w:bottom w:val="single" w:color="auto" w:sz="4" w:space="0"/>
              <w:right w:val="single" w:color="auto" w:sz="4" w:space="0"/>
            </w:tcBorders>
            <w:shd w:val="clear" w:color="auto" w:fill="FFFFFF"/>
            <w:noWrap w:val="0"/>
            <w:vAlign w:val="center"/>
          </w:tcPr>
          <w:p>
            <w:pPr>
              <w:autoSpaceDE w:val="0"/>
              <w:autoSpaceDN w:val="0"/>
              <w:spacing w:line="320" w:lineRule="exact"/>
              <w:rPr>
                <w:color w:val="auto"/>
                <w:kern w:val="0"/>
              </w:rPr>
            </w:pPr>
            <w:r>
              <w:rPr>
                <w:rFonts w:hint="eastAsia"/>
                <w:color w:val="auto"/>
                <w:kern w:val="0"/>
              </w:rPr>
              <w:t>民政部门负责全面审核乡镇（街道）报送的材料，并按照不低于</w:t>
            </w:r>
            <w:r>
              <w:rPr>
                <w:color w:val="auto"/>
                <w:kern w:val="0"/>
              </w:rPr>
              <w:t>30%</w:t>
            </w:r>
            <w:r>
              <w:rPr>
                <w:rFonts w:hint="eastAsia"/>
                <w:color w:val="auto"/>
                <w:kern w:val="0"/>
              </w:rPr>
              <w:t>的比例入户抽查。对符合条件的申请予以确认同意，同时确定救助金额；对不符合条件的申请不予确认同意，并应当在作出决定</w:t>
            </w:r>
            <w:r>
              <w:rPr>
                <w:color w:val="auto"/>
                <w:kern w:val="0"/>
              </w:rPr>
              <w:t>3</w:t>
            </w:r>
            <w:r>
              <w:rPr>
                <w:rFonts w:hint="eastAsia"/>
                <w:color w:val="auto"/>
                <w:kern w:val="0"/>
              </w:rPr>
              <w:t>个工作内，通过乡镇人民政府（街道办事处）书面告知申请人并说明理由。</w:t>
            </w:r>
          </w:p>
          <w:p>
            <w:pPr>
              <w:autoSpaceDE w:val="0"/>
              <w:autoSpaceDN w:val="0"/>
              <w:spacing w:line="320" w:lineRule="exact"/>
              <w:rPr>
                <w:color w:val="auto"/>
                <w:kern w:val="0"/>
              </w:rPr>
            </w:pPr>
            <w:r>
              <w:rPr>
                <w:rFonts w:hint="eastAsia"/>
                <w:color w:val="auto"/>
                <w:kern w:val="0"/>
              </w:rPr>
              <w:t>审核确认权限下放至乡镇（街道）的，民政部门加强监督指导。</w:t>
            </w:r>
          </w:p>
        </w:tc>
        <w:tc>
          <w:tcPr>
            <w:tcW w:w="2693" w:type="dxa"/>
            <w:tcBorders>
              <w:top w:val="nil"/>
              <w:left w:val="nil"/>
              <w:bottom w:val="single" w:color="auto" w:sz="4" w:space="0"/>
              <w:right w:val="single" w:color="auto" w:sz="4" w:space="0"/>
            </w:tcBorders>
            <w:shd w:val="clear" w:color="auto" w:fill="FFFFFF"/>
            <w:noWrap w:val="0"/>
            <w:vAlign w:val="center"/>
          </w:tcPr>
          <w:p>
            <w:pPr>
              <w:autoSpaceDE w:val="0"/>
              <w:autoSpaceDN w:val="0"/>
              <w:spacing w:line="320" w:lineRule="exact"/>
              <w:rPr>
                <w:color w:val="auto"/>
                <w:kern w:val="0"/>
              </w:rPr>
            </w:pPr>
            <w:r>
              <w:rPr>
                <w:rFonts w:hint="eastAsia"/>
                <w:color w:val="auto"/>
                <w:kern w:val="0"/>
              </w:rPr>
              <w:t>负责低保的受理、初审工作。根据家庭经济状况调查情况，提出初审意见，并在申请家庭所在村、社区进行公示。公示期为</w:t>
            </w:r>
            <w:r>
              <w:rPr>
                <w:color w:val="auto"/>
                <w:kern w:val="0"/>
              </w:rPr>
              <w:t>7</w:t>
            </w:r>
            <w:r>
              <w:rPr>
                <w:rFonts w:hint="eastAsia"/>
                <w:color w:val="auto"/>
                <w:kern w:val="0"/>
              </w:rPr>
              <w:t>天。公示期满无异议的，乡镇（街道）应当及时将申请材料、家庭经济状况调查核实结果、初审意见等相关材料报送县级民政部门。</w:t>
            </w:r>
          </w:p>
          <w:p>
            <w:pPr>
              <w:autoSpaceDE w:val="0"/>
              <w:autoSpaceDN w:val="0"/>
              <w:spacing w:line="320" w:lineRule="exact"/>
              <w:rPr>
                <w:color w:val="auto"/>
                <w:kern w:val="0"/>
              </w:rPr>
            </w:pPr>
            <w:r>
              <w:rPr>
                <w:rFonts w:hint="eastAsia"/>
                <w:color w:val="auto"/>
                <w:kern w:val="0"/>
              </w:rPr>
              <w:t>审核确认权限下放至乡镇（街道）的，由乡镇（街道）直接审核确认。</w:t>
            </w:r>
          </w:p>
        </w:tc>
        <w:tc>
          <w:tcPr>
            <w:tcW w:w="851" w:type="dxa"/>
            <w:tcBorders>
              <w:top w:val="nil"/>
              <w:left w:val="nil"/>
              <w:bottom w:val="single" w:color="auto" w:sz="4" w:space="0"/>
              <w:right w:val="single" w:color="auto" w:sz="4" w:space="0"/>
            </w:tcBorders>
            <w:shd w:val="clear" w:color="auto" w:fill="FFFFFF"/>
            <w:noWrap w:val="0"/>
            <w:vAlign w:val="top"/>
          </w:tcPr>
          <w:p>
            <w:pPr>
              <w:widowControl/>
              <w:spacing w:line="320" w:lineRule="exact"/>
              <w:rPr>
                <w:color w:val="auto"/>
                <w:kern w:val="0"/>
              </w:rPr>
            </w:pPr>
          </w:p>
        </w:tc>
      </w:tr>
      <w:tr>
        <w:tblPrEx>
          <w:tblCellMar>
            <w:top w:w="0" w:type="dxa"/>
            <w:left w:w="108" w:type="dxa"/>
            <w:bottom w:w="0" w:type="dxa"/>
            <w:right w:w="108" w:type="dxa"/>
          </w:tblCellMar>
        </w:tblPrEx>
        <w:trPr>
          <w:trHeight w:val="8034" w:hRule="atLeast"/>
        </w:trPr>
        <w:tc>
          <w:tcPr>
            <w:tcW w:w="538"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color w:val="auto"/>
                <w:kern w:val="0"/>
              </w:rPr>
            </w:pPr>
            <w:r>
              <w:rPr>
                <w:color w:val="auto"/>
                <w:kern w:val="0"/>
              </w:rPr>
              <w:t>15</w:t>
            </w:r>
          </w:p>
        </w:tc>
        <w:tc>
          <w:tcPr>
            <w:tcW w:w="679" w:type="dxa"/>
            <w:tcBorders>
              <w:top w:val="nil"/>
              <w:left w:val="nil"/>
              <w:bottom w:val="single" w:color="auto" w:sz="4" w:space="0"/>
              <w:right w:val="single" w:color="auto" w:sz="4" w:space="0"/>
            </w:tcBorders>
            <w:shd w:val="clear" w:color="auto" w:fill="auto"/>
            <w:noWrap w:val="0"/>
            <w:vAlign w:val="center"/>
          </w:tcPr>
          <w:p>
            <w:pPr>
              <w:widowControl/>
              <w:spacing w:line="320" w:lineRule="exact"/>
              <w:jc w:val="center"/>
              <w:rPr>
                <w:rFonts w:hint="eastAsia" w:eastAsia="宋体"/>
                <w:color w:val="auto"/>
                <w:kern w:val="0"/>
                <w:lang w:eastAsia="zh-CN"/>
              </w:rPr>
            </w:pPr>
            <w:r>
              <w:rPr>
                <w:rFonts w:hint="eastAsia"/>
                <w:color w:val="auto"/>
                <w:kern w:val="0"/>
              </w:rPr>
              <w:t>其他</w:t>
            </w:r>
          </w:p>
          <w:p>
            <w:pPr>
              <w:widowControl/>
              <w:spacing w:line="320" w:lineRule="exact"/>
              <w:jc w:val="center"/>
              <w:rPr>
                <w:color w:val="auto"/>
                <w:kern w:val="0"/>
              </w:rPr>
            </w:pPr>
            <w:r>
              <w:rPr>
                <w:rFonts w:hint="eastAsia"/>
                <w:color w:val="auto"/>
                <w:kern w:val="0"/>
              </w:rPr>
              <w:t>权力</w:t>
            </w:r>
          </w:p>
        </w:tc>
        <w:tc>
          <w:tcPr>
            <w:tcW w:w="1064" w:type="dxa"/>
            <w:tcBorders>
              <w:top w:val="nil"/>
              <w:left w:val="nil"/>
              <w:bottom w:val="single" w:color="auto" w:sz="4" w:space="0"/>
              <w:right w:val="single" w:color="auto" w:sz="4" w:space="0"/>
            </w:tcBorders>
            <w:shd w:val="clear" w:color="auto" w:fill="FFFFFF"/>
            <w:noWrap w:val="0"/>
            <w:vAlign w:val="center"/>
          </w:tcPr>
          <w:p>
            <w:pPr>
              <w:widowControl/>
              <w:spacing w:line="320" w:lineRule="exact"/>
              <w:rPr>
                <w:color w:val="auto"/>
                <w:kern w:val="0"/>
              </w:rPr>
            </w:pPr>
            <w:r>
              <w:rPr>
                <w:rFonts w:hint="eastAsia"/>
                <w:color w:val="auto"/>
                <w:kern w:val="0"/>
              </w:rPr>
              <w:t>特困人员供养审核转报</w:t>
            </w:r>
          </w:p>
        </w:tc>
        <w:tc>
          <w:tcPr>
            <w:tcW w:w="5702" w:type="dxa"/>
            <w:tcBorders>
              <w:top w:val="nil"/>
              <w:left w:val="nil"/>
              <w:bottom w:val="single" w:color="auto" w:sz="4" w:space="0"/>
              <w:right w:val="single" w:color="auto" w:sz="4" w:space="0"/>
            </w:tcBorders>
            <w:shd w:val="clear" w:color="auto" w:fill="FFFFFF"/>
            <w:noWrap w:val="0"/>
            <w:vAlign w:val="center"/>
          </w:tcPr>
          <w:p>
            <w:pPr>
              <w:widowControl/>
              <w:spacing w:line="320" w:lineRule="exact"/>
              <w:rPr>
                <w:rFonts w:hint="eastAsia" w:eastAsia="宋体"/>
                <w:color w:val="auto"/>
                <w:kern w:val="0"/>
                <w:lang w:eastAsia="zh-CN"/>
              </w:rPr>
            </w:pPr>
            <w:r>
              <w:rPr>
                <w:color w:val="auto"/>
                <w:kern w:val="0"/>
              </w:rPr>
              <w:t>1.</w:t>
            </w:r>
            <w:r>
              <w:rPr>
                <w:rFonts w:hint="eastAsia"/>
                <w:color w:val="auto"/>
                <w:kern w:val="0"/>
              </w:rPr>
              <w:t>《社会救助暂行办法》第四条：乡镇人民政府、街道办事处负责有关社会救助的申请受理、调查审核，具体工作由社会救助经办机构或者经办人员承担。村民委员会、居民委员会协助做好有关社会救助工作。</w:t>
            </w:r>
          </w:p>
          <w:p>
            <w:pPr>
              <w:widowControl/>
              <w:spacing w:line="320" w:lineRule="exact"/>
              <w:rPr>
                <w:color w:val="auto"/>
                <w:kern w:val="0"/>
              </w:rPr>
            </w:pPr>
            <w:r>
              <w:rPr>
                <w:color w:val="auto"/>
                <w:kern w:val="0"/>
              </w:rPr>
              <w:t>2.</w:t>
            </w:r>
            <w:r>
              <w:rPr>
                <w:rFonts w:eastAsia="方正仿宋_GBK"/>
                <w:color w:val="auto"/>
              </w:rPr>
              <w:t xml:space="preserve"> </w:t>
            </w:r>
            <w:r>
              <w:rPr>
                <w:rFonts w:hint="eastAsia"/>
                <w:color w:val="auto"/>
                <w:kern w:val="0"/>
              </w:rPr>
              <w:t>《安徽省特困人员认定办法》（皖民社救字〔</w:t>
            </w:r>
            <w:r>
              <w:rPr>
                <w:color w:val="auto"/>
                <w:kern w:val="0"/>
              </w:rPr>
              <w:t>2021</w:t>
            </w:r>
            <w:r>
              <w:rPr>
                <w:rFonts w:hint="eastAsia"/>
                <w:color w:val="auto"/>
                <w:kern w:val="0"/>
              </w:rPr>
              <w:t>〕</w:t>
            </w:r>
            <w:r>
              <w:rPr>
                <w:color w:val="auto"/>
                <w:kern w:val="0"/>
              </w:rPr>
              <w:t>74</w:t>
            </w:r>
            <w:r>
              <w:rPr>
                <w:rFonts w:hint="eastAsia"/>
                <w:color w:val="auto"/>
                <w:kern w:val="0"/>
              </w:rPr>
              <w:t>号，安徽省民政厅于</w:t>
            </w:r>
            <w:r>
              <w:rPr>
                <w:color w:val="auto"/>
                <w:kern w:val="0"/>
              </w:rPr>
              <w:t>2021</w:t>
            </w:r>
            <w:r>
              <w:rPr>
                <w:rFonts w:hint="eastAsia"/>
                <w:color w:val="auto"/>
                <w:kern w:val="0"/>
              </w:rPr>
              <w:t>年</w:t>
            </w:r>
            <w:r>
              <w:rPr>
                <w:color w:val="auto"/>
                <w:kern w:val="0"/>
              </w:rPr>
              <w:t>8</w:t>
            </w:r>
            <w:r>
              <w:rPr>
                <w:rFonts w:hint="eastAsia"/>
                <w:color w:val="auto"/>
                <w:kern w:val="0"/>
              </w:rPr>
              <w:t>月</w:t>
            </w:r>
            <w:r>
              <w:rPr>
                <w:color w:val="auto"/>
                <w:kern w:val="0"/>
              </w:rPr>
              <w:t>20</w:t>
            </w:r>
            <w:r>
              <w:rPr>
                <w:rFonts w:hint="eastAsia"/>
                <w:color w:val="auto"/>
                <w:kern w:val="0"/>
              </w:rPr>
              <w:t>日印发）第三条：　县级以上地方人民政府民政部门统筹做好本行政区域内特困人员认定及救助供养工作。县级人民政府民政部门负责特困人员认定的审核确认工作，乡镇人民政府（街道办事处）负责特困人员认定的受理、初审工作。村（居）民委员会协助做好相关工作。</w:t>
            </w:r>
          </w:p>
          <w:p>
            <w:pPr>
              <w:widowControl/>
              <w:spacing w:line="320" w:lineRule="exact"/>
              <w:rPr>
                <w:color w:val="auto"/>
                <w:kern w:val="0"/>
              </w:rPr>
            </w:pPr>
            <w:r>
              <w:rPr>
                <w:rFonts w:hint="eastAsia"/>
                <w:color w:val="auto"/>
                <w:kern w:val="0"/>
              </w:rPr>
              <w:t>第四条：同时具备以下条件的城乡老年人、残疾人和未成年人，应当依法纳入特困人员救助供养范围：（一）无劳动能力；（二）无生活来源；（三）无法定赡养、抚养、扶养义务人或者其法定义务人无履行义务能力。</w:t>
            </w:r>
          </w:p>
        </w:tc>
        <w:tc>
          <w:tcPr>
            <w:tcW w:w="2625" w:type="dxa"/>
            <w:tcBorders>
              <w:top w:val="nil"/>
              <w:left w:val="nil"/>
              <w:bottom w:val="single" w:color="auto" w:sz="4" w:space="0"/>
              <w:right w:val="single" w:color="auto" w:sz="4" w:space="0"/>
            </w:tcBorders>
            <w:shd w:val="clear" w:color="auto" w:fill="FFFFFF"/>
            <w:noWrap w:val="0"/>
            <w:vAlign w:val="center"/>
          </w:tcPr>
          <w:p>
            <w:pPr>
              <w:autoSpaceDE w:val="0"/>
              <w:autoSpaceDN w:val="0"/>
              <w:spacing w:line="320" w:lineRule="exact"/>
              <w:rPr>
                <w:color w:val="auto"/>
              </w:rPr>
            </w:pPr>
            <w:r>
              <w:rPr>
                <w:rFonts w:hint="eastAsia"/>
                <w:color w:val="auto"/>
              </w:rPr>
              <w:t>民政部门负责全面审核</w:t>
            </w:r>
            <w:r>
              <w:rPr>
                <w:rFonts w:hint="eastAsia"/>
                <w:color w:val="auto"/>
                <w:kern w:val="0"/>
              </w:rPr>
              <w:t>乡镇（街道）</w:t>
            </w:r>
            <w:r>
              <w:rPr>
                <w:rFonts w:hint="eastAsia"/>
                <w:color w:val="auto"/>
              </w:rPr>
              <w:t>上报的申请材料、调查材料和初审意见，根据初审意见和公示情况，按照不低于</w:t>
            </w:r>
            <w:r>
              <w:rPr>
                <w:color w:val="auto"/>
              </w:rPr>
              <w:t>30%</w:t>
            </w:r>
            <w:r>
              <w:rPr>
                <w:rFonts w:hint="eastAsia"/>
                <w:color w:val="auto"/>
              </w:rPr>
              <w:t>的比例随机抽查核实，并在</w:t>
            </w:r>
            <w:r>
              <w:rPr>
                <w:color w:val="auto"/>
              </w:rPr>
              <w:t>10</w:t>
            </w:r>
            <w:r>
              <w:rPr>
                <w:rFonts w:hint="eastAsia"/>
                <w:color w:val="auto"/>
              </w:rPr>
              <w:t>个工作日内提出确认意见。对符合救助供养条件的申请，县级民政部门应当及时予以确认，建立救助供养档案，从确认之日下月起给予救助供养待遇，并通过</w:t>
            </w:r>
            <w:r>
              <w:rPr>
                <w:rFonts w:hint="eastAsia"/>
                <w:color w:val="auto"/>
                <w:kern w:val="0"/>
              </w:rPr>
              <w:t>乡镇（街道）</w:t>
            </w:r>
            <w:r>
              <w:rPr>
                <w:rFonts w:hint="eastAsia"/>
                <w:color w:val="auto"/>
              </w:rPr>
              <w:t>在申请人所在村（社区）公布。不符合条件、不予同意的，县级民政部门应当在作出决定</w:t>
            </w:r>
            <w:r>
              <w:rPr>
                <w:color w:val="auto"/>
              </w:rPr>
              <w:t>3</w:t>
            </w:r>
            <w:r>
              <w:rPr>
                <w:rFonts w:hint="eastAsia"/>
                <w:color w:val="auto"/>
              </w:rPr>
              <w:t>个工作日内，通过</w:t>
            </w:r>
            <w:r>
              <w:rPr>
                <w:rFonts w:hint="eastAsia"/>
                <w:color w:val="auto"/>
                <w:kern w:val="0"/>
              </w:rPr>
              <w:t>乡镇（街道）</w:t>
            </w:r>
            <w:r>
              <w:rPr>
                <w:rFonts w:hint="eastAsia"/>
                <w:color w:val="auto"/>
              </w:rPr>
              <w:t>书面告知申请人或者其代理人并说明理由。</w:t>
            </w:r>
          </w:p>
          <w:p>
            <w:pPr>
              <w:autoSpaceDE w:val="0"/>
              <w:autoSpaceDN w:val="0"/>
              <w:spacing w:line="320" w:lineRule="exact"/>
              <w:rPr>
                <w:color w:val="auto"/>
              </w:rPr>
            </w:pPr>
            <w:r>
              <w:rPr>
                <w:rFonts w:hint="eastAsia"/>
                <w:color w:val="auto"/>
              </w:rPr>
              <w:t>审核确认权限下放至</w:t>
            </w:r>
            <w:r>
              <w:rPr>
                <w:rFonts w:hint="eastAsia"/>
                <w:color w:val="auto"/>
                <w:kern w:val="0"/>
              </w:rPr>
              <w:t>乡镇（街道）</w:t>
            </w:r>
            <w:r>
              <w:rPr>
                <w:rFonts w:hint="eastAsia"/>
                <w:color w:val="auto"/>
              </w:rPr>
              <w:t>的，民政部门加强监督指导。</w:t>
            </w:r>
          </w:p>
        </w:tc>
        <w:tc>
          <w:tcPr>
            <w:tcW w:w="2693" w:type="dxa"/>
            <w:tcBorders>
              <w:top w:val="nil"/>
              <w:left w:val="nil"/>
              <w:bottom w:val="single" w:color="auto" w:sz="4" w:space="0"/>
              <w:right w:val="single" w:color="auto" w:sz="4" w:space="0"/>
            </w:tcBorders>
            <w:shd w:val="clear" w:color="auto" w:fill="FFFFFF"/>
            <w:noWrap w:val="0"/>
            <w:vAlign w:val="center"/>
          </w:tcPr>
          <w:p>
            <w:pPr>
              <w:autoSpaceDE w:val="0"/>
              <w:autoSpaceDN w:val="0"/>
              <w:spacing w:line="320" w:lineRule="exact"/>
              <w:rPr>
                <w:color w:val="auto"/>
              </w:rPr>
            </w:pPr>
            <w:r>
              <w:rPr>
                <w:rFonts w:hint="eastAsia"/>
                <w:color w:val="auto"/>
              </w:rPr>
              <w:t>负责对特困人员救助供养申请的审核，通过入户调查、邻里访问、信函索证、信息核对等方式，对申请人的经济状况、实际生活状况以及赡养、抚养、扶养状况等进行调查核实，视情组织民主评议，并提出初审意见，将初审意见在申请人所在村（社区）公示后，报县级民政部门确认。对公示有异议的，应当重新组织调查核实，在</w:t>
            </w:r>
            <w:r>
              <w:rPr>
                <w:color w:val="auto"/>
              </w:rPr>
              <w:t>10</w:t>
            </w:r>
            <w:r>
              <w:rPr>
                <w:rFonts w:hint="eastAsia"/>
                <w:color w:val="auto"/>
              </w:rPr>
              <w:t>个工作日内提出初审意见，并重新公示。</w:t>
            </w:r>
          </w:p>
          <w:p>
            <w:pPr>
              <w:autoSpaceDE w:val="0"/>
              <w:autoSpaceDN w:val="0"/>
              <w:spacing w:line="320" w:lineRule="exact"/>
              <w:rPr>
                <w:color w:val="auto"/>
              </w:rPr>
            </w:pPr>
            <w:r>
              <w:rPr>
                <w:rFonts w:hint="eastAsia"/>
                <w:color w:val="auto"/>
              </w:rPr>
              <w:t>审核确认权限下放至</w:t>
            </w:r>
            <w:r>
              <w:rPr>
                <w:rFonts w:hint="eastAsia"/>
                <w:color w:val="auto"/>
                <w:kern w:val="0"/>
              </w:rPr>
              <w:t>乡镇（街道）</w:t>
            </w:r>
            <w:r>
              <w:rPr>
                <w:rFonts w:hint="eastAsia"/>
                <w:color w:val="auto"/>
              </w:rPr>
              <w:t>的，由</w:t>
            </w:r>
            <w:r>
              <w:rPr>
                <w:rFonts w:hint="eastAsia"/>
                <w:color w:val="auto"/>
                <w:kern w:val="0"/>
              </w:rPr>
              <w:t>乡镇（街道）</w:t>
            </w:r>
            <w:r>
              <w:rPr>
                <w:rFonts w:hint="eastAsia"/>
                <w:color w:val="auto"/>
              </w:rPr>
              <w:t>直接审核确认。</w:t>
            </w:r>
          </w:p>
        </w:tc>
        <w:tc>
          <w:tcPr>
            <w:tcW w:w="851" w:type="dxa"/>
            <w:tcBorders>
              <w:top w:val="nil"/>
              <w:left w:val="nil"/>
              <w:bottom w:val="single" w:color="auto" w:sz="4" w:space="0"/>
              <w:right w:val="single" w:color="auto" w:sz="4" w:space="0"/>
            </w:tcBorders>
            <w:shd w:val="clear" w:color="auto" w:fill="FFFFFF"/>
            <w:noWrap w:val="0"/>
            <w:vAlign w:val="top"/>
          </w:tcPr>
          <w:p>
            <w:pPr>
              <w:widowControl/>
              <w:spacing w:line="320" w:lineRule="exact"/>
              <w:rPr>
                <w:color w:val="auto"/>
                <w:kern w:val="0"/>
              </w:rPr>
            </w:pPr>
          </w:p>
        </w:tc>
      </w:tr>
      <w:tr>
        <w:tblPrEx>
          <w:tblCellMar>
            <w:top w:w="0" w:type="dxa"/>
            <w:left w:w="108" w:type="dxa"/>
            <w:bottom w:w="0" w:type="dxa"/>
            <w:right w:w="108" w:type="dxa"/>
          </w:tblCellMar>
        </w:tblPrEx>
        <w:trPr>
          <w:trHeight w:val="8160" w:hRule="atLeast"/>
        </w:trPr>
        <w:tc>
          <w:tcPr>
            <w:tcW w:w="538"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color w:val="auto"/>
                <w:kern w:val="0"/>
              </w:rPr>
            </w:pPr>
            <w:r>
              <w:rPr>
                <w:color w:val="auto"/>
                <w:kern w:val="0"/>
              </w:rPr>
              <w:t>16</w:t>
            </w:r>
          </w:p>
        </w:tc>
        <w:tc>
          <w:tcPr>
            <w:tcW w:w="679" w:type="dxa"/>
            <w:tcBorders>
              <w:top w:val="nil"/>
              <w:left w:val="nil"/>
              <w:bottom w:val="single" w:color="auto" w:sz="4" w:space="0"/>
              <w:right w:val="single" w:color="auto" w:sz="4" w:space="0"/>
            </w:tcBorders>
            <w:shd w:val="clear" w:color="auto" w:fill="auto"/>
            <w:noWrap w:val="0"/>
            <w:vAlign w:val="center"/>
          </w:tcPr>
          <w:p>
            <w:pPr>
              <w:widowControl/>
              <w:spacing w:line="320" w:lineRule="exact"/>
              <w:jc w:val="center"/>
              <w:rPr>
                <w:rFonts w:hint="eastAsia" w:eastAsia="宋体"/>
                <w:color w:val="auto"/>
                <w:kern w:val="0"/>
                <w:lang w:eastAsia="zh-CN"/>
              </w:rPr>
            </w:pPr>
            <w:r>
              <w:rPr>
                <w:rFonts w:hint="eastAsia"/>
                <w:color w:val="auto"/>
                <w:kern w:val="0"/>
              </w:rPr>
              <w:t>其他</w:t>
            </w:r>
          </w:p>
          <w:p>
            <w:pPr>
              <w:widowControl/>
              <w:spacing w:line="320" w:lineRule="exact"/>
              <w:jc w:val="center"/>
              <w:rPr>
                <w:color w:val="auto"/>
                <w:kern w:val="0"/>
              </w:rPr>
            </w:pPr>
            <w:r>
              <w:rPr>
                <w:rFonts w:hint="eastAsia"/>
                <w:color w:val="auto"/>
                <w:kern w:val="0"/>
              </w:rPr>
              <w:t>权力</w:t>
            </w:r>
          </w:p>
        </w:tc>
        <w:tc>
          <w:tcPr>
            <w:tcW w:w="1064" w:type="dxa"/>
            <w:tcBorders>
              <w:top w:val="nil"/>
              <w:left w:val="nil"/>
              <w:bottom w:val="single" w:color="auto" w:sz="4" w:space="0"/>
              <w:right w:val="single" w:color="auto" w:sz="4" w:space="0"/>
            </w:tcBorders>
            <w:shd w:val="clear" w:color="auto" w:fill="FFFFFF"/>
            <w:noWrap w:val="0"/>
            <w:vAlign w:val="center"/>
          </w:tcPr>
          <w:p>
            <w:pPr>
              <w:widowControl/>
              <w:spacing w:line="320" w:lineRule="exact"/>
              <w:rPr>
                <w:color w:val="auto"/>
                <w:kern w:val="0"/>
              </w:rPr>
            </w:pPr>
            <w:r>
              <w:rPr>
                <w:rFonts w:hint="eastAsia"/>
                <w:color w:val="auto"/>
                <w:kern w:val="0"/>
              </w:rPr>
              <w:t>临时救助审核转报</w:t>
            </w:r>
          </w:p>
        </w:tc>
        <w:tc>
          <w:tcPr>
            <w:tcW w:w="5702" w:type="dxa"/>
            <w:tcBorders>
              <w:top w:val="nil"/>
              <w:left w:val="nil"/>
              <w:bottom w:val="single" w:color="auto" w:sz="4" w:space="0"/>
              <w:right w:val="single" w:color="auto" w:sz="4" w:space="0"/>
            </w:tcBorders>
            <w:shd w:val="clear" w:color="auto" w:fill="FFFFFF"/>
            <w:noWrap w:val="0"/>
            <w:vAlign w:val="center"/>
          </w:tcPr>
          <w:p>
            <w:pPr>
              <w:autoSpaceDE w:val="0"/>
              <w:autoSpaceDN w:val="0"/>
              <w:spacing w:line="320" w:lineRule="exact"/>
              <w:rPr>
                <w:rFonts w:hint="eastAsia" w:eastAsia="宋体"/>
                <w:color w:val="auto"/>
                <w:kern w:val="0"/>
                <w:lang w:eastAsia="zh-CN"/>
              </w:rPr>
            </w:pPr>
            <w:r>
              <w:rPr>
                <w:color w:val="auto"/>
                <w:kern w:val="0"/>
              </w:rPr>
              <w:t>1.</w:t>
            </w:r>
            <w:r>
              <w:rPr>
                <w:rFonts w:hint="eastAsia"/>
                <w:color w:val="auto"/>
                <w:kern w:val="0"/>
              </w:rPr>
              <w:t>《社会救助暂行办法》第四条：乡镇人民政府、街道办事处负责有关社会救助的申请受理、调查审核，具体工作由社会救助经办机构或者经办人员承担。村民委员会、居民委员会协助做好有关社会救助工作。</w:t>
            </w:r>
          </w:p>
          <w:p>
            <w:pPr>
              <w:autoSpaceDE w:val="0"/>
              <w:autoSpaceDN w:val="0"/>
              <w:spacing w:line="320" w:lineRule="exact"/>
              <w:rPr>
                <w:rFonts w:hint="eastAsia" w:eastAsia="宋体"/>
                <w:color w:val="auto"/>
                <w:kern w:val="0"/>
                <w:lang w:eastAsia="zh-CN"/>
              </w:rPr>
            </w:pPr>
            <w:r>
              <w:rPr>
                <w:rFonts w:hint="eastAsia"/>
                <w:color w:val="auto"/>
                <w:kern w:val="0"/>
              </w:rPr>
              <w:t>第四十七条：国家对因火灾、交通事故等意外事件，家庭成员突发重大疾病等原因，导致基本生活暂时出现严重困难的家庭，或者因生活必需支出突然增加超出家庭承受能力，导致基本生活暂时出现严重困难的最低生活保障家庭，以及遭遇其他特殊困难的家庭，给予临时救助。</w:t>
            </w:r>
          </w:p>
          <w:p>
            <w:pPr>
              <w:autoSpaceDE w:val="0"/>
              <w:autoSpaceDN w:val="0"/>
              <w:spacing w:line="320" w:lineRule="exact"/>
              <w:rPr>
                <w:color w:val="auto"/>
              </w:rPr>
            </w:pPr>
            <w:r>
              <w:rPr>
                <w:color w:val="auto"/>
              </w:rPr>
              <w:t>2.</w:t>
            </w:r>
            <w:r>
              <w:rPr>
                <w:rFonts w:hint="eastAsia"/>
                <w:color w:val="auto"/>
              </w:rPr>
              <w:t>《安徽省临时救助工作操作规程》（皖民社救字〔</w:t>
            </w:r>
            <w:r>
              <w:rPr>
                <w:color w:val="auto"/>
              </w:rPr>
              <w:t>2021</w:t>
            </w:r>
            <w:r>
              <w:rPr>
                <w:rFonts w:hint="eastAsia"/>
                <w:color w:val="auto"/>
              </w:rPr>
              <w:t>〕</w:t>
            </w:r>
            <w:r>
              <w:rPr>
                <w:color w:val="auto"/>
              </w:rPr>
              <w:t>77</w:t>
            </w:r>
            <w:r>
              <w:rPr>
                <w:rFonts w:hint="eastAsia"/>
                <w:color w:val="auto"/>
              </w:rPr>
              <w:t>号，省民政厅、财政厅于</w:t>
            </w:r>
            <w:r>
              <w:rPr>
                <w:color w:val="auto"/>
              </w:rPr>
              <w:t>2021</w:t>
            </w:r>
            <w:r>
              <w:rPr>
                <w:rFonts w:hint="eastAsia"/>
                <w:color w:val="auto"/>
              </w:rPr>
              <w:t>年</w:t>
            </w:r>
            <w:r>
              <w:rPr>
                <w:color w:val="auto"/>
              </w:rPr>
              <w:t>9</w:t>
            </w:r>
            <w:r>
              <w:rPr>
                <w:rFonts w:hint="eastAsia"/>
                <w:color w:val="auto"/>
              </w:rPr>
              <w:t>月</w:t>
            </w:r>
            <w:r>
              <w:rPr>
                <w:color w:val="auto"/>
              </w:rPr>
              <w:t>7</w:t>
            </w:r>
            <w:r>
              <w:rPr>
                <w:rFonts w:hint="eastAsia"/>
                <w:color w:val="auto"/>
              </w:rPr>
              <w:t>日印发）第四条：有条件的地方可将临时救助审核确认权限下放至乡镇人民政府（街道办事处），县级人民政府民政部门加强监督指导。</w:t>
            </w:r>
          </w:p>
          <w:p>
            <w:pPr>
              <w:widowControl/>
              <w:spacing w:line="320" w:lineRule="exact"/>
              <w:rPr>
                <w:color w:val="auto"/>
                <w:kern w:val="0"/>
              </w:rPr>
            </w:pPr>
            <w:r>
              <w:rPr>
                <w:rFonts w:hint="eastAsia"/>
                <w:color w:val="auto"/>
              </w:rPr>
              <w:t>第十二条：临时救助一般按照居民申请，乡镇人民政府（街道办事处）受理、审核，县级人民政府民政部门确认的程序实施。紧急情况下，申请人可直接向所在地县级人民政府民政部门申请临时救助。</w:t>
            </w:r>
          </w:p>
        </w:tc>
        <w:tc>
          <w:tcPr>
            <w:tcW w:w="2625" w:type="dxa"/>
            <w:tcBorders>
              <w:top w:val="nil"/>
              <w:left w:val="nil"/>
              <w:bottom w:val="single" w:color="auto" w:sz="4" w:space="0"/>
              <w:right w:val="single" w:color="auto" w:sz="4" w:space="0"/>
            </w:tcBorders>
            <w:shd w:val="clear" w:color="auto" w:fill="FFFFFF"/>
            <w:noWrap w:val="0"/>
            <w:vAlign w:val="center"/>
          </w:tcPr>
          <w:p>
            <w:pPr>
              <w:autoSpaceDE w:val="0"/>
              <w:autoSpaceDN w:val="0"/>
              <w:spacing w:line="320" w:lineRule="exact"/>
              <w:rPr>
                <w:color w:val="auto"/>
              </w:rPr>
            </w:pPr>
            <w:r>
              <w:rPr>
                <w:rFonts w:hint="eastAsia"/>
                <w:color w:val="auto"/>
              </w:rPr>
              <w:t>民政部门全面审查乡镇（街道）上报的调查材料和审核意见，做出确认决定。对符合规定条件的申请，在</w:t>
            </w:r>
            <w:r>
              <w:rPr>
                <w:color w:val="auto"/>
              </w:rPr>
              <w:t>2</w:t>
            </w:r>
            <w:r>
              <w:rPr>
                <w:rFonts w:hint="eastAsia"/>
                <w:color w:val="auto"/>
              </w:rPr>
              <w:t>个工作日内予以确认，并反馈乡镇（街道），以及告知同级财政部门。对不符合条件的申请不予确认，并书面向申请人说明理由。</w:t>
            </w:r>
          </w:p>
          <w:p>
            <w:pPr>
              <w:autoSpaceDE w:val="0"/>
              <w:autoSpaceDN w:val="0"/>
              <w:spacing w:line="320" w:lineRule="exact"/>
              <w:rPr>
                <w:color w:val="auto"/>
              </w:rPr>
            </w:pPr>
            <w:r>
              <w:rPr>
                <w:rFonts w:hint="eastAsia"/>
                <w:color w:val="auto"/>
              </w:rPr>
              <w:t>审核确认权限下放至</w:t>
            </w:r>
            <w:r>
              <w:rPr>
                <w:rFonts w:hint="eastAsia"/>
                <w:color w:val="auto"/>
                <w:kern w:val="0"/>
              </w:rPr>
              <w:t>乡镇（街道）</w:t>
            </w:r>
            <w:r>
              <w:rPr>
                <w:rFonts w:hint="eastAsia"/>
                <w:color w:val="auto"/>
              </w:rPr>
              <w:t>的，民政部门加强监督指导。</w:t>
            </w:r>
          </w:p>
        </w:tc>
        <w:tc>
          <w:tcPr>
            <w:tcW w:w="2693" w:type="dxa"/>
            <w:tcBorders>
              <w:top w:val="nil"/>
              <w:left w:val="nil"/>
              <w:bottom w:val="single" w:color="auto" w:sz="4" w:space="0"/>
              <w:right w:val="single" w:color="auto" w:sz="4" w:space="0"/>
            </w:tcBorders>
            <w:shd w:val="clear" w:color="auto" w:fill="FFFFFF"/>
            <w:noWrap w:val="0"/>
            <w:vAlign w:val="center"/>
          </w:tcPr>
          <w:p>
            <w:pPr>
              <w:autoSpaceDE w:val="0"/>
              <w:autoSpaceDN w:val="0"/>
              <w:spacing w:line="320" w:lineRule="exact"/>
              <w:rPr>
                <w:color w:val="auto"/>
              </w:rPr>
            </w:pPr>
            <w:r>
              <w:rPr>
                <w:rFonts w:hint="eastAsia"/>
                <w:color w:val="auto"/>
              </w:rPr>
              <w:t>负责对临时救助申请的审核工作，自受理申请起</w:t>
            </w:r>
            <w:r>
              <w:rPr>
                <w:color w:val="auto"/>
              </w:rPr>
              <w:t>2</w:t>
            </w:r>
            <w:r>
              <w:rPr>
                <w:rFonts w:hint="eastAsia"/>
                <w:color w:val="auto"/>
              </w:rPr>
              <w:t>个工作日内，在村（居）委员会协助下，开展家庭经济状况核对、入户调查，视情组织民主评议。符合救助条件的，在申请人所在村（居）民委员会或其居住地公示后报县级民政部门确认。救助金额较小或情况紧急的，可根据民政部门有关规定办理。</w:t>
            </w:r>
          </w:p>
          <w:p>
            <w:pPr>
              <w:autoSpaceDE w:val="0"/>
              <w:autoSpaceDN w:val="0"/>
              <w:spacing w:line="320" w:lineRule="exact"/>
              <w:rPr>
                <w:color w:val="auto"/>
              </w:rPr>
            </w:pPr>
            <w:r>
              <w:rPr>
                <w:rFonts w:hint="eastAsia"/>
                <w:color w:val="auto"/>
              </w:rPr>
              <w:t>审核确认权限下放至</w:t>
            </w:r>
            <w:r>
              <w:rPr>
                <w:rFonts w:hint="eastAsia"/>
                <w:color w:val="auto"/>
                <w:kern w:val="0"/>
              </w:rPr>
              <w:t>乡镇（街道）</w:t>
            </w:r>
            <w:r>
              <w:rPr>
                <w:rFonts w:hint="eastAsia"/>
                <w:color w:val="auto"/>
              </w:rPr>
              <w:t>的，由</w:t>
            </w:r>
            <w:r>
              <w:rPr>
                <w:rFonts w:hint="eastAsia"/>
                <w:color w:val="auto"/>
                <w:kern w:val="0"/>
              </w:rPr>
              <w:t>乡镇（街道）</w:t>
            </w:r>
            <w:r>
              <w:rPr>
                <w:rFonts w:hint="eastAsia"/>
                <w:color w:val="auto"/>
              </w:rPr>
              <w:t>直接审核确认。</w:t>
            </w:r>
          </w:p>
        </w:tc>
        <w:tc>
          <w:tcPr>
            <w:tcW w:w="851" w:type="dxa"/>
            <w:tcBorders>
              <w:top w:val="nil"/>
              <w:left w:val="nil"/>
              <w:bottom w:val="single" w:color="auto" w:sz="4" w:space="0"/>
              <w:right w:val="single" w:color="auto" w:sz="4" w:space="0"/>
            </w:tcBorders>
            <w:shd w:val="clear" w:color="auto" w:fill="FFFFFF"/>
            <w:noWrap w:val="0"/>
            <w:vAlign w:val="top"/>
          </w:tcPr>
          <w:p>
            <w:pPr>
              <w:widowControl/>
              <w:spacing w:line="320" w:lineRule="exact"/>
              <w:rPr>
                <w:color w:val="auto"/>
                <w:kern w:val="0"/>
              </w:rPr>
            </w:pPr>
          </w:p>
        </w:tc>
      </w:tr>
      <w:tr>
        <w:tblPrEx>
          <w:tblCellMar>
            <w:top w:w="0" w:type="dxa"/>
            <w:left w:w="108" w:type="dxa"/>
            <w:bottom w:w="0" w:type="dxa"/>
            <w:right w:w="108" w:type="dxa"/>
          </w:tblCellMar>
        </w:tblPrEx>
        <w:trPr>
          <w:trHeight w:val="8132" w:hRule="atLeast"/>
        </w:trPr>
        <w:tc>
          <w:tcPr>
            <w:tcW w:w="538"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color w:val="auto"/>
                <w:kern w:val="0"/>
              </w:rPr>
            </w:pPr>
            <w:r>
              <w:rPr>
                <w:color w:val="auto"/>
                <w:kern w:val="0"/>
              </w:rPr>
              <w:t>17</w:t>
            </w:r>
          </w:p>
        </w:tc>
        <w:tc>
          <w:tcPr>
            <w:tcW w:w="679" w:type="dxa"/>
            <w:tcBorders>
              <w:top w:val="nil"/>
              <w:left w:val="nil"/>
              <w:bottom w:val="single" w:color="auto" w:sz="4" w:space="0"/>
              <w:right w:val="single" w:color="auto" w:sz="4" w:space="0"/>
            </w:tcBorders>
            <w:shd w:val="clear" w:color="auto" w:fill="auto"/>
            <w:noWrap w:val="0"/>
            <w:vAlign w:val="center"/>
          </w:tcPr>
          <w:p>
            <w:pPr>
              <w:widowControl/>
              <w:spacing w:line="320" w:lineRule="exact"/>
              <w:jc w:val="center"/>
              <w:rPr>
                <w:rFonts w:hint="eastAsia" w:eastAsia="宋体"/>
                <w:color w:val="auto"/>
                <w:kern w:val="0"/>
                <w:lang w:eastAsia="zh-CN"/>
              </w:rPr>
            </w:pPr>
            <w:r>
              <w:rPr>
                <w:rFonts w:hint="eastAsia"/>
                <w:color w:val="auto"/>
                <w:kern w:val="0"/>
              </w:rPr>
              <w:t>其他</w:t>
            </w:r>
          </w:p>
          <w:p>
            <w:pPr>
              <w:widowControl/>
              <w:spacing w:line="320" w:lineRule="exact"/>
              <w:jc w:val="center"/>
              <w:rPr>
                <w:color w:val="auto"/>
                <w:kern w:val="0"/>
              </w:rPr>
            </w:pPr>
            <w:r>
              <w:rPr>
                <w:rFonts w:hint="eastAsia"/>
                <w:color w:val="auto"/>
                <w:kern w:val="0"/>
              </w:rPr>
              <w:t>权力</w:t>
            </w:r>
          </w:p>
        </w:tc>
        <w:tc>
          <w:tcPr>
            <w:tcW w:w="1064" w:type="dxa"/>
            <w:tcBorders>
              <w:top w:val="nil"/>
              <w:left w:val="nil"/>
              <w:bottom w:val="single" w:color="auto" w:sz="4" w:space="0"/>
              <w:right w:val="single" w:color="auto" w:sz="4" w:space="0"/>
            </w:tcBorders>
            <w:shd w:val="clear" w:color="auto" w:fill="FFFFFF"/>
            <w:noWrap w:val="0"/>
            <w:vAlign w:val="center"/>
          </w:tcPr>
          <w:p>
            <w:pPr>
              <w:widowControl/>
              <w:spacing w:line="320" w:lineRule="exact"/>
              <w:rPr>
                <w:color w:val="auto"/>
                <w:kern w:val="0"/>
              </w:rPr>
            </w:pPr>
            <w:r>
              <w:rPr>
                <w:rFonts w:hint="eastAsia"/>
                <w:color w:val="auto"/>
                <w:kern w:val="0"/>
              </w:rPr>
              <w:t>孤儿基本生活费审核转报</w:t>
            </w:r>
          </w:p>
        </w:tc>
        <w:tc>
          <w:tcPr>
            <w:tcW w:w="5702" w:type="dxa"/>
            <w:tcBorders>
              <w:top w:val="nil"/>
              <w:left w:val="nil"/>
              <w:bottom w:val="single" w:color="auto" w:sz="4" w:space="0"/>
              <w:right w:val="single" w:color="auto" w:sz="4" w:space="0"/>
            </w:tcBorders>
            <w:shd w:val="clear" w:color="auto" w:fill="FFFFFF"/>
            <w:noWrap w:val="0"/>
            <w:vAlign w:val="center"/>
          </w:tcPr>
          <w:p>
            <w:pPr>
              <w:widowControl/>
              <w:spacing w:line="320" w:lineRule="exact"/>
              <w:rPr>
                <w:color w:val="auto"/>
                <w:kern w:val="0"/>
              </w:rPr>
            </w:pPr>
            <w:r>
              <w:rPr>
                <w:rFonts w:hint="eastAsia"/>
                <w:color w:val="auto"/>
                <w:kern w:val="0"/>
              </w:rPr>
              <w:t>《民政部财政部关于发放孤儿基本生活费的通知》（民发〔</w:t>
            </w:r>
            <w:r>
              <w:rPr>
                <w:color w:val="auto"/>
                <w:kern w:val="0"/>
              </w:rPr>
              <w:t>2010</w:t>
            </w:r>
            <w:r>
              <w:rPr>
                <w:rFonts w:hint="eastAsia"/>
                <w:color w:val="auto"/>
                <w:kern w:val="0"/>
              </w:rPr>
              <w:t>〕</w:t>
            </w:r>
            <w:r>
              <w:rPr>
                <w:color w:val="auto"/>
                <w:kern w:val="0"/>
              </w:rPr>
              <w:t>161</w:t>
            </w:r>
            <w:r>
              <w:rPr>
                <w:rFonts w:hint="eastAsia"/>
                <w:color w:val="auto"/>
                <w:kern w:val="0"/>
              </w:rPr>
              <w:t>号）：四、严格规范发放程序。孤儿基本生活费的管理既要严格规范，又要考虑到孤儿养育的特点和城乡实际，因地制宜，采取合理可行的办法和程序。（一）申请、审核和审批。社会散居孤儿申请孤儿基本生活费，由孤儿监护人向孤儿户籍所在地的街道办事处或乡（镇）人民政府提出申请，申请时应出具孤儿父母死亡证明或人民法院宣告孤儿父母死亡或失踪的证明。街道办事处或乡（镇）人民政府对申请人和孤儿情况进行核实并提出初步意见，上报县级人民政府民政部门审批。县级人民政府民政部门要认真审核申请材料，提出核定、审批意见。为保护孤儿的隐私，应避免以公示的方式核实了解情况。福利机构孤儿的基本生活费，由福利机构负责汇总孤儿信息并向所属民政部门提出申请，由所属民政部门审批。省级民政部门会同财政部门，于每年</w:t>
            </w:r>
            <w:r>
              <w:rPr>
                <w:color w:val="auto"/>
                <w:kern w:val="0"/>
              </w:rPr>
              <w:t>3</w:t>
            </w:r>
            <w:r>
              <w:rPr>
                <w:rFonts w:hint="eastAsia"/>
                <w:color w:val="auto"/>
                <w:kern w:val="0"/>
              </w:rPr>
              <w:t>月底之前，将本地区截止上一年底的孤儿人数、保障标准、资金安排情况联合上报民政部、财政部。</w:t>
            </w:r>
          </w:p>
        </w:tc>
        <w:tc>
          <w:tcPr>
            <w:tcW w:w="2625" w:type="dxa"/>
            <w:tcBorders>
              <w:top w:val="nil"/>
              <w:left w:val="nil"/>
              <w:bottom w:val="single" w:color="auto" w:sz="4" w:space="0"/>
              <w:right w:val="single" w:color="auto" w:sz="4" w:space="0"/>
            </w:tcBorders>
            <w:shd w:val="clear" w:color="auto" w:fill="FFFFFF"/>
            <w:noWrap w:val="0"/>
            <w:vAlign w:val="center"/>
          </w:tcPr>
          <w:p>
            <w:pPr>
              <w:widowControl/>
              <w:spacing w:line="320" w:lineRule="exact"/>
              <w:rPr>
                <w:rFonts w:hint="eastAsia"/>
                <w:color w:val="auto"/>
                <w:kern w:val="0"/>
              </w:rPr>
            </w:pPr>
            <w:r>
              <w:rPr>
                <w:rFonts w:hint="eastAsia"/>
                <w:color w:val="auto"/>
                <w:kern w:val="0"/>
              </w:rPr>
              <w:t>民政部门审核申请材料，提出核定、审批意见。为保护孤儿的隐私，应避免以公示的方式核实了解情况。</w:t>
            </w:r>
          </w:p>
          <w:p>
            <w:pPr>
              <w:widowControl/>
              <w:spacing w:line="320" w:lineRule="exact"/>
              <w:rPr>
                <w:color w:val="auto"/>
                <w:kern w:val="0"/>
              </w:rPr>
            </w:pPr>
            <w:r>
              <w:rPr>
                <w:rFonts w:hint="eastAsia"/>
                <w:color w:val="auto"/>
                <w:kern w:val="0"/>
              </w:rPr>
              <w:t>财政部门根据同级民政部门提出的支付申请，将孤儿基本生活费直接拨付到孤儿或其监护人个人账户或福利机构集体账户。</w:t>
            </w:r>
          </w:p>
        </w:tc>
        <w:tc>
          <w:tcPr>
            <w:tcW w:w="2693" w:type="dxa"/>
            <w:tcBorders>
              <w:top w:val="nil"/>
              <w:left w:val="nil"/>
              <w:bottom w:val="single" w:color="auto" w:sz="4" w:space="0"/>
              <w:right w:val="single" w:color="auto" w:sz="4" w:space="0"/>
            </w:tcBorders>
            <w:shd w:val="clear" w:color="auto" w:fill="FFFFFF"/>
            <w:noWrap w:val="0"/>
            <w:vAlign w:val="center"/>
          </w:tcPr>
          <w:p>
            <w:pPr>
              <w:widowControl/>
              <w:spacing w:line="320" w:lineRule="exact"/>
              <w:rPr>
                <w:color w:val="auto"/>
                <w:kern w:val="0"/>
              </w:rPr>
            </w:pPr>
            <w:r>
              <w:rPr>
                <w:rFonts w:hint="eastAsia"/>
                <w:color w:val="auto"/>
                <w:kern w:val="0"/>
              </w:rPr>
              <w:t>负责孤儿基本生活费审核工作，对申请人和孤儿情况进行核实并提出初步意见，上报县级民政部门审批。为保护孤儿的隐私，应避免以公示的方式核实了解情况。</w:t>
            </w:r>
          </w:p>
        </w:tc>
        <w:tc>
          <w:tcPr>
            <w:tcW w:w="851" w:type="dxa"/>
            <w:tcBorders>
              <w:top w:val="nil"/>
              <w:left w:val="nil"/>
              <w:bottom w:val="single" w:color="auto" w:sz="4" w:space="0"/>
              <w:right w:val="single" w:color="auto" w:sz="4" w:space="0"/>
            </w:tcBorders>
            <w:shd w:val="clear" w:color="auto" w:fill="FFFFFF"/>
            <w:noWrap w:val="0"/>
            <w:vAlign w:val="top"/>
          </w:tcPr>
          <w:p>
            <w:pPr>
              <w:widowControl/>
              <w:spacing w:line="320" w:lineRule="exact"/>
              <w:rPr>
                <w:color w:val="auto"/>
                <w:kern w:val="0"/>
              </w:rPr>
            </w:pPr>
          </w:p>
        </w:tc>
      </w:tr>
      <w:tr>
        <w:tblPrEx>
          <w:tblCellMar>
            <w:top w:w="0" w:type="dxa"/>
            <w:left w:w="108" w:type="dxa"/>
            <w:bottom w:w="0" w:type="dxa"/>
            <w:right w:w="108" w:type="dxa"/>
          </w:tblCellMar>
        </w:tblPrEx>
        <w:trPr>
          <w:trHeight w:val="4780" w:hRule="atLeast"/>
        </w:trPr>
        <w:tc>
          <w:tcPr>
            <w:tcW w:w="538"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rPr>
                <w:color w:val="auto"/>
                <w:kern w:val="0"/>
              </w:rPr>
            </w:pPr>
            <w:r>
              <w:rPr>
                <w:color w:val="auto"/>
                <w:kern w:val="0"/>
              </w:rPr>
              <w:t>18</w:t>
            </w:r>
          </w:p>
        </w:tc>
        <w:tc>
          <w:tcPr>
            <w:tcW w:w="679" w:type="dxa"/>
            <w:tcBorders>
              <w:top w:val="nil"/>
              <w:left w:val="nil"/>
              <w:bottom w:val="single" w:color="auto" w:sz="4" w:space="0"/>
              <w:right w:val="single" w:color="auto" w:sz="4" w:space="0"/>
            </w:tcBorders>
            <w:noWrap w:val="0"/>
            <w:vAlign w:val="center"/>
          </w:tcPr>
          <w:p>
            <w:pPr>
              <w:widowControl/>
              <w:spacing w:line="320" w:lineRule="exact"/>
              <w:jc w:val="center"/>
              <w:rPr>
                <w:rFonts w:hint="eastAsia" w:eastAsia="宋体"/>
                <w:color w:val="auto"/>
                <w:kern w:val="0"/>
                <w:lang w:eastAsia="zh-CN"/>
              </w:rPr>
            </w:pPr>
            <w:r>
              <w:rPr>
                <w:rFonts w:hint="eastAsia"/>
                <w:color w:val="auto"/>
                <w:kern w:val="0"/>
              </w:rPr>
              <w:t>其他</w:t>
            </w:r>
          </w:p>
          <w:p>
            <w:pPr>
              <w:widowControl/>
              <w:spacing w:line="320" w:lineRule="exact"/>
              <w:jc w:val="center"/>
              <w:rPr>
                <w:color w:val="auto"/>
                <w:kern w:val="0"/>
              </w:rPr>
            </w:pPr>
            <w:r>
              <w:rPr>
                <w:rFonts w:hint="eastAsia"/>
                <w:color w:val="auto"/>
                <w:kern w:val="0"/>
              </w:rPr>
              <w:t>权力</w:t>
            </w:r>
          </w:p>
        </w:tc>
        <w:tc>
          <w:tcPr>
            <w:tcW w:w="1064" w:type="dxa"/>
            <w:tcBorders>
              <w:top w:val="nil"/>
              <w:left w:val="nil"/>
              <w:bottom w:val="single" w:color="auto" w:sz="4" w:space="0"/>
              <w:right w:val="single" w:color="auto" w:sz="4" w:space="0"/>
            </w:tcBorders>
            <w:noWrap w:val="0"/>
            <w:vAlign w:val="center"/>
          </w:tcPr>
          <w:p>
            <w:pPr>
              <w:widowControl/>
              <w:spacing w:line="320" w:lineRule="exact"/>
              <w:rPr>
                <w:color w:val="auto"/>
                <w:kern w:val="0"/>
              </w:rPr>
            </w:pPr>
            <w:r>
              <w:rPr>
                <w:rFonts w:hint="eastAsia"/>
                <w:color w:val="auto"/>
                <w:kern w:val="0"/>
              </w:rPr>
              <w:t>自然灾害生活救助对象审核转报</w:t>
            </w:r>
          </w:p>
        </w:tc>
        <w:tc>
          <w:tcPr>
            <w:tcW w:w="5702" w:type="dxa"/>
            <w:tcBorders>
              <w:top w:val="nil"/>
              <w:left w:val="nil"/>
              <w:bottom w:val="single" w:color="auto" w:sz="4" w:space="0"/>
              <w:right w:val="single" w:color="auto" w:sz="4" w:space="0"/>
            </w:tcBorders>
            <w:noWrap w:val="0"/>
            <w:vAlign w:val="center"/>
          </w:tcPr>
          <w:p>
            <w:pPr>
              <w:widowControl/>
              <w:spacing w:line="320" w:lineRule="exact"/>
              <w:rPr>
                <w:rFonts w:hint="eastAsia" w:eastAsia="宋体"/>
                <w:color w:val="auto"/>
                <w:kern w:val="0"/>
                <w:lang w:eastAsia="zh-CN"/>
              </w:rPr>
            </w:pPr>
            <w:r>
              <w:rPr>
                <w:color w:val="auto"/>
                <w:kern w:val="0"/>
              </w:rPr>
              <w:t>1.</w:t>
            </w:r>
            <w:r>
              <w:rPr>
                <w:rFonts w:hint="eastAsia"/>
                <w:color w:val="auto"/>
                <w:kern w:val="0"/>
              </w:rPr>
              <w:t>《社会救助暂行办法》第二十条：国家建立健全自然灾害救助制度，对基本生活受到自然灾害严重影响的人员，提供生活救助。自然灾害救助实行属地管理，分级负责。</w:t>
            </w:r>
          </w:p>
          <w:p>
            <w:pPr>
              <w:widowControl/>
              <w:spacing w:line="320" w:lineRule="exact"/>
              <w:rPr>
                <w:color w:val="auto"/>
                <w:kern w:val="0"/>
              </w:rPr>
            </w:pPr>
            <w:r>
              <w:rPr>
                <w:color w:val="auto"/>
                <w:kern w:val="0"/>
              </w:rPr>
              <w:t>2.</w:t>
            </w:r>
            <w:r>
              <w:rPr>
                <w:rFonts w:hint="eastAsia"/>
                <w:color w:val="auto"/>
                <w:kern w:val="0"/>
              </w:rPr>
              <w:t>《安徽省自然灾害救灾资金管理实施细则》（皖财建〔</w:t>
            </w:r>
            <w:r>
              <w:rPr>
                <w:color w:val="auto"/>
                <w:kern w:val="0"/>
              </w:rPr>
              <w:t>2020</w:t>
            </w:r>
            <w:r>
              <w:rPr>
                <w:rFonts w:hint="eastAsia"/>
                <w:color w:val="auto"/>
                <w:kern w:val="0"/>
              </w:rPr>
              <w:t>〕</w:t>
            </w:r>
            <w:r>
              <w:rPr>
                <w:color w:val="auto"/>
                <w:kern w:val="0"/>
              </w:rPr>
              <w:t>948</w:t>
            </w:r>
            <w:r>
              <w:rPr>
                <w:rFonts w:hint="eastAsia"/>
                <w:color w:val="auto"/>
                <w:kern w:val="0"/>
              </w:rPr>
              <w:t>号）第八条：受灾群众生活救助补助资金（含冬春临时生活困难救助）要严格按照民主评议、登记造册、张榜公布、公开发放的工作规程，通过</w:t>
            </w:r>
            <w:r>
              <w:rPr>
                <w:color w:val="auto"/>
                <w:kern w:val="0"/>
              </w:rPr>
              <w:t>“</w:t>
            </w:r>
            <w:r>
              <w:rPr>
                <w:rFonts w:hint="eastAsia"/>
                <w:color w:val="auto"/>
                <w:kern w:val="0"/>
              </w:rPr>
              <w:t>户报、村评、乡审、县定</w:t>
            </w:r>
            <w:r>
              <w:rPr>
                <w:color w:val="auto"/>
                <w:kern w:val="0"/>
              </w:rPr>
              <w:t>”</w:t>
            </w:r>
            <w:r>
              <w:rPr>
                <w:rFonts w:hint="eastAsia"/>
                <w:color w:val="auto"/>
                <w:kern w:val="0"/>
              </w:rPr>
              <w:t>公开公平公正确定救助补助对象，采取现金救助方式的，应纳入</w:t>
            </w:r>
            <w:r>
              <w:rPr>
                <w:color w:val="auto"/>
                <w:kern w:val="0"/>
              </w:rPr>
              <w:t>“</w:t>
            </w:r>
            <w:r>
              <w:rPr>
                <w:rFonts w:hint="eastAsia"/>
                <w:color w:val="auto"/>
                <w:kern w:val="0"/>
              </w:rPr>
              <w:t>一卡通</w:t>
            </w:r>
            <w:r>
              <w:rPr>
                <w:color w:val="auto"/>
                <w:kern w:val="0"/>
              </w:rPr>
              <w:t>”</w:t>
            </w:r>
            <w:r>
              <w:rPr>
                <w:rFonts w:hint="eastAsia"/>
                <w:color w:val="auto"/>
                <w:kern w:val="0"/>
              </w:rPr>
              <w:t>发放范围；采取实物救助方式的，要规范采购程序，确保安全卫生、及时高效、公正有序地发放到群众手中。</w:t>
            </w:r>
          </w:p>
        </w:tc>
        <w:tc>
          <w:tcPr>
            <w:tcW w:w="2625" w:type="dxa"/>
            <w:tcBorders>
              <w:top w:val="nil"/>
              <w:left w:val="nil"/>
              <w:bottom w:val="single" w:color="auto" w:sz="4" w:space="0"/>
              <w:right w:val="single" w:color="auto" w:sz="4" w:space="0"/>
            </w:tcBorders>
            <w:noWrap w:val="0"/>
            <w:vAlign w:val="center"/>
          </w:tcPr>
          <w:p>
            <w:pPr>
              <w:widowControl/>
              <w:spacing w:line="320" w:lineRule="exact"/>
              <w:rPr>
                <w:color w:val="auto"/>
                <w:kern w:val="0"/>
              </w:rPr>
            </w:pPr>
            <w:r>
              <w:rPr>
                <w:rFonts w:hint="eastAsia"/>
                <w:color w:val="auto"/>
                <w:kern w:val="0"/>
              </w:rPr>
              <w:t>财政部门负责救灾资金预算管理，依法下达预算；应急管理部门负责对自然灾害救助对象进行审核，规范救灾资金和救助款物的使用管理，严格按照民主评议、登记造册、张榜公布、公开发放的工作规程，通过</w:t>
            </w:r>
            <w:r>
              <w:rPr>
                <w:color w:val="auto"/>
                <w:kern w:val="0"/>
              </w:rPr>
              <w:t>“</w:t>
            </w:r>
            <w:r>
              <w:rPr>
                <w:rFonts w:hint="eastAsia"/>
                <w:color w:val="auto"/>
                <w:kern w:val="0"/>
              </w:rPr>
              <w:t>户报、村评、乡审、县定</w:t>
            </w:r>
            <w:r>
              <w:rPr>
                <w:color w:val="auto"/>
                <w:kern w:val="0"/>
              </w:rPr>
              <w:t>”</w:t>
            </w:r>
            <w:r>
              <w:rPr>
                <w:rFonts w:hint="eastAsia"/>
                <w:color w:val="auto"/>
                <w:kern w:val="0"/>
              </w:rPr>
              <w:t>四个步骤确定救助对象。</w:t>
            </w:r>
          </w:p>
        </w:tc>
        <w:tc>
          <w:tcPr>
            <w:tcW w:w="2693" w:type="dxa"/>
            <w:tcBorders>
              <w:top w:val="nil"/>
              <w:left w:val="nil"/>
              <w:bottom w:val="single" w:color="auto" w:sz="4" w:space="0"/>
              <w:right w:val="single" w:color="auto" w:sz="4" w:space="0"/>
            </w:tcBorders>
            <w:noWrap w:val="0"/>
            <w:vAlign w:val="center"/>
          </w:tcPr>
          <w:p>
            <w:pPr>
              <w:widowControl/>
              <w:spacing w:line="320" w:lineRule="exact"/>
              <w:rPr>
                <w:color w:val="auto"/>
                <w:kern w:val="0"/>
              </w:rPr>
            </w:pPr>
            <w:r>
              <w:rPr>
                <w:rFonts w:hint="eastAsia"/>
                <w:color w:val="auto"/>
                <w:kern w:val="0"/>
              </w:rPr>
              <w:t>负责对村（社区）报送的评议意见及相关材料进行初审。</w:t>
            </w:r>
          </w:p>
        </w:tc>
        <w:tc>
          <w:tcPr>
            <w:tcW w:w="851" w:type="dxa"/>
            <w:tcBorders>
              <w:top w:val="nil"/>
              <w:left w:val="nil"/>
              <w:bottom w:val="single" w:color="auto" w:sz="4" w:space="0"/>
              <w:right w:val="single" w:color="auto" w:sz="4" w:space="0"/>
            </w:tcBorders>
            <w:noWrap w:val="0"/>
            <w:vAlign w:val="top"/>
          </w:tcPr>
          <w:p>
            <w:pPr>
              <w:widowControl/>
              <w:spacing w:line="320" w:lineRule="exact"/>
              <w:rPr>
                <w:color w:val="auto"/>
                <w:kern w:val="0"/>
              </w:rPr>
            </w:pPr>
          </w:p>
        </w:tc>
      </w:tr>
      <w:tr>
        <w:tblPrEx>
          <w:tblCellMar>
            <w:top w:w="0" w:type="dxa"/>
            <w:left w:w="108" w:type="dxa"/>
            <w:bottom w:w="0" w:type="dxa"/>
            <w:right w:w="108" w:type="dxa"/>
          </w:tblCellMar>
        </w:tblPrEx>
        <w:trPr>
          <w:trHeight w:val="3106" w:hRule="atLeast"/>
        </w:trPr>
        <w:tc>
          <w:tcPr>
            <w:tcW w:w="538"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rPr>
                <w:color w:val="auto"/>
                <w:kern w:val="0"/>
              </w:rPr>
            </w:pPr>
            <w:r>
              <w:rPr>
                <w:color w:val="auto"/>
                <w:kern w:val="0"/>
              </w:rPr>
              <w:t>19</w:t>
            </w:r>
          </w:p>
        </w:tc>
        <w:tc>
          <w:tcPr>
            <w:tcW w:w="679" w:type="dxa"/>
            <w:tcBorders>
              <w:top w:val="nil"/>
              <w:left w:val="nil"/>
              <w:bottom w:val="single" w:color="auto" w:sz="4" w:space="0"/>
              <w:right w:val="single" w:color="auto" w:sz="4" w:space="0"/>
            </w:tcBorders>
            <w:noWrap w:val="0"/>
            <w:vAlign w:val="center"/>
          </w:tcPr>
          <w:p>
            <w:pPr>
              <w:widowControl/>
              <w:spacing w:line="320" w:lineRule="exact"/>
              <w:jc w:val="center"/>
              <w:rPr>
                <w:rFonts w:hint="eastAsia" w:eastAsia="宋体"/>
                <w:color w:val="auto"/>
                <w:kern w:val="0"/>
                <w:lang w:eastAsia="zh-CN"/>
              </w:rPr>
            </w:pPr>
            <w:r>
              <w:rPr>
                <w:rFonts w:hint="eastAsia"/>
                <w:color w:val="auto"/>
                <w:kern w:val="0"/>
              </w:rPr>
              <w:t>其他</w:t>
            </w:r>
          </w:p>
          <w:p>
            <w:pPr>
              <w:widowControl/>
              <w:spacing w:line="320" w:lineRule="exact"/>
              <w:jc w:val="center"/>
              <w:rPr>
                <w:color w:val="auto"/>
                <w:kern w:val="0"/>
              </w:rPr>
            </w:pPr>
            <w:r>
              <w:rPr>
                <w:rFonts w:hint="eastAsia"/>
                <w:color w:val="auto"/>
                <w:kern w:val="0"/>
              </w:rPr>
              <w:t>权力</w:t>
            </w:r>
          </w:p>
        </w:tc>
        <w:tc>
          <w:tcPr>
            <w:tcW w:w="1064" w:type="dxa"/>
            <w:tcBorders>
              <w:top w:val="nil"/>
              <w:left w:val="nil"/>
              <w:bottom w:val="single" w:color="auto" w:sz="4" w:space="0"/>
              <w:right w:val="single" w:color="auto" w:sz="4" w:space="0"/>
            </w:tcBorders>
            <w:noWrap w:val="0"/>
            <w:vAlign w:val="center"/>
          </w:tcPr>
          <w:p>
            <w:pPr>
              <w:widowControl/>
              <w:spacing w:line="320" w:lineRule="exact"/>
              <w:rPr>
                <w:color w:val="auto"/>
                <w:kern w:val="0"/>
              </w:rPr>
            </w:pPr>
            <w:r>
              <w:rPr>
                <w:rFonts w:hint="eastAsia"/>
                <w:color w:val="auto"/>
                <w:kern w:val="0"/>
              </w:rPr>
              <w:t>农村为村民设置公益性墓地的审核转报</w:t>
            </w:r>
          </w:p>
        </w:tc>
        <w:tc>
          <w:tcPr>
            <w:tcW w:w="5702" w:type="dxa"/>
            <w:tcBorders>
              <w:top w:val="nil"/>
              <w:left w:val="nil"/>
              <w:bottom w:val="single" w:color="auto" w:sz="4" w:space="0"/>
              <w:right w:val="single" w:color="auto" w:sz="4" w:space="0"/>
            </w:tcBorders>
            <w:noWrap w:val="0"/>
            <w:vAlign w:val="center"/>
          </w:tcPr>
          <w:p>
            <w:pPr>
              <w:widowControl/>
              <w:spacing w:line="320" w:lineRule="exact"/>
              <w:rPr>
                <w:color w:val="auto"/>
                <w:kern w:val="0"/>
              </w:rPr>
            </w:pPr>
            <w:r>
              <w:rPr>
                <w:rFonts w:hint="eastAsia"/>
                <w:color w:val="auto"/>
                <w:kern w:val="0"/>
              </w:rPr>
              <w:t>《殡葬管理条例》第八条：农村为村民设置公益性墓地，经乡级人民政府审核同意后，报县级人民政府民政部门审批。</w:t>
            </w:r>
          </w:p>
        </w:tc>
        <w:tc>
          <w:tcPr>
            <w:tcW w:w="2625" w:type="dxa"/>
            <w:tcBorders>
              <w:top w:val="nil"/>
              <w:left w:val="nil"/>
              <w:bottom w:val="single" w:color="auto" w:sz="4" w:space="0"/>
              <w:right w:val="single" w:color="auto" w:sz="4" w:space="0"/>
            </w:tcBorders>
            <w:noWrap w:val="0"/>
            <w:vAlign w:val="center"/>
          </w:tcPr>
          <w:p>
            <w:pPr>
              <w:widowControl/>
              <w:spacing w:line="320" w:lineRule="exact"/>
              <w:rPr>
                <w:color w:val="auto"/>
                <w:kern w:val="0"/>
              </w:rPr>
            </w:pPr>
            <w:r>
              <w:rPr>
                <w:rFonts w:hint="eastAsia"/>
                <w:color w:val="auto"/>
                <w:kern w:val="0"/>
              </w:rPr>
              <w:t>民政部门对乡级人民政府的审核意见进行审批。</w:t>
            </w:r>
          </w:p>
        </w:tc>
        <w:tc>
          <w:tcPr>
            <w:tcW w:w="2693" w:type="dxa"/>
            <w:tcBorders>
              <w:top w:val="nil"/>
              <w:left w:val="nil"/>
              <w:bottom w:val="single" w:color="auto" w:sz="4" w:space="0"/>
              <w:right w:val="single" w:color="auto" w:sz="4" w:space="0"/>
            </w:tcBorders>
            <w:noWrap w:val="0"/>
            <w:vAlign w:val="center"/>
          </w:tcPr>
          <w:p>
            <w:pPr>
              <w:widowControl/>
              <w:spacing w:line="320" w:lineRule="exact"/>
              <w:rPr>
                <w:color w:val="auto"/>
                <w:kern w:val="0"/>
              </w:rPr>
            </w:pPr>
            <w:r>
              <w:rPr>
                <w:rFonts w:hint="eastAsia"/>
                <w:color w:val="auto"/>
                <w:kern w:val="0"/>
              </w:rPr>
              <w:t>对村民设置公益性墓地申请进行审核，审核同意后上报县级人民政府民政部门。</w:t>
            </w:r>
          </w:p>
        </w:tc>
        <w:tc>
          <w:tcPr>
            <w:tcW w:w="851" w:type="dxa"/>
            <w:tcBorders>
              <w:top w:val="nil"/>
              <w:left w:val="nil"/>
              <w:bottom w:val="single" w:color="auto" w:sz="4" w:space="0"/>
              <w:right w:val="single" w:color="auto" w:sz="4" w:space="0"/>
            </w:tcBorders>
            <w:noWrap w:val="0"/>
            <w:vAlign w:val="center"/>
          </w:tcPr>
          <w:p>
            <w:pPr>
              <w:widowControl/>
              <w:spacing w:line="320" w:lineRule="exact"/>
              <w:jc w:val="center"/>
              <w:rPr>
                <w:rFonts w:hint="eastAsia" w:eastAsia="宋体"/>
                <w:color w:val="auto"/>
                <w:kern w:val="0"/>
                <w:lang w:eastAsia="zh-CN"/>
              </w:rPr>
            </w:pPr>
            <w:r>
              <w:rPr>
                <w:rFonts w:hint="eastAsia"/>
                <w:color w:val="auto"/>
                <w:kern w:val="0"/>
                <w:lang w:eastAsia="zh-CN"/>
              </w:rPr>
              <w:t>仅限</w:t>
            </w:r>
            <w:r>
              <w:rPr>
                <w:rFonts w:hint="eastAsia"/>
                <w:color w:val="auto"/>
                <w:kern w:val="0"/>
                <w:lang w:val="en-US" w:eastAsia="zh-CN"/>
              </w:rPr>
              <w:t>新庄</w:t>
            </w:r>
            <w:r>
              <w:rPr>
                <w:rFonts w:hint="eastAsia"/>
                <w:color w:val="auto"/>
                <w:kern w:val="0"/>
                <w:lang w:eastAsia="zh-CN"/>
              </w:rPr>
              <w:t>镇人民政府</w:t>
            </w:r>
            <w:bookmarkStart w:id="4" w:name="_GoBack"/>
            <w:bookmarkEnd w:id="4"/>
          </w:p>
        </w:tc>
      </w:tr>
      <w:tr>
        <w:tblPrEx>
          <w:tblCellMar>
            <w:top w:w="0" w:type="dxa"/>
            <w:left w:w="108" w:type="dxa"/>
            <w:bottom w:w="0" w:type="dxa"/>
            <w:right w:w="108" w:type="dxa"/>
          </w:tblCellMar>
        </w:tblPrEx>
        <w:trPr>
          <w:trHeight w:val="3997" w:hRule="atLeast"/>
        </w:trPr>
        <w:tc>
          <w:tcPr>
            <w:tcW w:w="538"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rPr>
                <w:color w:val="auto"/>
                <w:kern w:val="0"/>
              </w:rPr>
            </w:pPr>
            <w:r>
              <w:rPr>
                <w:color w:val="auto"/>
                <w:kern w:val="0"/>
              </w:rPr>
              <w:t>20</w:t>
            </w:r>
          </w:p>
        </w:tc>
        <w:tc>
          <w:tcPr>
            <w:tcW w:w="679" w:type="dxa"/>
            <w:tcBorders>
              <w:top w:val="nil"/>
              <w:left w:val="nil"/>
              <w:bottom w:val="single" w:color="auto" w:sz="4" w:space="0"/>
              <w:right w:val="single" w:color="auto" w:sz="4" w:space="0"/>
            </w:tcBorders>
            <w:noWrap w:val="0"/>
            <w:vAlign w:val="center"/>
          </w:tcPr>
          <w:p>
            <w:pPr>
              <w:widowControl/>
              <w:spacing w:line="320" w:lineRule="exact"/>
              <w:jc w:val="center"/>
              <w:rPr>
                <w:rFonts w:hint="eastAsia" w:eastAsia="宋体"/>
                <w:color w:val="auto"/>
                <w:kern w:val="0"/>
                <w:lang w:eastAsia="zh-CN"/>
              </w:rPr>
            </w:pPr>
            <w:r>
              <w:rPr>
                <w:rFonts w:hint="eastAsia"/>
                <w:color w:val="auto"/>
                <w:kern w:val="0"/>
              </w:rPr>
              <w:t>其他</w:t>
            </w:r>
          </w:p>
          <w:p>
            <w:pPr>
              <w:widowControl/>
              <w:spacing w:line="320" w:lineRule="exact"/>
              <w:jc w:val="center"/>
              <w:rPr>
                <w:color w:val="auto"/>
                <w:kern w:val="0"/>
              </w:rPr>
            </w:pPr>
            <w:r>
              <w:rPr>
                <w:rFonts w:hint="eastAsia"/>
                <w:color w:val="auto"/>
                <w:kern w:val="0"/>
              </w:rPr>
              <w:t>权力</w:t>
            </w:r>
          </w:p>
        </w:tc>
        <w:tc>
          <w:tcPr>
            <w:tcW w:w="1064" w:type="dxa"/>
            <w:tcBorders>
              <w:top w:val="nil"/>
              <w:left w:val="nil"/>
              <w:bottom w:val="single" w:color="auto" w:sz="4" w:space="0"/>
              <w:right w:val="single" w:color="auto" w:sz="4" w:space="0"/>
            </w:tcBorders>
            <w:noWrap w:val="0"/>
            <w:vAlign w:val="center"/>
          </w:tcPr>
          <w:p>
            <w:pPr>
              <w:widowControl/>
              <w:spacing w:line="320" w:lineRule="exact"/>
              <w:rPr>
                <w:color w:val="auto"/>
                <w:kern w:val="0"/>
              </w:rPr>
            </w:pPr>
            <w:r>
              <w:rPr>
                <w:rFonts w:hint="eastAsia"/>
                <w:color w:val="auto"/>
                <w:kern w:val="0"/>
              </w:rPr>
              <w:t>辖区内有关争议及矛盾纠纷的调解</w:t>
            </w:r>
          </w:p>
        </w:tc>
        <w:tc>
          <w:tcPr>
            <w:tcW w:w="5702" w:type="dxa"/>
            <w:tcBorders>
              <w:top w:val="nil"/>
              <w:left w:val="nil"/>
              <w:bottom w:val="single" w:color="auto" w:sz="4" w:space="0"/>
              <w:right w:val="single" w:color="auto" w:sz="4" w:space="0"/>
            </w:tcBorders>
            <w:noWrap w:val="0"/>
            <w:vAlign w:val="center"/>
          </w:tcPr>
          <w:p>
            <w:pPr>
              <w:widowControl/>
              <w:spacing w:line="320" w:lineRule="exact"/>
              <w:rPr>
                <w:color w:val="auto"/>
                <w:kern w:val="0"/>
              </w:rPr>
            </w:pPr>
            <w:r>
              <w:rPr>
                <w:rFonts w:hint="eastAsia"/>
                <w:color w:val="auto"/>
                <w:kern w:val="0"/>
              </w:rPr>
              <w:t>《中华人民共和国人民调解法》第三十四条：乡镇、街道以及社会团体或者其他组织根据需要可以参照本法有关规定设立人民调解委员会，调解民间纠纷。</w:t>
            </w:r>
          </w:p>
        </w:tc>
        <w:tc>
          <w:tcPr>
            <w:tcW w:w="2625" w:type="dxa"/>
            <w:tcBorders>
              <w:top w:val="nil"/>
              <w:left w:val="nil"/>
              <w:bottom w:val="single" w:color="auto" w:sz="4" w:space="0"/>
              <w:right w:val="single" w:color="auto" w:sz="4" w:space="0"/>
            </w:tcBorders>
            <w:noWrap w:val="0"/>
            <w:vAlign w:val="center"/>
          </w:tcPr>
          <w:p>
            <w:pPr>
              <w:widowControl/>
              <w:spacing w:line="320" w:lineRule="exact"/>
              <w:rPr>
                <w:color w:val="auto"/>
                <w:kern w:val="0"/>
              </w:rPr>
            </w:pPr>
            <w:r>
              <w:rPr>
                <w:rFonts w:hint="eastAsia"/>
                <w:color w:val="auto"/>
                <w:kern w:val="0"/>
              </w:rPr>
              <w:t>司法、民政等部门按照职能分工加强业务指导，并加强相关政策法规宣传教育。</w:t>
            </w:r>
          </w:p>
        </w:tc>
        <w:tc>
          <w:tcPr>
            <w:tcW w:w="2693" w:type="dxa"/>
            <w:tcBorders>
              <w:top w:val="nil"/>
              <w:left w:val="nil"/>
              <w:bottom w:val="single" w:color="auto" w:sz="4" w:space="0"/>
              <w:right w:val="single" w:color="auto" w:sz="4" w:space="0"/>
            </w:tcBorders>
            <w:noWrap w:val="0"/>
            <w:vAlign w:val="center"/>
          </w:tcPr>
          <w:p>
            <w:pPr>
              <w:widowControl/>
              <w:spacing w:line="320" w:lineRule="exact"/>
              <w:rPr>
                <w:color w:val="auto"/>
                <w:kern w:val="0"/>
              </w:rPr>
            </w:pPr>
            <w:r>
              <w:rPr>
                <w:rFonts w:hint="eastAsia"/>
                <w:color w:val="auto"/>
                <w:kern w:val="0"/>
              </w:rPr>
              <w:t>辖区内发生农村土地承包经营纠纷及经营权流转争议、林木所有权及林地使用权争议、企业劳动争议、可能影响社会安全事件等适宜通过人民调解途径化解的纠纷时，乡镇（街道）在调查了解事实真相的基础上，经乡镇（街道）人民调解委员会依法依规调解，化解争议纠纷。</w:t>
            </w:r>
          </w:p>
        </w:tc>
        <w:tc>
          <w:tcPr>
            <w:tcW w:w="851" w:type="dxa"/>
            <w:tcBorders>
              <w:top w:val="nil"/>
              <w:left w:val="nil"/>
              <w:bottom w:val="single" w:color="auto" w:sz="4" w:space="0"/>
              <w:right w:val="single" w:color="auto" w:sz="4" w:space="0"/>
            </w:tcBorders>
            <w:noWrap w:val="0"/>
            <w:vAlign w:val="top"/>
          </w:tcPr>
          <w:p>
            <w:pPr>
              <w:widowControl/>
              <w:spacing w:line="320" w:lineRule="exact"/>
              <w:rPr>
                <w:color w:val="auto"/>
                <w:kern w:val="0"/>
              </w:rPr>
            </w:pPr>
          </w:p>
        </w:tc>
      </w:tr>
      <w:tr>
        <w:tblPrEx>
          <w:tblCellMar>
            <w:top w:w="0" w:type="dxa"/>
            <w:left w:w="108" w:type="dxa"/>
            <w:bottom w:w="0" w:type="dxa"/>
            <w:right w:w="108" w:type="dxa"/>
          </w:tblCellMar>
        </w:tblPrEx>
        <w:trPr>
          <w:trHeight w:val="3998" w:hRule="atLeast"/>
        </w:trPr>
        <w:tc>
          <w:tcPr>
            <w:tcW w:w="538"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rPr>
                <w:color w:val="auto"/>
                <w:kern w:val="0"/>
              </w:rPr>
            </w:pPr>
            <w:r>
              <w:rPr>
                <w:color w:val="auto"/>
                <w:kern w:val="0"/>
              </w:rPr>
              <w:t>21</w:t>
            </w:r>
          </w:p>
        </w:tc>
        <w:tc>
          <w:tcPr>
            <w:tcW w:w="679" w:type="dxa"/>
            <w:tcBorders>
              <w:top w:val="nil"/>
              <w:left w:val="nil"/>
              <w:bottom w:val="single" w:color="auto" w:sz="4" w:space="0"/>
              <w:right w:val="single" w:color="auto" w:sz="4" w:space="0"/>
            </w:tcBorders>
            <w:noWrap w:val="0"/>
            <w:vAlign w:val="center"/>
          </w:tcPr>
          <w:p>
            <w:pPr>
              <w:widowControl/>
              <w:spacing w:line="320" w:lineRule="exact"/>
              <w:jc w:val="center"/>
              <w:rPr>
                <w:rFonts w:hint="eastAsia" w:eastAsia="宋体"/>
                <w:color w:val="auto"/>
                <w:kern w:val="0"/>
                <w:lang w:eastAsia="zh-CN"/>
              </w:rPr>
            </w:pPr>
            <w:r>
              <w:rPr>
                <w:rFonts w:hint="eastAsia"/>
                <w:color w:val="auto"/>
                <w:kern w:val="0"/>
              </w:rPr>
              <w:t>其他</w:t>
            </w:r>
          </w:p>
          <w:p>
            <w:pPr>
              <w:widowControl/>
              <w:spacing w:line="320" w:lineRule="exact"/>
              <w:jc w:val="center"/>
              <w:rPr>
                <w:color w:val="auto"/>
                <w:kern w:val="0"/>
              </w:rPr>
            </w:pPr>
            <w:r>
              <w:rPr>
                <w:rFonts w:hint="eastAsia"/>
                <w:color w:val="auto"/>
                <w:kern w:val="0"/>
              </w:rPr>
              <w:t>权力</w:t>
            </w:r>
          </w:p>
        </w:tc>
        <w:tc>
          <w:tcPr>
            <w:tcW w:w="1064" w:type="dxa"/>
            <w:tcBorders>
              <w:top w:val="nil"/>
              <w:left w:val="nil"/>
              <w:bottom w:val="single" w:color="auto" w:sz="4" w:space="0"/>
              <w:right w:val="single" w:color="auto" w:sz="4" w:space="0"/>
            </w:tcBorders>
            <w:noWrap w:val="0"/>
            <w:vAlign w:val="center"/>
          </w:tcPr>
          <w:p>
            <w:pPr>
              <w:widowControl/>
              <w:spacing w:line="320" w:lineRule="exact"/>
              <w:rPr>
                <w:color w:val="auto"/>
                <w:kern w:val="0"/>
              </w:rPr>
            </w:pPr>
            <w:r>
              <w:rPr>
                <w:rFonts w:hint="eastAsia"/>
                <w:color w:val="auto"/>
                <w:kern w:val="0"/>
              </w:rPr>
              <w:t>公共租赁住房申请初审</w:t>
            </w:r>
          </w:p>
        </w:tc>
        <w:tc>
          <w:tcPr>
            <w:tcW w:w="5702" w:type="dxa"/>
            <w:tcBorders>
              <w:top w:val="nil"/>
              <w:left w:val="nil"/>
              <w:bottom w:val="single" w:color="auto" w:sz="4" w:space="0"/>
              <w:right w:val="single" w:color="auto" w:sz="4" w:space="0"/>
            </w:tcBorders>
            <w:noWrap w:val="0"/>
            <w:vAlign w:val="center"/>
          </w:tcPr>
          <w:p>
            <w:pPr>
              <w:widowControl/>
              <w:spacing w:line="320" w:lineRule="exact"/>
              <w:rPr>
                <w:rFonts w:hint="eastAsia" w:eastAsia="宋体"/>
                <w:color w:val="auto"/>
                <w:kern w:val="0"/>
                <w:lang w:eastAsia="zh-CN"/>
              </w:rPr>
            </w:pPr>
            <w:r>
              <w:rPr>
                <w:color w:val="auto"/>
                <w:kern w:val="0"/>
              </w:rPr>
              <w:t>1.</w:t>
            </w:r>
            <w:r>
              <w:rPr>
                <w:rFonts w:hint="eastAsia"/>
                <w:color w:val="auto"/>
                <w:kern w:val="0"/>
              </w:rPr>
              <w:t>《安徽省保障性住房建设和管理办法（试行）》第二条：本办法所称保障性住房，是为本省行政区域内城市和县人民政府所在地的镇（以下简称城镇）符合条件的住房保障对象提供的，具有保障性质的廉租住房、公共租赁住房。</w:t>
            </w:r>
          </w:p>
          <w:p>
            <w:pPr>
              <w:widowControl/>
              <w:spacing w:line="320" w:lineRule="exact"/>
              <w:rPr>
                <w:rFonts w:hint="eastAsia" w:eastAsia="宋体"/>
                <w:color w:val="auto"/>
                <w:kern w:val="0"/>
                <w:lang w:eastAsia="zh-CN"/>
              </w:rPr>
            </w:pPr>
            <w:r>
              <w:rPr>
                <w:rFonts w:hint="eastAsia"/>
                <w:color w:val="auto"/>
                <w:kern w:val="0"/>
              </w:rPr>
              <w:t>第五条：街道办事处（社区）或者镇人民政府负责辖区内保障性住房的申请受理、资格初审工作。</w:t>
            </w:r>
          </w:p>
          <w:p>
            <w:pPr>
              <w:widowControl/>
              <w:spacing w:line="320" w:lineRule="exact"/>
              <w:rPr>
                <w:color w:val="auto"/>
                <w:kern w:val="0"/>
              </w:rPr>
            </w:pPr>
            <w:r>
              <w:rPr>
                <w:color w:val="auto"/>
                <w:kern w:val="0"/>
              </w:rPr>
              <w:t>2.</w:t>
            </w:r>
            <w:r>
              <w:rPr>
                <w:rFonts w:hint="eastAsia"/>
                <w:color w:val="auto"/>
                <w:kern w:val="0"/>
              </w:rPr>
              <w:t>《住房城乡建设部财政部国家发展改革委关于公共租赁住房和廉租住房并轨运行的通知》（</w:t>
            </w:r>
            <w:r>
              <w:rPr>
                <w:color w:val="auto"/>
                <w:kern w:val="0"/>
              </w:rPr>
              <w:t xml:space="preserve"> </w:t>
            </w:r>
            <w:r>
              <w:rPr>
                <w:rFonts w:hint="eastAsia"/>
                <w:color w:val="auto"/>
                <w:kern w:val="0"/>
              </w:rPr>
              <w:t>建保〔</w:t>
            </w:r>
            <w:r>
              <w:rPr>
                <w:color w:val="auto"/>
                <w:kern w:val="0"/>
              </w:rPr>
              <w:t>2013</w:t>
            </w:r>
            <w:r>
              <w:rPr>
                <w:rFonts w:hint="eastAsia"/>
                <w:color w:val="auto"/>
                <w:kern w:val="0"/>
              </w:rPr>
              <w:t>〕</w:t>
            </w:r>
            <w:r>
              <w:rPr>
                <w:color w:val="auto"/>
                <w:kern w:val="0"/>
              </w:rPr>
              <w:t>178</w:t>
            </w:r>
            <w:r>
              <w:rPr>
                <w:rFonts w:hint="eastAsia"/>
                <w:color w:val="auto"/>
                <w:kern w:val="0"/>
              </w:rPr>
              <w:t>号）：从</w:t>
            </w:r>
            <w:r>
              <w:rPr>
                <w:color w:val="auto"/>
                <w:kern w:val="0"/>
              </w:rPr>
              <w:t>2014</w:t>
            </w:r>
            <w:r>
              <w:rPr>
                <w:rFonts w:hint="eastAsia"/>
                <w:color w:val="auto"/>
                <w:kern w:val="0"/>
              </w:rPr>
              <w:t>年起，各地公共租赁住房和廉租住房并轨运行，并轨后统称为公共租赁住房。</w:t>
            </w:r>
          </w:p>
        </w:tc>
        <w:tc>
          <w:tcPr>
            <w:tcW w:w="2625" w:type="dxa"/>
            <w:tcBorders>
              <w:top w:val="nil"/>
              <w:left w:val="nil"/>
              <w:bottom w:val="single" w:color="auto" w:sz="4" w:space="0"/>
              <w:right w:val="single" w:color="auto" w:sz="4" w:space="0"/>
            </w:tcBorders>
            <w:noWrap w:val="0"/>
            <w:vAlign w:val="center"/>
          </w:tcPr>
          <w:p>
            <w:pPr>
              <w:widowControl/>
              <w:spacing w:line="320" w:lineRule="exact"/>
              <w:rPr>
                <w:color w:val="auto"/>
                <w:kern w:val="0"/>
              </w:rPr>
            </w:pPr>
            <w:r>
              <w:rPr>
                <w:rFonts w:hint="eastAsia"/>
                <w:color w:val="auto"/>
                <w:kern w:val="0"/>
              </w:rPr>
              <w:t>住房城乡建设、民政部门按照职责分工做好审核、公示、登记等工作，对登记为住房保障对象的，书面通知申请人，并通过政府网站等媒体向社会公开。</w:t>
            </w:r>
          </w:p>
        </w:tc>
        <w:tc>
          <w:tcPr>
            <w:tcW w:w="2693" w:type="dxa"/>
            <w:tcBorders>
              <w:top w:val="nil"/>
              <w:left w:val="nil"/>
              <w:bottom w:val="single" w:color="auto" w:sz="4" w:space="0"/>
              <w:right w:val="single" w:color="auto" w:sz="4" w:space="0"/>
            </w:tcBorders>
            <w:noWrap w:val="0"/>
            <w:vAlign w:val="center"/>
          </w:tcPr>
          <w:p>
            <w:pPr>
              <w:widowControl/>
              <w:spacing w:line="320" w:lineRule="exact"/>
              <w:rPr>
                <w:color w:val="auto"/>
                <w:kern w:val="0"/>
              </w:rPr>
            </w:pPr>
            <w:r>
              <w:rPr>
                <w:rFonts w:hint="eastAsia"/>
                <w:color w:val="auto"/>
                <w:kern w:val="0"/>
              </w:rPr>
              <w:t>应当在规定时限内对申请人住房、人口、收入和财产状况提出初审意见。对符合条件的，及时公示，并将初审意见及申请材料分别报县级住房城乡建设和民政部门。</w:t>
            </w:r>
          </w:p>
        </w:tc>
        <w:tc>
          <w:tcPr>
            <w:tcW w:w="851" w:type="dxa"/>
            <w:tcBorders>
              <w:top w:val="nil"/>
              <w:left w:val="nil"/>
              <w:bottom w:val="single" w:color="auto" w:sz="4" w:space="0"/>
              <w:right w:val="single" w:color="auto" w:sz="4" w:space="0"/>
            </w:tcBorders>
            <w:noWrap w:val="0"/>
            <w:vAlign w:val="top"/>
          </w:tcPr>
          <w:p>
            <w:pPr>
              <w:widowControl/>
              <w:spacing w:line="320" w:lineRule="exact"/>
              <w:rPr>
                <w:color w:val="auto"/>
                <w:kern w:val="0"/>
              </w:rPr>
            </w:pPr>
          </w:p>
        </w:tc>
      </w:tr>
      <w:tr>
        <w:tblPrEx>
          <w:tblCellMar>
            <w:top w:w="0" w:type="dxa"/>
            <w:left w:w="108" w:type="dxa"/>
            <w:bottom w:w="0" w:type="dxa"/>
            <w:right w:w="108" w:type="dxa"/>
          </w:tblCellMar>
        </w:tblPrEx>
        <w:trPr>
          <w:trHeight w:val="8050" w:hRule="atLeast"/>
        </w:trPr>
        <w:tc>
          <w:tcPr>
            <w:tcW w:w="538"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rPr>
                <w:color w:val="auto"/>
                <w:kern w:val="0"/>
              </w:rPr>
            </w:pPr>
            <w:r>
              <w:rPr>
                <w:color w:val="auto"/>
                <w:kern w:val="0"/>
              </w:rPr>
              <w:t>22</w:t>
            </w:r>
          </w:p>
        </w:tc>
        <w:tc>
          <w:tcPr>
            <w:tcW w:w="679" w:type="dxa"/>
            <w:tcBorders>
              <w:top w:val="nil"/>
              <w:left w:val="nil"/>
              <w:bottom w:val="single" w:color="auto" w:sz="4" w:space="0"/>
              <w:right w:val="single" w:color="auto" w:sz="4" w:space="0"/>
            </w:tcBorders>
            <w:noWrap w:val="0"/>
            <w:vAlign w:val="center"/>
          </w:tcPr>
          <w:p>
            <w:pPr>
              <w:widowControl/>
              <w:spacing w:line="320" w:lineRule="exact"/>
              <w:jc w:val="center"/>
              <w:rPr>
                <w:rFonts w:hint="eastAsia" w:eastAsia="宋体"/>
                <w:color w:val="auto"/>
                <w:kern w:val="0"/>
                <w:lang w:eastAsia="zh-CN"/>
              </w:rPr>
            </w:pPr>
            <w:r>
              <w:rPr>
                <w:rFonts w:hint="eastAsia"/>
                <w:color w:val="auto"/>
                <w:kern w:val="0"/>
              </w:rPr>
              <w:t>其他</w:t>
            </w:r>
          </w:p>
          <w:p>
            <w:pPr>
              <w:widowControl/>
              <w:spacing w:line="320" w:lineRule="exact"/>
              <w:jc w:val="center"/>
              <w:rPr>
                <w:color w:val="auto"/>
                <w:kern w:val="0"/>
              </w:rPr>
            </w:pPr>
            <w:r>
              <w:rPr>
                <w:rFonts w:hint="eastAsia"/>
                <w:color w:val="auto"/>
                <w:kern w:val="0"/>
              </w:rPr>
              <w:t>权力</w:t>
            </w:r>
          </w:p>
        </w:tc>
        <w:tc>
          <w:tcPr>
            <w:tcW w:w="1064" w:type="dxa"/>
            <w:tcBorders>
              <w:top w:val="nil"/>
              <w:left w:val="nil"/>
              <w:bottom w:val="single" w:color="auto" w:sz="4" w:space="0"/>
              <w:right w:val="single" w:color="auto" w:sz="4" w:space="0"/>
            </w:tcBorders>
            <w:noWrap w:val="0"/>
            <w:vAlign w:val="center"/>
          </w:tcPr>
          <w:p>
            <w:pPr>
              <w:widowControl/>
              <w:spacing w:line="320" w:lineRule="exact"/>
              <w:rPr>
                <w:color w:val="auto"/>
                <w:kern w:val="0"/>
              </w:rPr>
            </w:pPr>
            <w:r>
              <w:rPr>
                <w:rFonts w:hint="eastAsia"/>
                <w:color w:val="auto"/>
                <w:kern w:val="0"/>
              </w:rPr>
              <w:t>城镇住房保障家庭租赁补贴初审</w:t>
            </w:r>
          </w:p>
        </w:tc>
        <w:tc>
          <w:tcPr>
            <w:tcW w:w="5702" w:type="dxa"/>
            <w:tcBorders>
              <w:top w:val="nil"/>
              <w:left w:val="nil"/>
              <w:bottom w:val="single" w:color="auto" w:sz="4" w:space="0"/>
              <w:right w:val="single" w:color="auto" w:sz="4" w:space="0"/>
            </w:tcBorders>
            <w:noWrap w:val="0"/>
            <w:vAlign w:val="center"/>
          </w:tcPr>
          <w:p>
            <w:pPr>
              <w:widowControl/>
              <w:spacing w:line="320" w:lineRule="exact"/>
              <w:rPr>
                <w:rFonts w:hint="eastAsia" w:eastAsia="宋体"/>
                <w:color w:val="auto"/>
                <w:kern w:val="0"/>
                <w:lang w:eastAsia="zh-CN"/>
              </w:rPr>
            </w:pPr>
            <w:r>
              <w:rPr>
                <w:color w:val="auto"/>
                <w:kern w:val="0"/>
              </w:rPr>
              <w:t>1.</w:t>
            </w:r>
            <w:r>
              <w:rPr>
                <w:rFonts w:hint="eastAsia"/>
                <w:color w:val="auto"/>
                <w:kern w:val="0"/>
              </w:rPr>
              <w:t>《安徽省保障性住房建设和管理办法（试行）》第十九条：城镇家庭、个人和外来务工人员申请保障性住房或者住房租赁补贴的，应当向街道办事处（社区）或者镇人民政府提交申请。鼓励外来务工人员由用人单位统一向街道办事处（社区）或者镇人民政府申请。</w:t>
            </w:r>
          </w:p>
          <w:p>
            <w:pPr>
              <w:widowControl/>
              <w:spacing w:line="320" w:lineRule="exact"/>
              <w:rPr>
                <w:color w:val="auto"/>
                <w:kern w:val="0"/>
              </w:rPr>
            </w:pPr>
            <w:r>
              <w:rPr>
                <w:rFonts w:hint="eastAsia"/>
                <w:color w:val="auto"/>
                <w:kern w:val="0"/>
              </w:rPr>
              <w:t>第二十条：申请保障性住房或者住房租赁补贴，按照下列程序审核：（一）初审。街道办事处（社区）或者镇人民政府应当自受理申请之日起</w:t>
            </w:r>
            <w:r>
              <w:rPr>
                <w:color w:val="auto"/>
                <w:kern w:val="0"/>
              </w:rPr>
              <w:t>10</w:t>
            </w:r>
            <w:r>
              <w:rPr>
                <w:rFonts w:hint="eastAsia"/>
                <w:color w:val="auto"/>
                <w:kern w:val="0"/>
              </w:rPr>
              <w:t>个工作日内，对申请人住房、人口、收入和财产状况提出初审意见。</w:t>
            </w:r>
          </w:p>
          <w:p>
            <w:pPr>
              <w:widowControl/>
              <w:spacing w:line="320" w:lineRule="exact"/>
              <w:rPr>
                <w:color w:val="auto"/>
                <w:kern w:val="0"/>
              </w:rPr>
            </w:pPr>
            <w:r>
              <w:rPr>
                <w:color w:val="auto"/>
                <w:kern w:val="0"/>
              </w:rPr>
              <w:t>2.</w:t>
            </w:r>
            <w:r>
              <w:rPr>
                <w:rFonts w:hint="eastAsia"/>
                <w:color w:val="auto"/>
                <w:kern w:val="0"/>
              </w:rPr>
              <w:t>根据《省财政厅、省住房和城乡建设厅转发财政部</w:t>
            </w:r>
            <w:r>
              <w:rPr>
                <w:color w:val="auto"/>
                <w:kern w:val="0"/>
              </w:rPr>
              <w:t xml:space="preserve"> </w:t>
            </w:r>
            <w:r>
              <w:rPr>
                <w:rFonts w:hint="eastAsia"/>
                <w:color w:val="auto"/>
                <w:kern w:val="0"/>
              </w:rPr>
              <w:t>住房城乡建设部关于印发〈中央财政城镇保障性安居工程专项资金管理办法〉的通知》（财综〔</w:t>
            </w:r>
            <w:r>
              <w:rPr>
                <w:color w:val="auto"/>
                <w:kern w:val="0"/>
              </w:rPr>
              <w:t>2017</w:t>
            </w:r>
            <w:r>
              <w:rPr>
                <w:rFonts w:hint="eastAsia"/>
                <w:color w:val="auto"/>
                <w:kern w:val="0"/>
              </w:rPr>
              <w:t>〕</w:t>
            </w:r>
            <w:r>
              <w:rPr>
                <w:color w:val="auto"/>
                <w:kern w:val="0"/>
              </w:rPr>
              <w:t>106</w:t>
            </w:r>
            <w:r>
              <w:rPr>
                <w:rFonts w:hint="eastAsia"/>
                <w:color w:val="auto"/>
                <w:kern w:val="0"/>
              </w:rPr>
              <w:t>号），该事项名称规范为</w:t>
            </w:r>
            <w:r>
              <w:rPr>
                <w:color w:val="auto"/>
                <w:kern w:val="0"/>
              </w:rPr>
              <w:t>“</w:t>
            </w:r>
            <w:r>
              <w:rPr>
                <w:rFonts w:hint="eastAsia"/>
                <w:color w:val="auto"/>
                <w:kern w:val="0"/>
              </w:rPr>
              <w:t>城镇住房保障家庭租赁补贴</w:t>
            </w:r>
            <w:r>
              <w:rPr>
                <w:color w:val="auto"/>
                <w:kern w:val="0"/>
              </w:rPr>
              <w:t>”</w:t>
            </w:r>
            <w:r>
              <w:rPr>
                <w:rFonts w:hint="eastAsia"/>
                <w:color w:val="auto"/>
                <w:kern w:val="0"/>
              </w:rPr>
              <w:t>。</w:t>
            </w:r>
          </w:p>
        </w:tc>
        <w:tc>
          <w:tcPr>
            <w:tcW w:w="2625" w:type="dxa"/>
            <w:tcBorders>
              <w:top w:val="nil"/>
              <w:left w:val="nil"/>
              <w:bottom w:val="single" w:color="auto" w:sz="4" w:space="0"/>
              <w:right w:val="single" w:color="auto" w:sz="4" w:space="0"/>
            </w:tcBorders>
            <w:noWrap w:val="0"/>
            <w:vAlign w:val="center"/>
          </w:tcPr>
          <w:p>
            <w:pPr>
              <w:widowControl/>
              <w:spacing w:line="320" w:lineRule="exact"/>
              <w:rPr>
                <w:color w:val="auto"/>
                <w:kern w:val="0"/>
              </w:rPr>
            </w:pPr>
            <w:r>
              <w:rPr>
                <w:rFonts w:hint="eastAsia"/>
                <w:color w:val="auto"/>
                <w:kern w:val="0"/>
              </w:rPr>
              <w:t>住房城乡建设、民政、财政部门按照职责分工做好审核、公示、登记、发放等工作。</w:t>
            </w:r>
          </w:p>
        </w:tc>
        <w:tc>
          <w:tcPr>
            <w:tcW w:w="2693" w:type="dxa"/>
            <w:tcBorders>
              <w:top w:val="nil"/>
              <w:left w:val="nil"/>
              <w:bottom w:val="single" w:color="auto" w:sz="4" w:space="0"/>
              <w:right w:val="single" w:color="auto" w:sz="4" w:space="0"/>
            </w:tcBorders>
            <w:noWrap w:val="0"/>
            <w:vAlign w:val="center"/>
          </w:tcPr>
          <w:p>
            <w:pPr>
              <w:widowControl/>
              <w:spacing w:line="320" w:lineRule="exact"/>
              <w:rPr>
                <w:color w:val="auto"/>
                <w:kern w:val="0"/>
              </w:rPr>
            </w:pPr>
            <w:r>
              <w:rPr>
                <w:rFonts w:hint="eastAsia"/>
                <w:color w:val="auto"/>
                <w:kern w:val="0"/>
              </w:rPr>
              <w:t>应当在规定时限内对申请人住房、人口、收入和财产状况提出初审意见。对符合条件的，及时公示，并将初审意见及申请材料分别报上级有关部门。</w:t>
            </w:r>
          </w:p>
        </w:tc>
        <w:tc>
          <w:tcPr>
            <w:tcW w:w="851" w:type="dxa"/>
            <w:tcBorders>
              <w:top w:val="nil"/>
              <w:left w:val="nil"/>
              <w:bottom w:val="single" w:color="auto" w:sz="4" w:space="0"/>
              <w:right w:val="single" w:color="auto" w:sz="4" w:space="0"/>
            </w:tcBorders>
            <w:noWrap w:val="0"/>
            <w:vAlign w:val="top"/>
          </w:tcPr>
          <w:p>
            <w:pPr>
              <w:widowControl/>
              <w:spacing w:line="320" w:lineRule="exact"/>
              <w:rPr>
                <w:color w:val="auto"/>
                <w:kern w:val="0"/>
              </w:rPr>
            </w:pPr>
          </w:p>
        </w:tc>
      </w:tr>
      <w:tr>
        <w:tblPrEx>
          <w:tblCellMar>
            <w:top w:w="0" w:type="dxa"/>
            <w:left w:w="108" w:type="dxa"/>
            <w:bottom w:w="0" w:type="dxa"/>
            <w:right w:w="108" w:type="dxa"/>
          </w:tblCellMar>
        </w:tblPrEx>
        <w:trPr>
          <w:trHeight w:val="8050" w:hRule="atLeast"/>
        </w:trPr>
        <w:tc>
          <w:tcPr>
            <w:tcW w:w="538"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rPr>
                <w:color w:val="auto"/>
                <w:kern w:val="0"/>
              </w:rPr>
            </w:pPr>
            <w:r>
              <w:rPr>
                <w:color w:val="auto"/>
                <w:kern w:val="0"/>
              </w:rPr>
              <w:t>23</w:t>
            </w:r>
          </w:p>
        </w:tc>
        <w:tc>
          <w:tcPr>
            <w:tcW w:w="679" w:type="dxa"/>
            <w:tcBorders>
              <w:top w:val="nil"/>
              <w:left w:val="nil"/>
              <w:bottom w:val="single" w:color="auto" w:sz="4" w:space="0"/>
              <w:right w:val="single" w:color="auto" w:sz="4" w:space="0"/>
            </w:tcBorders>
            <w:noWrap w:val="0"/>
            <w:vAlign w:val="center"/>
          </w:tcPr>
          <w:p>
            <w:pPr>
              <w:widowControl/>
              <w:spacing w:line="320" w:lineRule="exact"/>
              <w:jc w:val="center"/>
              <w:rPr>
                <w:color w:val="auto"/>
                <w:kern w:val="0"/>
              </w:rPr>
            </w:pPr>
            <w:r>
              <w:rPr>
                <w:rFonts w:hint="eastAsia"/>
                <w:color w:val="auto"/>
                <w:kern w:val="0"/>
              </w:rPr>
              <w:t>其他权力</w:t>
            </w:r>
          </w:p>
        </w:tc>
        <w:tc>
          <w:tcPr>
            <w:tcW w:w="1064" w:type="dxa"/>
            <w:tcBorders>
              <w:top w:val="nil"/>
              <w:left w:val="nil"/>
              <w:bottom w:val="single" w:color="auto" w:sz="4" w:space="0"/>
              <w:right w:val="single" w:color="auto" w:sz="4" w:space="0"/>
            </w:tcBorders>
            <w:noWrap w:val="0"/>
            <w:vAlign w:val="center"/>
          </w:tcPr>
          <w:p>
            <w:pPr>
              <w:widowControl/>
              <w:spacing w:line="320" w:lineRule="exact"/>
              <w:rPr>
                <w:color w:val="auto"/>
                <w:kern w:val="0"/>
              </w:rPr>
            </w:pPr>
            <w:r>
              <w:rPr>
                <w:rFonts w:hint="eastAsia"/>
                <w:color w:val="auto"/>
                <w:kern w:val="0"/>
              </w:rPr>
              <w:t>业主委员会、临时管理规约备案</w:t>
            </w:r>
          </w:p>
        </w:tc>
        <w:tc>
          <w:tcPr>
            <w:tcW w:w="5702" w:type="dxa"/>
            <w:tcBorders>
              <w:top w:val="nil"/>
              <w:left w:val="nil"/>
              <w:bottom w:val="single" w:color="auto" w:sz="4" w:space="0"/>
              <w:right w:val="single" w:color="auto" w:sz="4" w:space="0"/>
            </w:tcBorders>
            <w:noWrap w:val="0"/>
            <w:vAlign w:val="center"/>
          </w:tcPr>
          <w:p>
            <w:pPr>
              <w:widowControl/>
              <w:spacing w:line="320" w:lineRule="exact"/>
              <w:rPr>
                <w:rFonts w:hint="eastAsia" w:eastAsia="宋体"/>
                <w:color w:val="auto"/>
                <w:kern w:val="0"/>
                <w:lang w:eastAsia="zh-CN"/>
              </w:rPr>
            </w:pPr>
            <w:r>
              <w:rPr>
                <w:color w:val="auto"/>
                <w:kern w:val="0"/>
              </w:rPr>
              <w:t>1.</w:t>
            </w:r>
            <w:r>
              <w:rPr>
                <w:rFonts w:hint="eastAsia"/>
                <w:color w:val="auto"/>
                <w:kern w:val="0"/>
              </w:rPr>
              <w:t>《物业管理条例》第五条：国务院建设行政主管部门负责全国物业管理活动的监督管理工作。县级以上地方人民政府房地产行政主管部门负责本行政区域内物业管理活动的监督管理工作。</w:t>
            </w:r>
          </w:p>
          <w:p>
            <w:pPr>
              <w:widowControl/>
              <w:spacing w:line="320" w:lineRule="exact"/>
              <w:rPr>
                <w:rFonts w:hint="eastAsia" w:eastAsia="宋体"/>
                <w:color w:val="auto"/>
                <w:kern w:val="0"/>
                <w:lang w:eastAsia="zh-CN"/>
              </w:rPr>
            </w:pPr>
            <w:r>
              <w:rPr>
                <w:rFonts w:hint="eastAsia"/>
                <w:color w:val="auto"/>
                <w:kern w:val="0"/>
              </w:rPr>
              <w:t>第十六条：业主委员会应当自选举产生之日起</w:t>
            </w:r>
            <w:r>
              <w:rPr>
                <w:color w:val="auto"/>
                <w:kern w:val="0"/>
              </w:rPr>
              <w:t>30</w:t>
            </w:r>
            <w:r>
              <w:rPr>
                <w:rFonts w:hint="eastAsia"/>
                <w:color w:val="auto"/>
                <w:kern w:val="0"/>
              </w:rPr>
              <w:t>日内，向物业所在地的区、县人民政府房地产行政主管部门和街道办事处、乡镇人民政府备案。</w:t>
            </w:r>
          </w:p>
          <w:p>
            <w:pPr>
              <w:widowControl/>
              <w:spacing w:line="320" w:lineRule="exact"/>
              <w:rPr>
                <w:color w:val="auto"/>
                <w:kern w:val="0"/>
              </w:rPr>
            </w:pPr>
            <w:r>
              <w:rPr>
                <w:color w:val="auto"/>
                <w:kern w:val="0"/>
              </w:rPr>
              <w:t>2.</w:t>
            </w:r>
            <w:r>
              <w:rPr>
                <w:rFonts w:hint="eastAsia"/>
                <w:color w:val="auto"/>
                <w:kern w:val="0"/>
              </w:rPr>
              <w:t>《安徽省物业管理条例》第四十四条：建设单位应当依照省人民政府住房和城乡建设行政主管部门公布的临时管理规约示范文本，制定临时管理规约，报县级人民政府物业管理行政主管部门、街道办事处、乡镇人民政府备案。临时管理规约不得侵害物业买受人的合法权益。在首次业主大会通过的管理规约生效后，临时管理规约即行失效。</w:t>
            </w:r>
          </w:p>
        </w:tc>
        <w:tc>
          <w:tcPr>
            <w:tcW w:w="2625" w:type="dxa"/>
            <w:tcBorders>
              <w:top w:val="nil"/>
              <w:left w:val="nil"/>
              <w:bottom w:val="single" w:color="auto" w:sz="4" w:space="0"/>
              <w:right w:val="single" w:color="auto" w:sz="4" w:space="0"/>
            </w:tcBorders>
            <w:noWrap w:val="0"/>
            <w:vAlign w:val="center"/>
          </w:tcPr>
          <w:p>
            <w:pPr>
              <w:widowControl/>
              <w:spacing w:line="320" w:lineRule="exact"/>
              <w:rPr>
                <w:color w:val="auto"/>
                <w:kern w:val="0"/>
              </w:rPr>
            </w:pPr>
            <w:r>
              <w:rPr>
                <w:rFonts w:hint="eastAsia"/>
                <w:color w:val="auto"/>
                <w:kern w:val="0"/>
              </w:rPr>
              <w:t>住房城乡建设部门负责业务指导和监督检查。</w:t>
            </w:r>
          </w:p>
        </w:tc>
        <w:tc>
          <w:tcPr>
            <w:tcW w:w="2693" w:type="dxa"/>
            <w:tcBorders>
              <w:top w:val="nil"/>
              <w:left w:val="nil"/>
              <w:bottom w:val="single" w:color="auto" w:sz="4" w:space="0"/>
              <w:right w:val="single" w:color="auto" w:sz="4" w:space="0"/>
            </w:tcBorders>
            <w:noWrap w:val="0"/>
            <w:vAlign w:val="center"/>
          </w:tcPr>
          <w:p>
            <w:pPr>
              <w:widowControl/>
              <w:spacing w:line="320" w:lineRule="exact"/>
              <w:rPr>
                <w:color w:val="auto"/>
                <w:kern w:val="0"/>
              </w:rPr>
            </w:pPr>
            <w:r>
              <w:rPr>
                <w:rFonts w:hint="eastAsia"/>
                <w:color w:val="auto"/>
                <w:kern w:val="0"/>
              </w:rPr>
              <w:t>负责对报送的相关材料进行审核，符合规定的进行业主委员、临时管理规约备案。</w:t>
            </w:r>
          </w:p>
        </w:tc>
        <w:tc>
          <w:tcPr>
            <w:tcW w:w="851" w:type="dxa"/>
            <w:tcBorders>
              <w:top w:val="nil"/>
              <w:left w:val="nil"/>
              <w:bottom w:val="single" w:color="auto" w:sz="4" w:space="0"/>
              <w:right w:val="single" w:color="auto" w:sz="4" w:space="0"/>
            </w:tcBorders>
            <w:noWrap w:val="0"/>
            <w:vAlign w:val="top"/>
          </w:tcPr>
          <w:p>
            <w:pPr>
              <w:widowControl/>
              <w:spacing w:line="320" w:lineRule="exact"/>
              <w:rPr>
                <w:color w:val="auto"/>
                <w:kern w:val="0"/>
              </w:rPr>
            </w:pPr>
          </w:p>
        </w:tc>
      </w:tr>
      <w:tr>
        <w:tblPrEx>
          <w:tblCellMar>
            <w:top w:w="0" w:type="dxa"/>
            <w:left w:w="108" w:type="dxa"/>
            <w:bottom w:w="0" w:type="dxa"/>
            <w:right w:w="108" w:type="dxa"/>
          </w:tblCellMar>
        </w:tblPrEx>
        <w:trPr>
          <w:trHeight w:val="8050" w:hRule="atLeast"/>
        </w:trPr>
        <w:tc>
          <w:tcPr>
            <w:tcW w:w="538"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rPr>
                <w:color w:val="auto"/>
                <w:kern w:val="0"/>
              </w:rPr>
            </w:pPr>
            <w:r>
              <w:rPr>
                <w:color w:val="auto"/>
                <w:kern w:val="0"/>
              </w:rPr>
              <w:t>24</w:t>
            </w:r>
          </w:p>
        </w:tc>
        <w:tc>
          <w:tcPr>
            <w:tcW w:w="679" w:type="dxa"/>
            <w:tcBorders>
              <w:top w:val="nil"/>
              <w:left w:val="nil"/>
              <w:bottom w:val="single" w:color="auto" w:sz="4" w:space="0"/>
              <w:right w:val="single" w:color="auto" w:sz="4" w:space="0"/>
            </w:tcBorders>
            <w:noWrap w:val="0"/>
            <w:vAlign w:val="center"/>
          </w:tcPr>
          <w:p>
            <w:pPr>
              <w:widowControl/>
              <w:spacing w:line="320" w:lineRule="exact"/>
              <w:jc w:val="center"/>
              <w:rPr>
                <w:rFonts w:hint="eastAsia" w:eastAsia="宋体"/>
                <w:color w:val="auto"/>
                <w:kern w:val="0"/>
                <w:lang w:eastAsia="zh-CN"/>
              </w:rPr>
            </w:pPr>
            <w:r>
              <w:rPr>
                <w:rFonts w:hint="eastAsia"/>
                <w:color w:val="auto"/>
                <w:kern w:val="0"/>
              </w:rPr>
              <w:t>其他</w:t>
            </w:r>
          </w:p>
          <w:p>
            <w:pPr>
              <w:widowControl/>
              <w:spacing w:line="320" w:lineRule="exact"/>
              <w:jc w:val="center"/>
              <w:rPr>
                <w:color w:val="auto"/>
                <w:kern w:val="0"/>
              </w:rPr>
            </w:pPr>
            <w:r>
              <w:rPr>
                <w:rFonts w:hint="eastAsia"/>
                <w:color w:val="auto"/>
                <w:kern w:val="0"/>
              </w:rPr>
              <w:t>权力</w:t>
            </w:r>
          </w:p>
        </w:tc>
        <w:tc>
          <w:tcPr>
            <w:tcW w:w="1064" w:type="dxa"/>
            <w:tcBorders>
              <w:top w:val="nil"/>
              <w:left w:val="nil"/>
              <w:bottom w:val="single" w:color="auto" w:sz="4" w:space="0"/>
              <w:right w:val="single" w:color="auto" w:sz="4" w:space="0"/>
            </w:tcBorders>
            <w:noWrap w:val="0"/>
            <w:vAlign w:val="center"/>
          </w:tcPr>
          <w:p>
            <w:pPr>
              <w:widowControl/>
              <w:spacing w:line="320" w:lineRule="exact"/>
              <w:rPr>
                <w:color w:val="auto"/>
                <w:kern w:val="0"/>
              </w:rPr>
            </w:pPr>
            <w:r>
              <w:rPr>
                <w:rFonts w:hint="eastAsia"/>
                <w:color w:val="auto"/>
                <w:kern w:val="0"/>
              </w:rPr>
              <w:t>承包期内农村承包地调整的审核</w:t>
            </w:r>
          </w:p>
        </w:tc>
        <w:tc>
          <w:tcPr>
            <w:tcW w:w="5702" w:type="dxa"/>
            <w:tcBorders>
              <w:top w:val="nil"/>
              <w:left w:val="nil"/>
              <w:bottom w:val="single" w:color="auto" w:sz="4" w:space="0"/>
              <w:right w:val="single" w:color="auto" w:sz="4" w:space="0"/>
            </w:tcBorders>
            <w:noWrap w:val="0"/>
            <w:vAlign w:val="center"/>
          </w:tcPr>
          <w:p>
            <w:pPr>
              <w:widowControl/>
              <w:spacing w:line="320" w:lineRule="exact"/>
              <w:rPr>
                <w:rFonts w:hint="eastAsia" w:eastAsia="宋体"/>
                <w:color w:val="auto"/>
                <w:kern w:val="0"/>
                <w:lang w:eastAsia="zh-CN"/>
              </w:rPr>
            </w:pPr>
            <w:r>
              <w:rPr>
                <w:color w:val="auto"/>
                <w:kern w:val="0"/>
              </w:rPr>
              <w:t>1.</w:t>
            </w:r>
            <w:r>
              <w:rPr>
                <w:rFonts w:hint="eastAsia"/>
                <w:color w:val="auto"/>
                <w:kern w:val="0"/>
              </w:rPr>
              <w:t>《中华人民共和国农村土地承包法》第二十八条：承包期内，因自然灾害严重毁损承包地等特殊情形对个别农户之间承包的耕地和草地需要适当调整的，必须经本集体经济组织成员的村民会议三分之二以上成员或者三分之二以上村民代表的同意，并报乡（镇）人民政府和县级人民政府农业农村、林业和草原等主管部门批准。承包合同中约定不得调整的，按照其约定。</w:t>
            </w:r>
          </w:p>
          <w:p>
            <w:pPr>
              <w:widowControl/>
              <w:spacing w:line="320" w:lineRule="exact"/>
              <w:rPr>
                <w:color w:val="auto"/>
                <w:kern w:val="0"/>
              </w:rPr>
            </w:pPr>
            <w:r>
              <w:rPr>
                <w:color w:val="auto"/>
                <w:kern w:val="0"/>
              </w:rPr>
              <w:t>2.</w:t>
            </w:r>
            <w:r>
              <w:rPr>
                <w:rFonts w:hint="eastAsia"/>
                <w:color w:val="auto"/>
                <w:kern w:val="0"/>
              </w:rPr>
              <w:t>《安徽省实施〈中华人民共和国农村土地承包法〉办法》第二十七条：对承包地进行调整，应当按照下列程序进行：（三）发包方将讨论通过的调整方案报乡（镇）人民政府或者街道办事处和县级人民政府农业、林业等行政主管部门批准。</w:t>
            </w:r>
          </w:p>
        </w:tc>
        <w:tc>
          <w:tcPr>
            <w:tcW w:w="2625" w:type="dxa"/>
            <w:tcBorders>
              <w:top w:val="nil"/>
              <w:left w:val="nil"/>
              <w:bottom w:val="single" w:color="auto" w:sz="4" w:space="0"/>
              <w:right w:val="single" w:color="auto" w:sz="4" w:space="0"/>
            </w:tcBorders>
            <w:noWrap w:val="0"/>
            <w:vAlign w:val="center"/>
          </w:tcPr>
          <w:p>
            <w:pPr>
              <w:widowControl/>
              <w:spacing w:line="320" w:lineRule="exact"/>
              <w:rPr>
                <w:color w:val="auto"/>
                <w:kern w:val="0"/>
              </w:rPr>
            </w:pPr>
            <w:r>
              <w:rPr>
                <w:rFonts w:hint="eastAsia"/>
                <w:color w:val="auto"/>
                <w:kern w:val="0"/>
              </w:rPr>
              <w:t>农业农村、自然资源和规划、林业等部门加强政策宣传和业务指导，及时会同乡镇（街道）做好农户之间调整承包的耕地和草地的审批工作，及时变更农村土地承包经营权证书。</w:t>
            </w:r>
          </w:p>
        </w:tc>
        <w:tc>
          <w:tcPr>
            <w:tcW w:w="2693" w:type="dxa"/>
            <w:tcBorders>
              <w:top w:val="nil"/>
              <w:left w:val="nil"/>
              <w:bottom w:val="single" w:color="auto" w:sz="4" w:space="0"/>
              <w:right w:val="single" w:color="auto" w:sz="4" w:space="0"/>
            </w:tcBorders>
            <w:noWrap w:val="0"/>
            <w:vAlign w:val="center"/>
          </w:tcPr>
          <w:p>
            <w:pPr>
              <w:widowControl/>
              <w:spacing w:line="320" w:lineRule="exact"/>
              <w:rPr>
                <w:color w:val="auto"/>
                <w:kern w:val="0"/>
              </w:rPr>
            </w:pPr>
            <w:r>
              <w:rPr>
                <w:rFonts w:hint="eastAsia"/>
                <w:color w:val="auto"/>
                <w:kern w:val="0"/>
              </w:rPr>
              <w:t>做好农户之间调整承包的耕地和草地的审核、上报及农村土地承包经营权证内容变更材料收集准备等工作。</w:t>
            </w:r>
          </w:p>
        </w:tc>
        <w:tc>
          <w:tcPr>
            <w:tcW w:w="851" w:type="dxa"/>
            <w:tcBorders>
              <w:top w:val="nil"/>
              <w:left w:val="nil"/>
              <w:bottom w:val="single" w:color="auto" w:sz="4" w:space="0"/>
              <w:right w:val="single" w:color="auto" w:sz="4" w:space="0"/>
            </w:tcBorders>
            <w:noWrap w:val="0"/>
            <w:vAlign w:val="top"/>
          </w:tcPr>
          <w:p>
            <w:pPr>
              <w:widowControl/>
              <w:spacing w:line="320" w:lineRule="exact"/>
              <w:rPr>
                <w:color w:val="auto"/>
                <w:kern w:val="0"/>
              </w:rPr>
            </w:pPr>
          </w:p>
        </w:tc>
      </w:tr>
      <w:tr>
        <w:tblPrEx>
          <w:tblCellMar>
            <w:top w:w="0" w:type="dxa"/>
            <w:left w:w="108" w:type="dxa"/>
            <w:bottom w:w="0" w:type="dxa"/>
            <w:right w:w="108" w:type="dxa"/>
          </w:tblCellMar>
        </w:tblPrEx>
        <w:trPr>
          <w:trHeight w:val="8050" w:hRule="atLeast"/>
        </w:trPr>
        <w:tc>
          <w:tcPr>
            <w:tcW w:w="538"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rPr>
                <w:color w:val="auto"/>
                <w:kern w:val="0"/>
              </w:rPr>
            </w:pPr>
            <w:r>
              <w:rPr>
                <w:color w:val="auto"/>
                <w:kern w:val="0"/>
              </w:rPr>
              <w:t>25</w:t>
            </w:r>
          </w:p>
        </w:tc>
        <w:tc>
          <w:tcPr>
            <w:tcW w:w="679" w:type="dxa"/>
            <w:tcBorders>
              <w:top w:val="nil"/>
              <w:left w:val="nil"/>
              <w:bottom w:val="single" w:color="auto" w:sz="4" w:space="0"/>
              <w:right w:val="single" w:color="auto" w:sz="4" w:space="0"/>
            </w:tcBorders>
            <w:noWrap w:val="0"/>
            <w:vAlign w:val="center"/>
          </w:tcPr>
          <w:p>
            <w:pPr>
              <w:widowControl/>
              <w:spacing w:line="320" w:lineRule="exact"/>
              <w:jc w:val="center"/>
              <w:rPr>
                <w:color w:val="auto"/>
                <w:kern w:val="0"/>
              </w:rPr>
            </w:pPr>
            <w:r>
              <w:rPr>
                <w:rFonts w:hint="eastAsia"/>
                <w:color w:val="auto"/>
                <w:kern w:val="0"/>
              </w:rPr>
              <w:t>其他权力</w:t>
            </w:r>
          </w:p>
        </w:tc>
        <w:tc>
          <w:tcPr>
            <w:tcW w:w="1064" w:type="dxa"/>
            <w:tcBorders>
              <w:top w:val="nil"/>
              <w:left w:val="nil"/>
              <w:bottom w:val="single" w:color="auto" w:sz="4" w:space="0"/>
              <w:right w:val="single" w:color="auto" w:sz="4" w:space="0"/>
            </w:tcBorders>
            <w:noWrap w:val="0"/>
            <w:vAlign w:val="center"/>
          </w:tcPr>
          <w:p>
            <w:pPr>
              <w:widowControl/>
              <w:spacing w:line="320" w:lineRule="exact"/>
              <w:jc w:val="left"/>
              <w:textAlignment w:val="center"/>
              <w:rPr>
                <w:color w:val="auto"/>
                <w:kern w:val="0"/>
              </w:rPr>
            </w:pPr>
            <w:r>
              <w:rPr>
                <w:rFonts w:hint="eastAsia"/>
                <w:color w:val="auto"/>
                <w:kern w:val="0"/>
              </w:rPr>
              <w:t>土地承包合同的备案</w:t>
            </w:r>
          </w:p>
        </w:tc>
        <w:tc>
          <w:tcPr>
            <w:tcW w:w="5702" w:type="dxa"/>
            <w:tcBorders>
              <w:top w:val="nil"/>
              <w:left w:val="nil"/>
              <w:bottom w:val="single" w:color="auto" w:sz="4" w:space="0"/>
              <w:right w:val="single" w:color="auto" w:sz="4" w:space="0"/>
            </w:tcBorders>
            <w:noWrap w:val="0"/>
            <w:vAlign w:val="center"/>
          </w:tcPr>
          <w:p>
            <w:pPr>
              <w:widowControl/>
              <w:spacing w:line="320" w:lineRule="exact"/>
              <w:textAlignment w:val="center"/>
              <w:rPr>
                <w:rFonts w:hint="eastAsia" w:eastAsia="宋体"/>
                <w:color w:val="auto"/>
                <w:kern w:val="0"/>
                <w:lang w:eastAsia="zh-CN"/>
              </w:rPr>
            </w:pPr>
            <w:r>
              <w:rPr>
                <w:color w:val="auto"/>
                <w:kern w:val="0"/>
              </w:rPr>
              <w:t>1.</w:t>
            </w:r>
            <w:r>
              <w:rPr>
                <w:rFonts w:hint="eastAsia"/>
                <w:color w:val="auto"/>
                <w:kern w:val="0"/>
              </w:rPr>
              <w:t>《中华人民共和国农村土地承包法》第十二条：国务院农业农村、林业和草原主管部门分别依照国务院规定的职责负责全国农村土地承包经营及承包经营合同管理的指导。县级以上地方人民政府农业农村、林业和草原等主管部门分别依照各自职责，负责本行政区域内农村土地承包经营及承包经营合同管理。乡（镇）人民政府负责本行政区域内农村土地承包经营及承包经营合同管理。</w:t>
            </w:r>
          </w:p>
          <w:p>
            <w:pPr>
              <w:widowControl/>
              <w:spacing w:line="320" w:lineRule="exact"/>
              <w:textAlignment w:val="center"/>
              <w:rPr>
                <w:rFonts w:hint="eastAsia" w:eastAsia="宋体"/>
                <w:color w:val="auto"/>
                <w:kern w:val="0"/>
                <w:lang w:eastAsia="zh-CN"/>
              </w:rPr>
            </w:pPr>
            <w:r>
              <w:rPr>
                <w:color w:val="auto"/>
                <w:kern w:val="0"/>
              </w:rPr>
              <w:t>2.</w:t>
            </w:r>
            <w:r>
              <w:rPr>
                <w:rFonts w:hint="eastAsia"/>
                <w:color w:val="auto"/>
                <w:kern w:val="0"/>
              </w:rPr>
              <w:t>《安徽省实施〈中华人民共和国农村土地承包法〉办法》第五条：乡（镇）人民政府和辖区内有农村土地的街道办事处负责本行政区域内农村土地承包及承包合同管理。具体管理工作由农村土地承包管理机构承担。</w:t>
            </w:r>
          </w:p>
          <w:p>
            <w:pPr>
              <w:widowControl/>
              <w:spacing w:line="320" w:lineRule="exact"/>
              <w:textAlignment w:val="center"/>
              <w:rPr>
                <w:rStyle w:val="6"/>
                <w:color w:val="auto"/>
              </w:rPr>
            </w:pPr>
            <w:r>
              <w:rPr>
                <w:rFonts w:hint="eastAsia"/>
                <w:color w:val="auto"/>
                <w:kern w:val="0"/>
              </w:rPr>
              <w:t>第十二条：发包方应当和承包方签订书面承包合同。承包合同一式三份，发包方和承包方各执一份，另一份由发包方在承包合同签订之日起三十日内报乡（镇）人民政府或者街道办事处备案。</w:t>
            </w:r>
          </w:p>
        </w:tc>
        <w:tc>
          <w:tcPr>
            <w:tcW w:w="2625" w:type="dxa"/>
            <w:tcBorders>
              <w:top w:val="nil"/>
              <w:left w:val="nil"/>
              <w:bottom w:val="single" w:color="auto" w:sz="4" w:space="0"/>
              <w:right w:val="single" w:color="auto" w:sz="4" w:space="0"/>
            </w:tcBorders>
            <w:noWrap w:val="0"/>
            <w:vAlign w:val="center"/>
          </w:tcPr>
          <w:p>
            <w:pPr>
              <w:widowControl/>
              <w:spacing w:line="320" w:lineRule="exact"/>
              <w:textAlignment w:val="center"/>
              <w:rPr>
                <w:color w:val="auto"/>
                <w:kern w:val="0"/>
              </w:rPr>
            </w:pPr>
            <w:r>
              <w:rPr>
                <w:rFonts w:hint="eastAsia"/>
                <w:color w:val="auto"/>
                <w:kern w:val="0"/>
              </w:rPr>
              <w:t>农业农村、自然资源和规划等部门进行业务指导和监督检查。</w:t>
            </w:r>
          </w:p>
        </w:tc>
        <w:tc>
          <w:tcPr>
            <w:tcW w:w="2693" w:type="dxa"/>
            <w:tcBorders>
              <w:top w:val="nil"/>
              <w:left w:val="nil"/>
              <w:bottom w:val="single" w:color="auto" w:sz="4" w:space="0"/>
              <w:right w:val="single" w:color="auto" w:sz="4" w:space="0"/>
            </w:tcBorders>
            <w:noWrap w:val="0"/>
            <w:vAlign w:val="center"/>
          </w:tcPr>
          <w:p>
            <w:pPr>
              <w:widowControl/>
              <w:spacing w:line="320" w:lineRule="exact"/>
              <w:textAlignment w:val="center"/>
              <w:rPr>
                <w:color w:val="auto"/>
                <w:kern w:val="0"/>
              </w:rPr>
            </w:pPr>
            <w:r>
              <w:rPr>
                <w:rFonts w:hint="eastAsia"/>
                <w:color w:val="auto"/>
                <w:kern w:val="0"/>
              </w:rPr>
              <w:t>对农村发包方和承包方签订的土地承包合同进行备案。</w:t>
            </w:r>
          </w:p>
        </w:tc>
        <w:tc>
          <w:tcPr>
            <w:tcW w:w="851" w:type="dxa"/>
            <w:tcBorders>
              <w:top w:val="nil"/>
              <w:left w:val="nil"/>
              <w:bottom w:val="single" w:color="auto" w:sz="4" w:space="0"/>
              <w:right w:val="single" w:color="auto" w:sz="4" w:space="0"/>
            </w:tcBorders>
            <w:noWrap w:val="0"/>
            <w:vAlign w:val="top"/>
          </w:tcPr>
          <w:p>
            <w:pPr>
              <w:widowControl/>
              <w:spacing w:line="320" w:lineRule="exact"/>
              <w:rPr>
                <w:color w:val="auto"/>
                <w:kern w:val="0"/>
              </w:rPr>
            </w:pPr>
          </w:p>
        </w:tc>
      </w:tr>
      <w:tr>
        <w:tblPrEx>
          <w:tblCellMar>
            <w:top w:w="0" w:type="dxa"/>
            <w:left w:w="108" w:type="dxa"/>
            <w:bottom w:w="0" w:type="dxa"/>
            <w:right w:w="108" w:type="dxa"/>
          </w:tblCellMar>
        </w:tblPrEx>
        <w:trPr>
          <w:trHeight w:val="8050" w:hRule="atLeast"/>
        </w:trPr>
        <w:tc>
          <w:tcPr>
            <w:tcW w:w="538"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rPr>
                <w:color w:val="auto"/>
                <w:kern w:val="0"/>
              </w:rPr>
            </w:pPr>
            <w:r>
              <w:rPr>
                <w:color w:val="auto"/>
                <w:kern w:val="0"/>
              </w:rPr>
              <w:t>26</w:t>
            </w:r>
          </w:p>
        </w:tc>
        <w:tc>
          <w:tcPr>
            <w:tcW w:w="679" w:type="dxa"/>
            <w:tcBorders>
              <w:top w:val="nil"/>
              <w:left w:val="nil"/>
              <w:bottom w:val="single" w:color="auto" w:sz="4" w:space="0"/>
              <w:right w:val="single" w:color="auto" w:sz="4" w:space="0"/>
            </w:tcBorders>
            <w:noWrap w:val="0"/>
            <w:vAlign w:val="center"/>
          </w:tcPr>
          <w:p>
            <w:pPr>
              <w:widowControl/>
              <w:spacing w:line="320" w:lineRule="exact"/>
              <w:jc w:val="center"/>
              <w:rPr>
                <w:rFonts w:hint="eastAsia" w:eastAsia="宋体"/>
                <w:color w:val="auto"/>
                <w:kern w:val="0"/>
                <w:lang w:eastAsia="zh-CN"/>
              </w:rPr>
            </w:pPr>
            <w:r>
              <w:rPr>
                <w:rFonts w:hint="eastAsia"/>
                <w:color w:val="auto"/>
                <w:kern w:val="0"/>
              </w:rPr>
              <w:t>其他</w:t>
            </w:r>
          </w:p>
          <w:p>
            <w:pPr>
              <w:widowControl/>
              <w:spacing w:line="320" w:lineRule="exact"/>
              <w:jc w:val="center"/>
              <w:rPr>
                <w:color w:val="auto"/>
                <w:kern w:val="0"/>
              </w:rPr>
            </w:pPr>
            <w:r>
              <w:rPr>
                <w:rFonts w:hint="eastAsia"/>
                <w:color w:val="auto"/>
                <w:kern w:val="0"/>
              </w:rPr>
              <w:t>权力</w:t>
            </w:r>
          </w:p>
        </w:tc>
        <w:tc>
          <w:tcPr>
            <w:tcW w:w="1064" w:type="dxa"/>
            <w:tcBorders>
              <w:top w:val="nil"/>
              <w:left w:val="nil"/>
              <w:bottom w:val="single" w:color="auto" w:sz="4" w:space="0"/>
              <w:right w:val="single" w:color="auto" w:sz="4" w:space="0"/>
            </w:tcBorders>
            <w:noWrap w:val="0"/>
            <w:vAlign w:val="center"/>
          </w:tcPr>
          <w:p>
            <w:pPr>
              <w:widowControl/>
              <w:spacing w:line="320" w:lineRule="exact"/>
              <w:rPr>
                <w:color w:val="auto"/>
                <w:kern w:val="0"/>
              </w:rPr>
            </w:pPr>
            <w:r>
              <w:rPr>
                <w:rFonts w:hint="eastAsia"/>
                <w:color w:val="auto"/>
                <w:kern w:val="0"/>
              </w:rPr>
              <w:t>组织开展动物疫病强制免疫</w:t>
            </w:r>
          </w:p>
        </w:tc>
        <w:tc>
          <w:tcPr>
            <w:tcW w:w="5702" w:type="dxa"/>
            <w:tcBorders>
              <w:top w:val="nil"/>
              <w:left w:val="nil"/>
              <w:bottom w:val="single" w:color="auto" w:sz="4" w:space="0"/>
              <w:right w:val="single" w:color="auto" w:sz="4" w:space="0"/>
            </w:tcBorders>
            <w:noWrap w:val="0"/>
            <w:vAlign w:val="center"/>
          </w:tcPr>
          <w:p>
            <w:pPr>
              <w:spacing w:line="320" w:lineRule="exact"/>
              <w:rPr>
                <w:color w:val="auto"/>
              </w:rPr>
            </w:pPr>
            <w:r>
              <w:rPr>
                <w:rFonts w:hint="eastAsia"/>
                <w:color w:val="auto"/>
                <w:kern w:val="0"/>
              </w:rPr>
              <w:t>《中华人民共和国动物防疫法》第十七条</w:t>
            </w:r>
            <w:bookmarkStart w:id="3" w:name="tiao_17_kuan_1"/>
            <w:bookmarkEnd w:id="3"/>
            <w:r>
              <w:rPr>
                <w:rFonts w:hint="eastAsia"/>
                <w:color w:val="auto"/>
                <w:kern w:val="0"/>
              </w:rPr>
              <w:t>：饲养动物的单位和个人应当履行动物疫病强制免疫义务，按照强制免疫计划和技术规范，对动物实施免疫接种，并按照国家有关规定建立免疫档案、加施畜禽标识，保证可追溯。第十八条：</w:t>
            </w:r>
            <w:r>
              <w:rPr>
                <w:rFonts w:hint="eastAsia"/>
                <w:color w:val="auto"/>
              </w:rPr>
              <w:t>县级以上地方人民政府农业农村主管部门负责组织实施动物疫病强制免疫计</w:t>
            </w:r>
            <w:r>
              <w:rPr>
                <w:rFonts w:hint="eastAsia"/>
                <w:color w:val="auto"/>
                <w:kern w:val="0"/>
              </w:rPr>
              <w:t>划，并对饲养动物的单位和个人履行强制免疫义务的情况进行监督检查。乡级人民政府、街道办事处组织本辖区饲养动物的单位和个人做好强制免疫，协助做好监督检查；村民委员会、居民委员会协助做好相关工作。县级以上地方人民政府农业农村主管部门应当定期对本行政区域的强制免疫计划实施情况和效果进行评估，并向社会公布评估结果。</w:t>
            </w:r>
          </w:p>
        </w:tc>
        <w:tc>
          <w:tcPr>
            <w:tcW w:w="2625" w:type="dxa"/>
            <w:tcBorders>
              <w:top w:val="nil"/>
              <w:left w:val="nil"/>
              <w:bottom w:val="single" w:color="auto" w:sz="4" w:space="0"/>
              <w:right w:val="single" w:color="auto" w:sz="4" w:space="0"/>
            </w:tcBorders>
            <w:noWrap w:val="0"/>
            <w:vAlign w:val="center"/>
          </w:tcPr>
          <w:p>
            <w:pPr>
              <w:widowControl/>
              <w:spacing w:line="320" w:lineRule="exact"/>
              <w:rPr>
                <w:color w:val="auto"/>
                <w:kern w:val="0"/>
              </w:rPr>
            </w:pPr>
            <w:r>
              <w:rPr>
                <w:rFonts w:hint="eastAsia"/>
                <w:color w:val="auto"/>
                <w:kern w:val="0"/>
              </w:rPr>
              <w:t>农业农村部门负责组织实施动物疫病强制免疫计划，并对饲养动物的单位和个人履行强制免疫义务的情况进行监督检查；定期对本行政区域的强制免疫计划实施情况和效果进行评估，并向社会公布评估结果。</w:t>
            </w:r>
          </w:p>
        </w:tc>
        <w:tc>
          <w:tcPr>
            <w:tcW w:w="2693" w:type="dxa"/>
            <w:tcBorders>
              <w:top w:val="nil"/>
              <w:left w:val="nil"/>
              <w:bottom w:val="single" w:color="auto" w:sz="4" w:space="0"/>
              <w:right w:val="single" w:color="auto" w:sz="4" w:space="0"/>
            </w:tcBorders>
            <w:noWrap w:val="0"/>
            <w:vAlign w:val="center"/>
          </w:tcPr>
          <w:p>
            <w:pPr>
              <w:widowControl/>
              <w:spacing w:line="320" w:lineRule="exact"/>
              <w:rPr>
                <w:color w:val="auto"/>
                <w:kern w:val="0"/>
              </w:rPr>
            </w:pPr>
            <w:r>
              <w:rPr>
                <w:rFonts w:hint="eastAsia"/>
                <w:color w:val="auto"/>
                <w:kern w:val="0"/>
              </w:rPr>
              <w:t>组织本辖区饲养动物的单位和个人做好强制免疫，协助做好监督检查。</w:t>
            </w:r>
          </w:p>
        </w:tc>
        <w:tc>
          <w:tcPr>
            <w:tcW w:w="851" w:type="dxa"/>
            <w:tcBorders>
              <w:top w:val="nil"/>
              <w:left w:val="nil"/>
              <w:bottom w:val="single" w:color="auto" w:sz="4" w:space="0"/>
              <w:right w:val="single" w:color="auto" w:sz="4" w:space="0"/>
            </w:tcBorders>
            <w:noWrap w:val="0"/>
            <w:vAlign w:val="top"/>
          </w:tcPr>
          <w:p>
            <w:pPr>
              <w:widowControl/>
              <w:spacing w:line="320" w:lineRule="exact"/>
              <w:rPr>
                <w:color w:val="auto"/>
                <w:kern w:val="0"/>
              </w:rPr>
            </w:pPr>
          </w:p>
        </w:tc>
      </w:tr>
      <w:tr>
        <w:tblPrEx>
          <w:tblCellMar>
            <w:top w:w="0" w:type="dxa"/>
            <w:left w:w="108" w:type="dxa"/>
            <w:bottom w:w="0" w:type="dxa"/>
            <w:right w:w="108" w:type="dxa"/>
          </w:tblCellMar>
        </w:tblPrEx>
        <w:trPr>
          <w:trHeight w:val="7894" w:hRule="atLeast"/>
        </w:trPr>
        <w:tc>
          <w:tcPr>
            <w:tcW w:w="538"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rPr>
                <w:color w:val="auto"/>
                <w:kern w:val="0"/>
              </w:rPr>
            </w:pPr>
            <w:r>
              <w:rPr>
                <w:color w:val="auto"/>
                <w:kern w:val="0"/>
              </w:rPr>
              <w:t>27</w:t>
            </w:r>
          </w:p>
        </w:tc>
        <w:tc>
          <w:tcPr>
            <w:tcW w:w="679" w:type="dxa"/>
            <w:tcBorders>
              <w:top w:val="nil"/>
              <w:left w:val="nil"/>
              <w:bottom w:val="single" w:color="auto" w:sz="4" w:space="0"/>
              <w:right w:val="single" w:color="auto" w:sz="4" w:space="0"/>
            </w:tcBorders>
            <w:noWrap w:val="0"/>
            <w:vAlign w:val="center"/>
          </w:tcPr>
          <w:p>
            <w:pPr>
              <w:widowControl/>
              <w:spacing w:line="320" w:lineRule="exact"/>
              <w:jc w:val="center"/>
              <w:rPr>
                <w:rFonts w:hint="eastAsia" w:eastAsia="宋体"/>
                <w:color w:val="auto"/>
                <w:kern w:val="0"/>
                <w:lang w:eastAsia="zh-CN"/>
              </w:rPr>
            </w:pPr>
            <w:r>
              <w:rPr>
                <w:rFonts w:hint="eastAsia"/>
                <w:color w:val="auto"/>
                <w:kern w:val="0"/>
              </w:rPr>
              <w:t>其他</w:t>
            </w:r>
          </w:p>
          <w:p>
            <w:pPr>
              <w:widowControl/>
              <w:spacing w:line="320" w:lineRule="exact"/>
              <w:jc w:val="center"/>
              <w:rPr>
                <w:color w:val="auto"/>
                <w:kern w:val="0"/>
              </w:rPr>
            </w:pPr>
            <w:r>
              <w:rPr>
                <w:rFonts w:hint="eastAsia"/>
                <w:color w:val="auto"/>
                <w:kern w:val="0"/>
              </w:rPr>
              <w:t>权力</w:t>
            </w:r>
          </w:p>
        </w:tc>
        <w:tc>
          <w:tcPr>
            <w:tcW w:w="1064" w:type="dxa"/>
            <w:tcBorders>
              <w:top w:val="nil"/>
              <w:left w:val="nil"/>
              <w:bottom w:val="single" w:color="auto" w:sz="4" w:space="0"/>
              <w:right w:val="single" w:color="auto" w:sz="4" w:space="0"/>
            </w:tcBorders>
            <w:noWrap w:val="0"/>
            <w:vAlign w:val="center"/>
          </w:tcPr>
          <w:p>
            <w:pPr>
              <w:widowControl/>
              <w:spacing w:line="320" w:lineRule="exact"/>
              <w:rPr>
                <w:color w:val="auto"/>
                <w:kern w:val="0"/>
              </w:rPr>
            </w:pPr>
            <w:r>
              <w:rPr>
                <w:rFonts w:hint="eastAsia"/>
                <w:color w:val="auto"/>
                <w:kern w:val="0"/>
              </w:rPr>
              <w:t>对生产经营单位安全生产监督检查</w:t>
            </w:r>
          </w:p>
        </w:tc>
        <w:tc>
          <w:tcPr>
            <w:tcW w:w="5702" w:type="dxa"/>
            <w:tcBorders>
              <w:top w:val="nil"/>
              <w:left w:val="nil"/>
              <w:bottom w:val="single" w:color="auto" w:sz="4" w:space="0"/>
              <w:right w:val="single" w:color="auto" w:sz="4" w:space="0"/>
            </w:tcBorders>
            <w:noWrap w:val="0"/>
            <w:vAlign w:val="center"/>
          </w:tcPr>
          <w:p>
            <w:pPr>
              <w:widowControl/>
              <w:spacing w:line="320" w:lineRule="exact"/>
              <w:rPr>
                <w:color w:val="auto"/>
                <w:kern w:val="0"/>
              </w:rPr>
            </w:pPr>
            <w:r>
              <w:rPr>
                <w:color w:val="auto"/>
                <w:kern w:val="0"/>
              </w:rPr>
              <w:t>1.</w:t>
            </w:r>
            <w:r>
              <w:rPr>
                <w:rFonts w:eastAsia="仿宋_GB2312"/>
                <w:color w:val="auto"/>
                <w:sz w:val="32"/>
                <w:szCs w:val="32"/>
              </w:rPr>
              <w:t xml:space="preserve"> </w:t>
            </w:r>
            <w:r>
              <w:rPr>
                <w:rFonts w:hint="eastAsia"/>
                <w:color w:val="auto"/>
                <w:kern w:val="0"/>
              </w:rPr>
              <w:t>《中华人民共和国安全生产法》第九条：国务院和县级以上地方各级人民政府应当加强对安全生产工作的领导，建立健全安全生产工作协调机制，支持、督促各有关部门依法履行安全生产监督管理职责，及时协调、解决安全生产监督管理中存在的重大问题。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p>
            <w:pPr>
              <w:widowControl/>
              <w:spacing w:line="320" w:lineRule="exact"/>
              <w:rPr>
                <w:color w:val="auto"/>
                <w:kern w:val="0"/>
              </w:rPr>
            </w:pPr>
            <w:r>
              <w:rPr>
                <w:color w:val="auto"/>
                <w:kern w:val="0"/>
              </w:rPr>
              <w:t>2.</w:t>
            </w:r>
            <w:r>
              <w:rPr>
                <w:rFonts w:hint="eastAsia"/>
                <w:color w:val="auto"/>
                <w:kern w:val="0"/>
              </w:rPr>
              <w:t>《安徽省安全生产条例》第三十五条：乡镇人民政府、街道办事处，以及开发区、工业园区、港区、风景区等功能区的管理机构应当按照职责，加强对辖区内生产经营单位安全生产的监督检查，及时制止安全生产违法行为，并向安全生产监督管理部门和其他有关部门报告。</w:t>
            </w:r>
          </w:p>
        </w:tc>
        <w:tc>
          <w:tcPr>
            <w:tcW w:w="2625" w:type="dxa"/>
            <w:tcBorders>
              <w:top w:val="nil"/>
              <w:left w:val="nil"/>
              <w:bottom w:val="single" w:color="auto" w:sz="4" w:space="0"/>
              <w:right w:val="single" w:color="auto" w:sz="4" w:space="0"/>
            </w:tcBorders>
            <w:noWrap w:val="0"/>
            <w:vAlign w:val="center"/>
          </w:tcPr>
          <w:p>
            <w:pPr>
              <w:widowControl/>
              <w:spacing w:line="320" w:lineRule="exact"/>
              <w:rPr>
                <w:color w:val="auto"/>
                <w:kern w:val="0"/>
              </w:rPr>
            </w:pPr>
            <w:r>
              <w:rPr>
                <w:rFonts w:hint="eastAsia"/>
                <w:color w:val="auto"/>
                <w:kern w:val="0"/>
              </w:rPr>
              <w:t>应急管理等负有安全生产监督管理职责的部门按照职责分工和监管权限，负责制定安全生产年度监督检查计划，严格按计划进行检查、抽查；规范执法程序，发现生产安全事故隐患，依法采取责令立即排除、责令限期整改、到期复查等措施，对逾期未整改、未治理或者整改、治理不合格的，依法给予行政处罚，对发现的违法行为依法处理处罚；加强对乡镇（街道）相关人员安全生产教育培训，提供必要的技术支持。</w:t>
            </w:r>
          </w:p>
        </w:tc>
        <w:tc>
          <w:tcPr>
            <w:tcW w:w="2693" w:type="dxa"/>
            <w:tcBorders>
              <w:top w:val="nil"/>
              <w:left w:val="nil"/>
              <w:bottom w:val="single" w:color="auto" w:sz="4" w:space="0"/>
              <w:right w:val="single" w:color="auto" w:sz="4" w:space="0"/>
            </w:tcBorders>
            <w:noWrap w:val="0"/>
            <w:vAlign w:val="center"/>
          </w:tcPr>
          <w:p>
            <w:pPr>
              <w:widowControl/>
              <w:spacing w:line="320" w:lineRule="exact"/>
              <w:rPr>
                <w:color w:val="auto"/>
                <w:kern w:val="0"/>
              </w:rPr>
            </w:pPr>
            <w:r>
              <w:rPr>
                <w:rFonts w:hint="eastAsia"/>
                <w:color w:val="auto"/>
                <w:kern w:val="0"/>
              </w:rPr>
              <w:t>制定本级安全生产监督检查年度工作计划，通过现场检查、调阅资料等方式按计划做好日常巡查并做好记录，对发现的安全生产违法行为及时制止，上报负有安全生产监管职责的部门处理。</w:t>
            </w:r>
          </w:p>
        </w:tc>
        <w:tc>
          <w:tcPr>
            <w:tcW w:w="851" w:type="dxa"/>
            <w:tcBorders>
              <w:top w:val="nil"/>
              <w:left w:val="nil"/>
              <w:bottom w:val="single" w:color="auto" w:sz="4" w:space="0"/>
              <w:right w:val="single" w:color="auto" w:sz="4" w:space="0"/>
            </w:tcBorders>
            <w:noWrap w:val="0"/>
            <w:vAlign w:val="top"/>
          </w:tcPr>
          <w:p>
            <w:pPr>
              <w:widowControl/>
              <w:spacing w:line="320" w:lineRule="exact"/>
              <w:rPr>
                <w:color w:val="auto"/>
                <w:kern w:val="0"/>
              </w:rPr>
            </w:pPr>
          </w:p>
        </w:tc>
      </w:tr>
      <w:tr>
        <w:tblPrEx>
          <w:tblCellMar>
            <w:top w:w="0" w:type="dxa"/>
            <w:left w:w="108" w:type="dxa"/>
            <w:bottom w:w="0" w:type="dxa"/>
            <w:right w:w="108" w:type="dxa"/>
          </w:tblCellMar>
        </w:tblPrEx>
        <w:trPr>
          <w:trHeight w:val="8050" w:hRule="atLeast"/>
        </w:trPr>
        <w:tc>
          <w:tcPr>
            <w:tcW w:w="538"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color w:val="auto"/>
                <w:kern w:val="0"/>
              </w:rPr>
            </w:pPr>
            <w:r>
              <w:rPr>
                <w:color w:val="auto"/>
                <w:kern w:val="0"/>
              </w:rPr>
              <w:t>28</w:t>
            </w:r>
          </w:p>
        </w:tc>
        <w:tc>
          <w:tcPr>
            <w:tcW w:w="679" w:type="dxa"/>
            <w:tcBorders>
              <w:top w:val="nil"/>
              <w:left w:val="nil"/>
              <w:bottom w:val="single" w:color="auto" w:sz="4" w:space="0"/>
              <w:right w:val="single" w:color="auto" w:sz="4" w:space="0"/>
            </w:tcBorders>
            <w:shd w:val="clear" w:color="auto" w:fill="auto"/>
            <w:noWrap w:val="0"/>
            <w:vAlign w:val="center"/>
          </w:tcPr>
          <w:p>
            <w:pPr>
              <w:widowControl/>
              <w:spacing w:line="320" w:lineRule="exact"/>
              <w:jc w:val="center"/>
              <w:rPr>
                <w:rFonts w:hint="eastAsia" w:eastAsia="宋体"/>
                <w:color w:val="auto"/>
                <w:kern w:val="0"/>
                <w:lang w:eastAsia="zh-CN"/>
              </w:rPr>
            </w:pPr>
            <w:r>
              <w:rPr>
                <w:rFonts w:hint="eastAsia"/>
                <w:color w:val="auto"/>
                <w:kern w:val="0"/>
              </w:rPr>
              <w:t>其他</w:t>
            </w:r>
          </w:p>
          <w:p>
            <w:pPr>
              <w:widowControl/>
              <w:spacing w:line="320" w:lineRule="exact"/>
              <w:jc w:val="center"/>
              <w:rPr>
                <w:color w:val="auto"/>
                <w:kern w:val="0"/>
              </w:rPr>
            </w:pPr>
            <w:r>
              <w:rPr>
                <w:rFonts w:hint="eastAsia"/>
                <w:color w:val="auto"/>
                <w:kern w:val="0"/>
              </w:rPr>
              <w:t>权力</w:t>
            </w:r>
          </w:p>
        </w:tc>
        <w:tc>
          <w:tcPr>
            <w:tcW w:w="1064" w:type="dxa"/>
            <w:tcBorders>
              <w:top w:val="nil"/>
              <w:left w:val="nil"/>
              <w:bottom w:val="single" w:color="auto" w:sz="4" w:space="0"/>
              <w:right w:val="single" w:color="auto" w:sz="4" w:space="0"/>
            </w:tcBorders>
            <w:shd w:val="clear" w:color="auto" w:fill="auto"/>
            <w:noWrap w:val="0"/>
            <w:vAlign w:val="center"/>
          </w:tcPr>
          <w:p>
            <w:pPr>
              <w:widowControl/>
              <w:spacing w:line="320" w:lineRule="exact"/>
              <w:rPr>
                <w:color w:val="auto"/>
                <w:kern w:val="0"/>
              </w:rPr>
            </w:pPr>
            <w:r>
              <w:rPr>
                <w:rFonts w:hint="eastAsia"/>
                <w:color w:val="auto"/>
                <w:kern w:val="0"/>
              </w:rPr>
              <w:t>对陆生野生动物造成人身伤害和财产损失补偿申请的初审转报</w:t>
            </w:r>
          </w:p>
        </w:tc>
        <w:tc>
          <w:tcPr>
            <w:tcW w:w="5702" w:type="dxa"/>
            <w:tcBorders>
              <w:top w:val="nil"/>
              <w:left w:val="nil"/>
              <w:bottom w:val="single" w:color="auto" w:sz="4" w:space="0"/>
              <w:right w:val="single" w:color="auto" w:sz="4" w:space="0"/>
            </w:tcBorders>
            <w:shd w:val="clear" w:color="auto" w:fill="FFFFFF"/>
            <w:noWrap w:val="0"/>
            <w:vAlign w:val="center"/>
          </w:tcPr>
          <w:p>
            <w:pPr>
              <w:widowControl/>
              <w:spacing w:line="320" w:lineRule="exact"/>
              <w:rPr>
                <w:rFonts w:hint="eastAsia" w:eastAsia="宋体"/>
                <w:color w:val="auto"/>
                <w:kern w:val="0"/>
                <w:lang w:eastAsia="zh-CN"/>
              </w:rPr>
            </w:pPr>
            <w:r>
              <w:rPr>
                <w:rFonts w:hint="eastAsia"/>
                <w:color w:val="auto"/>
                <w:kern w:val="0"/>
              </w:rPr>
              <w:t>《安徽省陆生野生动物造成人身伤害和财产损失补偿办法》第四条：省人民政府林业行政主管部门负责指导和监督本行政区域内野生动物造成损害的补偿工作。市、县人民政府林业行政主管部门负责组织本行政区域内野生动物造成损害的认定、核实和补偿工作。县级以上人民政府财政、民政、农业农村、卫生健康、公安、人力资源社会保障等有关行政主管部门，应当按照各自职责，做好野生动物造成损害的补偿工作。乡</w:t>
            </w:r>
            <w:r>
              <w:rPr>
                <w:color w:val="auto"/>
                <w:kern w:val="0"/>
              </w:rPr>
              <w:t>(</w:t>
            </w:r>
            <w:r>
              <w:rPr>
                <w:rFonts w:hint="eastAsia"/>
                <w:color w:val="auto"/>
                <w:kern w:val="0"/>
              </w:rPr>
              <w:t>镇</w:t>
            </w:r>
            <w:r>
              <w:rPr>
                <w:color w:val="auto"/>
                <w:kern w:val="0"/>
              </w:rPr>
              <w:t>)</w:t>
            </w:r>
            <w:r>
              <w:rPr>
                <w:rFonts w:hint="eastAsia"/>
                <w:color w:val="auto"/>
                <w:kern w:val="0"/>
              </w:rPr>
              <w:t>人民政府、街道办事处应当做好野生动物造成损害的调查工作，村民委员会、居民委员会配合做好相关工作。</w:t>
            </w:r>
          </w:p>
          <w:p>
            <w:pPr>
              <w:widowControl/>
              <w:spacing w:line="320" w:lineRule="exact"/>
              <w:rPr>
                <w:color w:val="auto"/>
                <w:kern w:val="0"/>
              </w:rPr>
            </w:pPr>
            <w:r>
              <w:rPr>
                <w:rFonts w:hint="eastAsia"/>
                <w:color w:val="auto"/>
                <w:kern w:val="0"/>
              </w:rPr>
              <w:t>第九条：乡（镇）人民政府或者街道办事处应当自接到补偿申请之日起</w:t>
            </w:r>
            <w:r>
              <w:rPr>
                <w:color w:val="auto"/>
                <w:kern w:val="0"/>
              </w:rPr>
              <w:t>5</w:t>
            </w:r>
            <w:r>
              <w:rPr>
                <w:rFonts w:hint="eastAsia"/>
                <w:color w:val="auto"/>
                <w:kern w:val="0"/>
              </w:rPr>
              <w:t>日内，对野生动物造成的人身伤害或者财产损失情况进行调查，提出初步处理意见，并将补偿申请相关材料和初步处理意见一并报市、县人民政府林业行政主管部门。</w:t>
            </w:r>
          </w:p>
        </w:tc>
        <w:tc>
          <w:tcPr>
            <w:tcW w:w="2625" w:type="dxa"/>
            <w:tcBorders>
              <w:top w:val="nil"/>
              <w:left w:val="nil"/>
              <w:bottom w:val="single" w:color="auto" w:sz="4" w:space="0"/>
              <w:right w:val="single" w:color="auto" w:sz="4" w:space="0"/>
            </w:tcBorders>
            <w:shd w:val="clear" w:color="auto" w:fill="FFFFFF"/>
            <w:noWrap w:val="0"/>
            <w:vAlign w:val="center"/>
          </w:tcPr>
          <w:p>
            <w:pPr>
              <w:widowControl/>
              <w:spacing w:line="320" w:lineRule="exact"/>
              <w:rPr>
                <w:color w:val="auto"/>
                <w:kern w:val="0"/>
              </w:rPr>
            </w:pPr>
            <w:r>
              <w:rPr>
                <w:rFonts w:hint="eastAsia"/>
                <w:color w:val="auto"/>
                <w:kern w:val="0"/>
              </w:rPr>
              <w:t>林业部门自收到补偿申请相关材料和初步处理意见之日起</w:t>
            </w:r>
            <w:r>
              <w:rPr>
                <w:color w:val="auto"/>
                <w:kern w:val="0"/>
              </w:rPr>
              <w:t>10</w:t>
            </w:r>
            <w:r>
              <w:rPr>
                <w:rFonts w:hint="eastAsia"/>
                <w:color w:val="auto"/>
                <w:kern w:val="0"/>
              </w:rPr>
              <w:t>日内，根据具体情况组织本级财政、民政、农业农村、卫生健康、公安、人力资源社会保障等有关部门进行核实确认，提出补偿或者不予补偿的意见，书面通知申请人，并将意见在本部门网站和损害行为发生地村民委员会或者居民委员会公示。公示期为</w:t>
            </w:r>
            <w:r>
              <w:rPr>
                <w:color w:val="auto"/>
                <w:kern w:val="0"/>
              </w:rPr>
              <w:t>7</w:t>
            </w:r>
            <w:r>
              <w:rPr>
                <w:rFonts w:hint="eastAsia"/>
                <w:color w:val="auto"/>
                <w:kern w:val="0"/>
              </w:rPr>
              <w:t>日。公示期内，对公示内容有异议的，可以向林业部门提出。林业部门应当在</w:t>
            </w:r>
            <w:r>
              <w:rPr>
                <w:color w:val="auto"/>
                <w:kern w:val="0"/>
              </w:rPr>
              <w:t>7</w:t>
            </w:r>
            <w:r>
              <w:rPr>
                <w:rFonts w:hint="eastAsia"/>
                <w:color w:val="auto"/>
                <w:kern w:val="0"/>
              </w:rPr>
              <w:t>日内组织调查核实。公示期满，没有异议或者异议不成立，对应当补偿的，由林业部门作出补偿决定，财政部门根据补偿决定及时向申请人一次性发放补偿费。</w:t>
            </w:r>
          </w:p>
        </w:tc>
        <w:tc>
          <w:tcPr>
            <w:tcW w:w="2693" w:type="dxa"/>
            <w:tcBorders>
              <w:top w:val="nil"/>
              <w:left w:val="nil"/>
              <w:bottom w:val="single" w:color="auto" w:sz="4" w:space="0"/>
              <w:right w:val="single" w:color="auto" w:sz="4" w:space="0"/>
            </w:tcBorders>
            <w:shd w:val="clear" w:color="auto" w:fill="FFFFFF"/>
            <w:noWrap w:val="0"/>
            <w:vAlign w:val="center"/>
          </w:tcPr>
          <w:p>
            <w:pPr>
              <w:widowControl/>
              <w:spacing w:line="320" w:lineRule="exact"/>
              <w:rPr>
                <w:color w:val="auto"/>
                <w:kern w:val="0"/>
              </w:rPr>
            </w:pPr>
            <w:r>
              <w:rPr>
                <w:rFonts w:hint="eastAsia"/>
                <w:color w:val="auto"/>
                <w:kern w:val="0"/>
              </w:rPr>
              <w:t>自接到补偿申请之日起</w:t>
            </w:r>
            <w:r>
              <w:rPr>
                <w:color w:val="auto"/>
                <w:kern w:val="0"/>
              </w:rPr>
              <w:t>5</w:t>
            </w:r>
            <w:r>
              <w:rPr>
                <w:rFonts w:hint="eastAsia"/>
                <w:color w:val="auto"/>
                <w:kern w:val="0"/>
              </w:rPr>
              <w:t>日内，对野生动物造成的人身伤害或者财产损失情况进行调查，提出初步处理意见，并将补偿申请相关材料和初步处理意见一并报县级林业部门。</w:t>
            </w:r>
          </w:p>
        </w:tc>
        <w:tc>
          <w:tcPr>
            <w:tcW w:w="851" w:type="dxa"/>
            <w:tcBorders>
              <w:top w:val="nil"/>
              <w:left w:val="nil"/>
              <w:bottom w:val="single" w:color="auto" w:sz="4" w:space="0"/>
              <w:right w:val="single" w:color="auto" w:sz="4" w:space="0"/>
            </w:tcBorders>
            <w:shd w:val="clear" w:color="auto" w:fill="FFFFFF"/>
            <w:noWrap w:val="0"/>
            <w:vAlign w:val="top"/>
          </w:tcPr>
          <w:p>
            <w:pPr>
              <w:widowControl/>
              <w:spacing w:line="320" w:lineRule="exact"/>
              <w:rPr>
                <w:color w:val="auto"/>
                <w:kern w:val="0"/>
              </w:rPr>
            </w:pPr>
          </w:p>
        </w:tc>
      </w:tr>
      <w:tr>
        <w:tblPrEx>
          <w:tblCellMar>
            <w:top w:w="0" w:type="dxa"/>
            <w:left w:w="108" w:type="dxa"/>
            <w:bottom w:w="0" w:type="dxa"/>
            <w:right w:w="108" w:type="dxa"/>
          </w:tblCellMar>
        </w:tblPrEx>
        <w:trPr>
          <w:trHeight w:val="8050" w:hRule="atLeast"/>
        </w:trPr>
        <w:tc>
          <w:tcPr>
            <w:tcW w:w="538"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rPr>
                <w:color w:val="auto"/>
                <w:kern w:val="0"/>
              </w:rPr>
            </w:pPr>
            <w:r>
              <w:rPr>
                <w:color w:val="auto"/>
                <w:kern w:val="0"/>
              </w:rPr>
              <w:t>29</w:t>
            </w:r>
          </w:p>
        </w:tc>
        <w:tc>
          <w:tcPr>
            <w:tcW w:w="679" w:type="dxa"/>
            <w:tcBorders>
              <w:top w:val="nil"/>
              <w:left w:val="nil"/>
              <w:bottom w:val="single" w:color="auto" w:sz="4" w:space="0"/>
              <w:right w:val="single" w:color="auto" w:sz="4" w:space="0"/>
            </w:tcBorders>
            <w:noWrap w:val="0"/>
            <w:vAlign w:val="center"/>
          </w:tcPr>
          <w:p>
            <w:pPr>
              <w:widowControl/>
              <w:spacing w:line="320" w:lineRule="exact"/>
              <w:jc w:val="center"/>
              <w:rPr>
                <w:rFonts w:hint="eastAsia" w:eastAsia="宋体"/>
                <w:color w:val="auto"/>
                <w:kern w:val="0"/>
                <w:lang w:eastAsia="zh-CN"/>
              </w:rPr>
            </w:pPr>
            <w:r>
              <w:rPr>
                <w:rFonts w:hint="eastAsia"/>
                <w:color w:val="auto"/>
                <w:kern w:val="0"/>
              </w:rPr>
              <w:t>其他</w:t>
            </w:r>
          </w:p>
          <w:p>
            <w:pPr>
              <w:widowControl/>
              <w:spacing w:line="320" w:lineRule="exact"/>
              <w:jc w:val="center"/>
              <w:rPr>
                <w:color w:val="auto"/>
                <w:kern w:val="0"/>
              </w:rPr>
            </w:pPr>
            <w:r>
              <w:rPr>
                <w:rFonts w:hint="eastAsia"/>
                <w:color w:val="auto"/>
                <w:kern w:val="0"/>
              </w:rPr>
              <w:t>权力</w:t>
            </w:r>
          </w:p>
        </w:tc>
        <w:tc>
          <w:tcPr>
            <w:tcW w:w="1064" w:type="dxa"/>
            <w:tcBorders>
              <w:top w:val="nil"/>
              <w:left w:val="nil"/>
              <w:bottom w:val="single" w:color="auto" w:sz="4" w:space="0"/>
              <w:right w:val="single" w:color="auto" w:sz="4" w:space="0"/>
            </w:tcBorders>
            <w:noWrap w:val="0"/>
            <w:vAlign w:val="center"/>
          </w:tcPr>
          <w:p>
            <w:pPr>
              <w:widowControl/>
              <w:spacing w:line="320" w:lineRule="exact"/>
              <w:rPr>
                <w:color w:val="auto"/>
                <w:kern w:val="0"/>
              </w:rPr>
            </w:pPr>
            <w:r>
              <w:rPr>
                <w:rFonts w:hint="eastAsia"/>
                <w:color w:val="auto"/>
                <w:kern w:val="0"/>
              </w:rPr>
              <w:t>医疗救助待遇审核转报</w:t>
            </w:r>
          </w:p>
        </w:tc>
        <w:tc>
          <w:tcPr>
            <w:tcW w:w="5702" w:type="dxa"/>
            <w:tcBorders>
              <w:top w:val="nil"/>
              <w:left w:val="nil"/>
              <w:bottom w:val="single" w:color="auto" w:sz="4" w:space="0"/>
              <w:right w:val="single" w:color="auto" w:sz="4" w:space="0"/>
            </w:tcBorders>
            <w:noWrap w:val="0"/>
            <w:vAlign w:val="center"/>
          </w:tcPr>
          <w:p>
            <w:pPr>
              <w:widowControl/>
              <w:spacing w:line="320" w:lineRule="exact"/>
              <w:rPr>
                <w:color w:val="auto"/>
                <w:kern w:val="0"/>
              </w:rPr>
            </w:pPr>
            <w:r>
              <w:rPr>
                <w:color w:val="auto"/>
                <w:kern w:val="0"/>
              </w:rPr>
              <w:t>1.</w:t>
            </w:r>
            <w:r>
              <w:rPr>
                <w:rFonts w:hint="eastAsia"/>
                <w:color w:val="auto"/>
                <w:kern w:val="0"/>
              </w:rPr>
              <w:t>《社会救助暂行办法》第三十条：申请医疗救助的，应当向乡镇人民政府、街道办事处提出，经审核、公示后，由县级人民政府医疗保障部门审批。最低生活保障家庭成员和特困供养人员的医疗救助，由县级人民政府医疗保障部门直接办理。</w:t>
            </w:r>
          </w:p>
          <w:p>
            <w:pPr>
              <w:widowControl/>
              <w:spacing w:line="320" w:lineRule="exact"/>
              <w:rPr>
                <w:color w:val="auto"/>
                <w:kern w:val="0"/>
              </w:rPr>
            </w:pPr>
            <w:r>
              <w:rPr>
                <w:color w:val="auto"/>
                <w:kern w:val="0"/>
              </w:rPr>
              <w:t>2.</w:t>
            </w:r>
            <w:r>
              <w:rPr>
                <w:rFonts w:hint="eastAsia"/>
                <w:color w:val="auto"/>
                <w:kern w:val="0"/>
              </w:rPr>
              <w:t>《安徽省低收入人口认定及救助暂行办法》第十二条　县级人民政府民政部门应当在做出予以认定决定后的</w:t>
            </w:r>
            <w:r>
              <w:rPr>
                <w:color w:val="auto"/>
                <w:kern w:val="0"/>
              </w:rPr>
              <w:t>5</w:t>
            </w:r>
            <w:r>
              <w:rPr>
                <w:rFonts w:hint="eastAsia"/>
                <w:color w:val="auto"/>
                <w:kern w:val="0"/>
              </w:rPr>
              <w:t>个工作日内，将低收入人口基本信息录入安徽省社会救助大数据平台，并标明低收入人口类别（属多种类别的，分别予以标明），同步向教育、人力资源社会保障、住房城乡建设、卫生健康、应急管理、医疗保障等社会救助管理部门以及数据资源管理部门推送。</w:t>
            </w:r>
          </w:p>
          <w:p>
            <w:pPr>
              <w:widowControl/>
              <w:spacing w:line="320" w:lineRule="exact"/>
              <w:rPr>
                <w:color w:val="auto"/>
                <w:kern w:val="0"/>
              </w:rPr>
            </w:pPr>
            <w:r>
              <w:rPr>
                <w:rFonts w:hint="eastAsia"/>
                <w:color w:val="auto"/>
                <w:kern w:val="0"/>
              </w:rPr>
              <w:t>第十五条：医疗救助。低收入人口中的低保对象、特困人员直接享受相应的医疗救助待遇。低收入人口中其他对象的医疗救助待遇按照医疗保障部门相关政策执行。</w:t>
            </w:r>
          </w:p>
          <w:p>
            <w:pPr>
              <w:widowControl/>
              <w:spacing w:line="320" w:lineRule="exact"/>
              <w:rPr>
                <w:color w:val="auto"/>
                <w:kern w:val="0"/>
              </w:rPr>
            </w:pPr>
            <w:r>
              <w:rPr>
                <w:color w:val="auto"/>
                <w:kern w:val="0"/>
              </w:rPr>
              <w:t>3.</w:t>
            </w:r>
            <w:r>
              <w:rPr>
                <w:rFonts w:hint="eastAsia"/>
                <w:color w:val="auto"/>
                <w:kern w:val="0"/>
              </w:rPr>
              <w:t>《安徽省医疗保障局</w:t>
            </w:r>
            <w:r>
              <w:rPr>
                <w:color w:val="auto"/>
                <w:kern w:val="0"/>
              </w:rPr>
              <w:t xml:space="preserve"> </w:t>
            </w:r>
            <w:r>
              <w:rPr>
                <w:rFonts w:hint="eastAsia"/>
                <w:color w:val="auto"/>
                <w:kern w:val="0"/>
              </w:rPr>
              <w:t>安徽省民政厅</w:t>
            </w:r>
            <w:r>
              <w:rPr>
                <w:color w:val="auto"/>
                <w:kern w:val="0"/>
              </w:rPr>
              <w:t xml:space="preserve"> </w:t>
            </w:r>
            <w:r>
              <w:rPr>
                <w:rFonts w:hint="eastAsia"/>
                <w:color w:val="auto"/>
                <w:kern w:val="0"/>
              </w:rPr>
              <w:t>安徽省财政厅</w:t>
            </w:r>
            <w:r>
              <w:rPr>
                <w:color w:val="auto"/>
                <w:kern w:val="0"/>
              </w:rPr>
              <w:t xml:space="preserve"> </w:t>
            </w:r>
            <w:r>
              <w:rPr>
                <w:rFonts w:hint="eastAsia"/>
                <w:color w:val="auto"/>
                <w:kern w:val="0"/>
              </w:rPr>
              <w:t>安徽省卫生健康委</w:t>
            </w:r>
            <w:r>
              <w:rPr>
                <w:color w:val="auto"/>
                <w:kern w:val="0"/>
              </w:rPr>
              <w:t xml:space="preserve"> </w:t>
            </w:r>
            <w:r>
              <w:rPr>
                <w:rFonts w:hint="eastAsia"/>
                <w:color w:val="auto"/>
                <w:kern w:val="0"/>
              </w:rPr>
              <w:t>国家税务总局安徽省税务局</w:t>
            </w:r>
            <w:r>
              <w:rPr>
                <w:color w:val="auto"/>
                <w:kern w:val="0"/>
              </w:rPr>
              <w:t xml:space="preserve"> </w:t>
            </w:r>
            <w:r>
              <w:rPr>
                <w:rFonts w:hint="eastAsia"/>
                <w:color w:val="auto"/>
                <w:kern w:val="0"/>
              </w:rPr>
              <w:t>中国银保监会安徽监管局</w:t>
            </w:r>
            <w:r>
              <w:rPr>
                <w:color w:val="auto"/>
                <w:kern w:val="0"/>
              </w:rPr>
              <w:t xml:space="preserve"> </w:t>
            </w:r>
            <w:r>
              <w:rPr>
                <w:rFonts w:hint="eastAsia"/>
                <w:color w:val="auto"/>
                <w:kern w:val="0"/>
              </w:rPr>
              <w:t>安徽省乡村振兴局关于印发安徽省巩固拓展医疗保障脱贫攻坚成果有效衔接乡村振兴战略实施方案的通知》（皖医保发〔</w:t>
            </w:r>
            <w:r>
              <w:rPr>
                <w:color w:val="auto"/>
                <w:kern w:val="0"/>
              </w:rPr>
              <w:t>2021</w:t>
            </w:r>
            <w:r>
              <w:rPr>
                <w:rFonts w:hint="eastAsia"/>
                <w:color w:val="auto"/>
                <w:kern w:val="0"/>
              </w:rPr>
              <w:t>〕</w:t>
            </w:r>
            <w:r>
              <w:rPr>
                <w:color w:val="auto"/>
                <w:kern w:val="0"/>
              </w:rPr>
              <w:t>8</w:t>
            </w:r>
            <w:r>
              <w:rPr>
                <w:rFonts w:hint="eastAsia"/>
                <w:color w:val="auto"/>
                <w:kern w:val="0"/>
              </w:rPr>
              <w:t>号）：一个年度内家庭总收入减去个人自付医疗总费用后低于农村低收入家庭标准且符合低收入家庭财产核查条件的大病患者，按照户申请、村评议、乡镇审核、县级医保与民政、乡村振兴等部门审批的程序，实行依申请救助。</w:t>
            </w:r>
          </w:p>
        </w:tc>
        <w:tc>
          <w:tcPr>
            <w:tcW w:w="2625" w:type="dxa"/>
            <w:tcBorders>
              <w:top w:val="nil"/>
              <w:left w:val="nil"/>
              <w:bottom w:val="single" w:color="auto" w:sz="4" w:space="0"/>
              <w:right w:val="single" w:color="auto" w:sz="4" w:space="0"/>
            </w:tcBorders>
            <w:noWrap w:val="0"/>
            <w:vAlign w:val="center"/>
          </w:tcPr>
          <w:p>
            <w:pPr>
              <w:widowControl/>
              <w:spacing w:line="320" w:lineRule="exact"/>
              <w:rPr>
                <w:color w:val="auto"/>
                <w:kern w:val="0"/>
              </w:rPr>
            </w:pPr>
            <w:r>
              <w:rPr>
                <w:rFonts w:hint="eastAsia"/>
                <w:color w:val="auto"/>
                <w:kern w:val="0"/>
              </w:rPr>
              <w:t>医保部门负责审核相关医疗费用。</w:t>
            </w:r>
          </w:p>
          <w:p>
            <w:pPr>
              <w:widowControl/>
              <w:spacing w:line="320" w:lineRule="exact"/>
              <w:rPr>
                <w:color w:val="auto"/>
                <w:kern w:val="0"/>
              </w:rPr>
            </w:pPr>
            <w:r>
              <w:rPr>
                <w:rFonts w:hint="eastAsia"/>
                <w:color w:val="auto"/>
                <w:kern w:val="0"/>
              </w:rPr>
              <w:t>民政部门负责认定家庭总收入情况和是否符合低收入家庭财产核查条件，负责特困人员、低保对象和其他农村低收入人口身份认定和信息共享。</w:t>
            </w:r>
          </w:p>
          <w:p>
            <w:pPr>
              <w:widowControl/>
              <w:spacing w:line="320" w:lineRule="exact"/>
              <w:rPr>
                <w:color w:val="auto"/>
                <w:kern w:val="0"/>
              </w:rPr>
            </w:pPr>
            <w:r>
              <w:rPr>
                <w:rFonts w:hint="eastAsia"/>
                <w:color w:val="auto"/>
                <w:kern w:val="0"/>
              </w:rPr>
              <w:t>乡村振兴部门</w:t>
            </w:r>
            <w:r>
              <w:rPr>
                <w:rFonts w:hint="eastAsia"/>
                <w:color w:val="auto"/>
                <w:kern w:val="0"/>
                <w:lang w:val="en-US" w:eastAsia="zh-CN"/>
              </w:rPr>
              <w:t>牵头</w:t>
            </w:r>
            <w:r>
              <w:rPr>
                <w:rFonts w:hint="eastAsia"/>
                <w:color w:val="auto"/>
                <w:kern w:val="0"/>
              </w:rPr>
              <w:t>负责返贫致贫人口</w:t>
            </w:r>
            <w:r>
              <w:rPr>
                <w:rFonts w:hint="eastAsia"/>
                <w:color w:val="auto"/>
                <w:kern w:val="0"/>
                <w:lang w:eastAsia="zh-CN"/>
              </w:rPr>
              <w:t>，</w:t>
            </w:r>
            <w:r>
              <w:rPr>
                <w:rFonts w:hint="eastAsia"/>
                <w:color w:val="auto"/>
                <w:kern w:val="0"/>
              </w:rPr>
              <w:t>脱贫不稳定人口等防止返贫监测对象的认定和信息共享。</w:t>
            </w:r>
          </w:p>
          <w:p>
            <w:pPr>
              <w:widowControl/>
              <w:spacing w:line="320" w:lineRule="exact"/>
              <w:rPr>
                <w:color w:val="auto"/>
                <w:kern w:val="0"/>
              </w:rPr>
            </w:pPr>
            <w:r>
              <w:rPr>
                <w:rFonts w:hint="eastAsia"/>
                <w:color w:val="auto"/>
                <w:kern w:val="0"/>
              </w:rPr>
              <w:t>财政部门</w:t>
            </w:r>
            <w:r>
              <w:rPr>
                <w:rFonts w:hint="eastAsia"/>
                <w:color w:val="auto"/>
                <w:kern w:val="0"/>
                <w:lang w:val="en-US" w:eastAsia="zh-CN"/>
              </w:rPr>
              <w:t>会同相关部门安排、拨付补助资金；</w:t>
            </w:r>
            <w:r>
              <w:rPr>
                <w:rFonts w:hint="eastAsia"/>
                <w:color w:val="auto"/>
              </w:rPr>
              <w:t>医疗保障、卫生健康部门要会同财政部门按要求设定绩效目标并做好绩效自评，强化绩效监控、自评和资金监管。</w:t>
            </w:r>
          </w:p>
        </w:tc>
        <w:tc>
          <w:tcPr>
            <w:tcW w:w="2693" w:type="dxa"/>
            <w:tcBorders>
              <w:top w:val="nil"/>
              <w:left w:val="nil"/>
              <w:bottom w:val="single" w:color="auto" w:sz="4" w:space="0"/>
              <w:right w:val="single" w:color="auto" w:sz="4" w:space="0"/>
            </w:tcBorders>
            <w:noWrap w:val="0"/>
            <w:vAlign w:val="center"/>
          </w:tcPr>
          <w:p>
            <w:pPr>
              <w:widowControl/>
              <w:spacing w:line="320" w:lineRule="exact"/>
              <w:rPr>
                <w:color w:val="auto"/>
                <w:kern w:val="0"/>
              </w:rPr>
            </w:pPr>
            <w:r>
              <w:rPr>
                <w:rFonts w:hint="eastAsia"/>
                <w:color w:val="auto"/>
                <w:kern w:val="0"/>
              </w:rPr>
              <w:t>负责对除最低生活保障家庭成员、特困供养人员和</w:t>
            </w:r>
            <w:r>
              <w:rPr>
                <w:rFonts w:hint="eastAsia"/>
                <w:bCs/>
                <w:color w:val="auto"/>
                <w:kern w:val="0"/>
              </w:rPr>
              <w:t>返贫致贫人口</w:t>
            </w:r>
            <w:r>
              <w:rPr>
                <w:rFonts w:hint="eastAsia"/>
                <w:color w:val="auto"/>
                <w:kern w:val="0"/>
              </w:rPr>
              <w:t>等实现一站式救助外的医疗救助对象进行审核、公示和上报。</w:t>
            </w:r>
          </w:p>
        </w:tc>
        <w:tc>
          <w:tcPr>
            <w:tcW w:w="851" w:type="dxa"/>
            <w:tcBorders>
              <w:top w:val="nil"/>
              <w:left w:val="nil"/>
              <w:bottom w:val="single" w:color="auto" w:sz="4" w:space="0"/>
              <w:right w:val="single" w:color="auto" w:sz="4" w:space="0"/>
            </w:tcBorders>
            <w:noWrap w:val="0"/>
            <w:vAlign w:val="top"/>
          </w:tcPr>
          <w:p>
            <w:pPr>
              <w:widowControl/>
              <w:spacing w:line="320" w:lineRule="exact"/>
              <w:rPr>
                <w:color w:val="auto"/>
                <w:kern w:val="0"/>
              </w:rPr>
            </w:pPr>
          </w:p>
        </w:tc>
      </w:tr>
      <w:tr>
        <w:tblPrEx>
          <w:tblCellMar>
            <w:top w:w="0" w:type="dxa"/>
            <w:left w:w="108" w:type="dxa"/>
            <w:bottom w:w="0" w:type="dxa"/>
            <w:right w:w="108" w:type="dxa"/>
          </w:tblCellMar>
        </w:tblPrEx>
        <w:trPr>
          <w:trHeight w:val="3568" w:hRule="atLeast"/>
        </w:trPr>
        <w:tc>
          <w:tcPr>
            <w:tcW w:w="538"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rPr>
                <w:color w:val="auto"/>
                <w:kern w:val="0"/>
              </w:rPr>
            </w:pPr>
            <w:r>
              <w:rPr>
                <w:color w:val="auto"/>
                <w:kern w:val="0"/>
              </w:rPr>
              <w:t>30</w:t>
            </w:r>
          </w:p>
        </w:tc>
        <w:tc>
          <w:tcPr>
            <w:tcW w:w="679" w:type="dxa"/>
            <w:tcBorders>
              <w:top w:val="nil"/>
              <w:left w:val="nil"/>
              <w:bottom w:val="single" w:color="auto" w:sz="4" w:space="0"/>
              <w:right w:val="single" w:color="auto" w:sz="4" w:space="0"/>
            </w:tcBorders>
            <w:noWrap w:val="0"/>
            <w:vAlign w:val="center"/>
          </w:tcPr>
          <w:p>
            <w:pPr>
              <w:widowControl/>
              <w:spacing w:line="320" w:lineRule="exact"/>
              <w:jc w:val="center"/>
              <w:textAlignment w:val="center"/>
              <w:rPr>
                <w:color w:val="auto"/>
                <w:kern w:val="0"/>
              </w:rPr>
            </w:pPr>
            <w:r>
              <w:rPr>
                <w:rFonts w:hint="eastAsia"/>
                <w:color w:val="auto"/>
                <w:kern w:val="0"/>
              </w:rPr>
              <w:t>其他权力</w:t>
            </w:r>
          </w:p>
        </w:tc>
        <w:tc>
          <w:tcPr>
            <w:tcW w:w="1064" w:type="dxa"/>
            <w:tcBorders>
              <w:top w:val="nil"/>
              <w:left w:val="nil"/>
              <w:bottom w:val="single" w:color="auto" w:sz="4" w:space="0"/>
              <w:right w:val="single" w:color="auto" w:sz="4" w:space="0"/>
            </w:tcBorders>
            <w:noWrap w:val="0"/>
            <w:vAlign w:val="center"/>
          </w:tcPr>
          <w:p>
            <w:pPr>
              <w:widowControl/>
              <w:spacing w:line="320" w:lineRule="exact"/>
              <w:jc w:val="left"/>
              <w:textAlignment w:val="center"/>
              <w:rPr>
                <w:color w:val="auto"/>
                <w:kern w:val="0"/>
              </w:rPr>
            </w:pPr>
            <w:r>
              <w:rPr>
                <w:rFonts w:hint="eastAsia"/>
                <w:color w:val="auto"/>
                <w:kern w:val="0"/>
              </w:rPr>
              <w:t>农村集体聚餐厨师备案</w:t>
            </w:r>
          </w:p>
        </w:tc>
        <w:tc>
          <w:tcPr>
            <w:tcW w:w="5702" w:type="dxa"/>
            <w:tcBorders>
              <w:top w:val="nil"/>
              <w:left w:val="nil"/>
              <w:bottom w:val="single" w:color="auto" w:sz="4" w:space="0"/>
              <w:right w:val="single" w:color="auto" w:sz="4" w:space="0"/>
            </w:tcBorders>
            <w:noWrap w:val="0"/>
            <w:vAlign w:val="center"/>
          </w:tcPr>
          <w:p>
            <w:pPr>
              <w:widowControl/>
              <w:spacing w:line="320" w:lineRule="exact"/>
              <w:textAlignment w:val="center"/>
              <w:rPr>
                <w:rFonts w:hint="eastAsia" w:eastAsia="宋体"/>
                <w:color w:val="auto"/>
                <w:kern w:val="0"/>
                <w:lang w:eastAsia="zh-CN"/>
              </w:rPr>
            </w:pPr>
            <w:r>
              <w:rPr>
                <w:color w:val="auto"/>
                <w:kern w:val="0"/>
              </w:rPr>
              <w:t>1.</w:t>
            </w:r>
            <w:r>
              <w:rPr>
                <w:rFonts w:hint="eastAsia"/>
                <w:color w:val="auto"/>
                <w:kern w:val="0"/>
              </w:rPr>
              <w:t>《安徽省食品安全条例》第二十七条：在餐饮服务单位以外场所举办的群体性聚餐活动的食品安全责任，由举办者和承办者依法承担。县级人民政府食品安全监督管理部门应当按照国家和省有关规定，指导和监督前款规定的群体性聚餐活动，完善管理制度，加强宣传教育，告知举办者和承办者食品安全注意事项和相关责任，防范食品安全事故。</w:t>
            </w:r>
          </w:p>
          <w:p>
            <w:pPr>
              <w:widowControl/>
              <w:spacing w:line="320" w:lineRule="exact"/>
              <w:textAlignment w:val="center"/>
              <w:rPr>
                <w:rFonts w:hint="eastAsia" w:eastAsia="宋体"/>
                <w:color w:val="auto"/>
                <w:kern w:val="0"/>
                <w:lang w:eastAsia="zh-CN"/>
              </w:rPr>
            </w:pPr>
            <w:r>
              <w:rPr>
                <w:color w:val="auto"/>
                <w:kern w:val="0"/>
              </w:rPr>
              <w:t>2.</w:t>
            </w:r>
            <w:r>
              <w:rPr>
                <w:rFonts w:hint="eastAsia"/>
                <w:color w:val="auto"/>
                <w:kern w:val="0"/>
              </w:rPr>
              <w:t>《国务院食品安全办关于进一步强化农村集体聚餐食品安全风险防控的指导意见》：农村集体聚餐的举办者和承办者应自觉履行农村集体聚餐的报告义务。在集体聚餐举办前，举办者和承办者要主动、及时、如实地将聚餐菜单、举办地点、预期参加人数等内容提前向本村食品安全信息员报告，并签订食品安全承诺书。</w:t>
            </w:r>
          </w:p>
          <w:p>
            <w:pPr>
              <w:widowControl/>
              <w:spacing w:line="320" w:lineRule="exact"/>
              <w:textAlignment w:val="center"/>
              <w:rPr>
                <w:color w:val="auto"/>
                <w:kern w:val="0"/>
              </w:rPr>
            </w:pPr>
            <w:r>
              <w:rPr>
                <w:color w:val="auto"/>
                <w:kern w:val="0"/>
              </w:rPr>
              <w:t>3.</w:t>
            </w:r>
            <w:r>
              <w:rPr>
                <w:rFonts w:hint="eastAsia"/>
                <w:color w:val="auto"/>
                <w:kern w:val="0"/>
              </w:rPr>
              <w:t>《安徽省食品药品安全委员会办公室关于加强农村集体聚餐食品安全风险防控的指导意见》：乡（镇、街道）人民政府负责农村集体聚餐信息收集、报告和备案管理，组织开展食品安全知识宣传和培训，负责对农村集体聚餐厨师进行备案，落实</w:t>
            </w:r>
            <w:r>
              <w:rPr>
                <w:color w:val="auto"/>
                <w:kern w:val="0"/>
              </w:rPr>
              <w:t>“</w:t>
            </w:r>
            <w:r>
              <w:rPr>
                <w:rFonts w:hint="eastAsia"/>
                <w:color w:val="auto"/>
                <w:kern w:val="0"/>
              </w:rPr>
              <w:t>四员</w:t>
            </w:r>
            <w:r>
              <w:rPr>
                <w:color w:val="auto"/>
                <w:kern w:val="0"/>
              </w:rPr>
              <w:t>”</w:t>
            </w:r>
            <w:r>
              <w:rPr>
                <w:rFonts w:hint="eastAsia"/>
                <w:color w:val="auto"/>
                <w:kern w:val="0"/>
              </w:rPr>
              <w:t>工作职责，及时报告并协助处置农村集体聚餐食品安全突发事件。农村集体聚餐实行备案制度。</w:t>
            </w:r>
          </w:p>
        </w:tc>
        <w:tc>
          <w:tcPr>
            <w:tcW w:w="2625" w:type="dxa"/>
            <w:tcBorders>
              <w:top w:val="nil"/>
              <w:left w:val="nil"/>
              <w:bottom w:val="single" w:color="auto" w:sz="4" w:space="0"/>
              <w:right w:val="single" w:color="auto" w:sz="4" w:space="0"/>
            </w:tcBorders>
            <w:noWrap w:val="0"/>
            <w:vAlign w:val="center"/>
          </w:tcPr>
          <w:p>
            <w:pPr>
              <w:widowControl/>
              <w:spacing w:line="320" w:lineRule="exact"/>
              <w:textAlignment w:val="center"/>
              <w:rPr>
                <w:color w:val="auto"/>
                <w:kern w:val="0"/>
              </w:rPr>
            </w:pPr>
            <w:r>
              <w:rPr>
                <w:rFonts w:hint="eastAsia"/>
                <w:color w:val="auto"/>
                <w:kern w:val="0"/>
              </w:rPr>
              <w:t>县级人民政府食品安全监督管理部门应当按照国家和省有关规定，指导和监督群体性聚餐活动，完善管理制度，加强宣传教育，告知举办者和承办者食品安全注意事项和相关责任，防范食品安全事故。</w:t>
            </w:r>
          </w:p>
        </w:tc>
        <w:tc>
          <w:tcPr>
            <w:tcW w:w="2693" w:type="dxa"/>
            <w:tcBorders>
              <w:top w:val="nil"/>
              <w:left w:val="nil"/>
              <w:bottom w:val="single" w:color="auto" w:sz="4" w:space="0"/>
              <w:right w:val="single" w:color="auto" w:sz="4" w:space="0"/>
            </w:tcBorders>
            <w:noWrap w:val="0"/>
            <w:vAlign w:val="center"/>
          </w:tcPr>
          <w:p>
            <w:pPr>
              <w:widowControl/>
              <w:spacing w:line="300" w:lineRule="exact"/>
              <w:textAlignment w:val="center"/>
              <w:rPr>
                <w:color w:val="auto"/>
                <w:kern w:val="0"/>
              </w:rPr>
            </w:pPr>
            <w:r>
              <w:rPr>
                <w:rFonts w:hint="eastAsia"/>
                <w:color w:val="auto"/>
                <w:kern w:val="0"/>
              </w:rPr>
              <w:t>负责对农村集体聚餐厨师进行备案，督促农村集体聚餐厨师到其所在的乡镇（街道）食安办进行备案，按规定进行健康检查，组织开展食品安全知识培训。</w:t>
            </w:r>
          </w:p>
          <w:p>
            <w:pPr>
              <w:widowControl/>
              <w:spacing w:line="300" w:lineRule="exact"/>
              <w:textAlignment w:val="center"/>
              <w:rPr>
                <w:color w:val="auto"/>
                <w:kern w:val="0"/>
              </w:rPr>
            </w:pPr>
            <w:r>
              <w:rPr>
                <w:rFonts w:hint="eastAsia"/>
                <w:color w:val="auto"/>
                <w:kern w:val="0"/>
              </w:rPr>
              <w:t>负责农村集体聚餐信息收集、报告和备案管理，组织开展食品安全知识宣传和培训，及时报告并协助处置农村集体聚餐食品安全突发事件。</w:t>
            </w:r>
          </w:p>
          <w:p>
            <w:pPr>
              <w:widowControl/>
              <w:spacing w:line="300" w:lineRule="exact"/>
              <w:textAlignment w:val="center"/>
              <w:rPr>
                <w:color w:val="auto"/>
                <w:kern w:val="0"/>
              </w:rPr>
            </w:pPr>
            <w:r>
              <w:rPr>
                <w:rFonts w:hint="eastAsia"/>
                <w:color w:val="auto"/>
                <w:kern w:val="0"/>
              </w:rPr>
              <w:t>负责对农村集体聚餐实行分类指导，就餐人数在</w:t>
            </w:r>
            <w:r>
              <w:rPr>
                <w:color w:val="auto"/>
                <w:kern w:val="0"/>
              </w:rPr>
              <w:t>50</w:t>
            </w:r>
            <w:r>
              <w:rPr>
                <w:rFonts w:hint="eastAsia"/>
                <w:color w:val="auto"/>
                <w:kern w:val="0"/>
              </w:rPr>
              <w:t>至</w:t>
            </w:r>
            <w:r>
              <w:rPr>
                <w:color w:val="auto"/>
                <w:kern w:val="0"/>
              </w:rPr>
              <w:t>200</w:t>
            </w:r>
            <w:r>
              <w:rPr>
                <w:rFonts w:hint="eastAsia"/>
                <w:color w:val="auto"/>
                <w:kern w:val="0"/>
              </w:rPr>
              <w:t>人的聚餐活动，由本村（居）食品安全协管员或信息员进行现场指导；就餐人数</w:t>
            </w:r>
            <w:r>
              <w:rPr>
                <w:color w:val="auto"/>
                <w:kern w:val="0"/>
              </w:rPr>
              <w:t>201</w:t>
            </w:r>
            <w:r>
              <w:rPr>
                <w:rFonts w:hint="eastAsia"/>
                <w:color w:val="auto"/>
                <w:kern w:val="0"/>
              </w:rPr>
              <w:t>至</w:t>
            </w:r>
            <w:r>
              <w:rPr>
                <w:color w:val="auto"/>
                <w:kern w:val="0"/>
              </w:rPr>
              <w:t>399</w:t>
            </w:r>
            <w:r>
              <w:rPr>
                <w:rFonts w:hint="eastAsia"/>
                <w:color w:val="auto"/>
                <w:kern w:val="0"/>
              </w:rPr>
              <w:t>人的，由所在乡镇（街道）派食品安全管理员或宣传员进行现场指导；就餐人数在</w:t>
            </w:r>
            <w:r>
              <w:rPr>
                <w:color w:val="auto"/>
                <w:kern w:val="0"/>
              </w:rPr>
              <w:t>400</w:t>
            </w:r>
            <w:r>
              <w:rPr>
                <w:rFonts w:hint="eastAsia"/>
                <w:color w:val="auto"/>
                <w:kern w:val="0"/>
              </w:rPr>
              <w:t>人以上的，由所在乡镇（街道）报请县级食品药品监管部门派员进行现场指导；申报地正在流行传染病的，禁止举办集体聚餐活动。</w:t>
            </w:r>
          </w:p>
        </w:tc>
        <w:tc>
          <w:tcPr>
            <w:tcW w:w="851" w:type="dxa"/>
            <w:tcBorders>
              <w:top w:val="nil"/>
              <w:left w:val="nil"/>
              <w:bottom w:val="single" w:color="auto" w:sz="4" w:space="0"/>
              <w:right w:val="single" w:color="auto" w:sz="4" w:space="0"/>
            </w:tcBorders>
            <w:noWrap w:val="0"/>
            <w:vAlign w:val="top"/>
          </w:tcPr>
          <w:p>
            <w:pPr>
              <w:widowControl/>
              <w:spacing w:line="320" w:lineRule="exact"/>
              <w:rPr>
                <w:color w:val="auto"/>
                <w:kern w:val="0"/>
              </w:rPr>
            </w:pPr>
          </w:p>
        </w:tc>
      </w:tr>
      <w:tr>
        <w:tblPrEx>
          <w:tblCellMar>
            <w:top w:w="0" w:type="dxa"/>
            <w:left w:w="108" w:type="dxa"/>
            <w:bottom w:w="0" w:type="dxa"/>
            <w:right w:w="108" w:type="dxa"/>
          </w:tblCellMar>
        </w:tblPrEx>
        <w:trPr>
          <w:trHeight w:val="4001" w:hRule="atLeast"/>
        </w:trPr>
        <w:tc>
          <w:tcPr>
            <w:tcW w:w="53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color w:val="auto"/>
                <w:kern w:val="0"/>
              </w:rPr>
            </w:pPr>
            <w:r>
              <w:rPr>
                <w:color w:val="auto"/>
                <w:kern w:val="0"/>
              </w:rPr>
              <w:t>31</w:t>
            </w:r>
          </w:p>
        </w:tc>
        <w:tc>
          <w:tcPr>
            <w:tcW w:w="679" w:type="dxa"/>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hint="eastAsia" w:eastAsia="宋体"/>
                <w:color w:val="auto"/>
                <w:kern w:val="0"/>
                <w:lang w:eastAsia="zh-CN"/>
              </w:rPr>
            </w:pPr>
            <w:r>
              <w:rPr>
                <w:rFonts w:hint="eastAsia"/>
                <w:color w:val="auto"/>
                <w:kern w:val="0"/>
              </w:rPr>
              <w:t>其他</w:t>
            </w:r>
          </w:p>
          <w:p>
            <w:pPr>
              <w:widowControl/>
              <w:spacing w:line="320" w:lineRule="exact"/>
              <w:jc w:val="center"/>
              <w:rPr>
                <w:color w:val="auto"/>
                <w:kern w:val="0"/>
              </w:rPr>
            </w:pPr>
            <w:r>
              <w:rPr>
                <w:rFonts w:hint="eastAsia"/>
                <w:color w:val="auto"/>
                <w:kern w:val="0"/>
              </w:rPr>
              <w:t>权力</w:t>
            </w:r>
          </w:p>
        </w:tc>
        <w:tc>
          <w:tcPr>
            <w:tcW w:w="1064" w:type="dxa"/>
            <w:tcBorders>
              <w:top w:val="single" w:color="auto" w:sz="4" w:space="0"/>
              <w:left w:val="nil"/>
              <w:bottom w:val="single" w:color="auto" w:sz="4" w:space="0"/>
              <w:right w:val="single" w:color="auto" w:sz="4" w:space="0"/>
            </w:tcBorders>
            <w:noWrap w:val="0"/>
            <w:vAlign w:val="center"/>
          </w:tcPr>
          <w:p>
            <w:pPr>
              <w:widowControl/>
              <w:spacing w:line="320" w:lineRule="exact"/>
              <w:rPr>
                <w:color w:val="auto"/>
                <w:kern w:val="0"/>
              </w:rPr>
            </w:pPr>
            <w:r>
              <w:rPr>
                <w:rFonts w:hint="eastAsia"/>
                <w:color w:val="auto"/>
                <w:kern w:val="0"/>
              </w:rPr>
              <w:t>兵役登记</w:t>
            </w:r>
          </w:p>
        </w:tc>
        <w:tc>
          <w:tcPr>
            <w:tcW w:w="5702" w:type="dxa"/>
            <w:tcBorders>
              <w:top w:val="single" w:color="auto" w:sz="4" w:space="0"/>
              <w:left w:val="nil"/>
              <w:bottom w:val="single" w:color="auto" w:sz="4" w:space="0"/>
              <w:right w:val="single" w:color="auto" w:sz="4" w:space="0"/>
            </w:tcBorders>
            <w:noWrap w:val="0"/>
            <w:vAlign w:val="center"/>
          </w:tcPr>
          <w:p>
            <w:pPr>
              <w:widowControl/>
              <w:spacing w:line="320" w:lineRule="exact"/>
              <w:rPr>
                <w:color w:val="auto"/>
                <w:kern w:val="0"/>
              </w:rPr>
            </w:pPr>
            <w:r>
              <w:rPr>
                <w:rFonts w:hint="eastAsia"/>
                <w:color w:val="auto"/>
                <w:kern w:val="0"/>
              </w:rPr>
              <w:t>《征兵工作条例》第十二条：机关、团体、企业事业单位和乡、民族乡、镇的人民政府以及街道办事处，应当根据县、市兵役机关的安排，负责组织本单位和本地区的适龄男性公民进行兵役登记，填写《兵役登记表》，依法确定应服兵役、免服兵役和不得服兵役的人员，并报县、市兵役机关批准。经兵役登记和初步审查合格的，称应征公民。第十三条：机关、团体、企业事业单位和乡、民族乡、镇的人民政府以及街道办事处，按照县、市兵役机关的安排和要求，对本单位和本地区的应征公民，进行体格目测、病史调查和政治、文化初步审查，选定政治思想好、身体好、文化程度高的应征公民为当年预定征集的对象，并通知本人。</w:t>
            </w:r>
          </w:p>
        </w:tc>
        <w:tc>
          <w:tcPr>
            <w:tcW w:w="2625" w:type="dxa"/>
            <w:tcBorders>
              <w:top w:val="single" w:color="auto" w:sz="4" w:space="0"/>
              <w:left w:val="nil"/>
              <w:bottom w:val="single" w:color="auto" w:sz="4" w:space="0"/>
              <w:right w:val="single" w:color="auto" w:sz="4" w:space="0"/>
            </w:tcBorders>
            <w:noWrap w:val="0"/>
            <w:vAlign w:val="center"/>
          </w:tcPr>
          <w:p>
            <w:pPr>
              <w:widowControl/>
              <w:spacing w:line="320" w:lineRule="exact"/>
              <w:rPr>
                <w:color w:val="auto"/>
                <w:kern w:val="0"/>
              </w:rPr>
            </w:pPr>
            <w:r>
              <w:rPr>
                <w:rFonts w:hint="eastAsia"/>
                <w:color w:val="auto"/>
                <w:kern w:val="0"/>
              </w:rPr>
              <w:t>人民武装部负责审查乡镇（街道）上报的兵役登记情况，并加强对乡镇（街道）的业务指导。</w:t>
            </w:r>
          </w:p>
        </w:tc>
        <w:tc>
          <w:tcPr>
            <w:tcW w:w="2693" w:type="dxa"/>
            <w:tcBorders>
              <w:top w:val="single" w:color="auto" w:sz="4" w:space="0"/>
              <w:left w:val="nil"/>
              <w:bottom w:val="single" w:color="auto" w:sz="4" w:space="0"/>
              <w:right w:val="single" w:color="auto" w:sz="4" w:space="0"/>
            </w:tcBorders>
            <w:noWrap w:val="0"/>
            <w:vAlign w:val="center"/>
          </w:tcPr>
          <w:p>
            <w:pPr>
              <w:widowControl/>
              <w:spacing w:line="320" w:lineRule="exact"/>
              <w:rPr>
                <w:color w:val="auto"/>
                <w:kern w:val="0"/>
              </w:rPr>
            </w:pPr>
            <w:r>
              <w:rPr>
                <w:rFonts w:hint="eastAsia"/>
                <w:color w:val="auto"/>
                <w:kern w:val="0"/>
              </w:rPr>
              <w:t>根据兵役机关的要求，按时通知适龄公民到兵役登记站进行兵役登记，依法确定应服兵役、免服兵役和不得服兵役的人员，并报上级兵役机关批准。</w:t>
            </w:r>
          </w:p>
        </w:tc>
        <w:tc>
          <w:tcPr>
            <w:tcW w:w="851" w:type="dxa"/>
            <w:tcBorders>
              <w:top w:val="single" w:color="auto" w:sz="4" w:space="0"/>
              <w:left w:val="nil"/>
              <w:bottom w:val="single" w:color="auto" w:sz="4" w:space="0"/>
              <w:right w:val="single" w:color="auto" w:sz="4" w:space="0"/>
            </w:tcBorders>
            <w:noWrap w:val="0"/>
            <w:vAlign w:val="top"/>
          </w:tcPr>
          <w:p>
            <w:pPr>
              <w:widowControl/>
              <w:spacing w:line="320" w:lineRule="exact"/>
              <w:rPr>
                <w:color w:val="auto"/>
                <w:kern w:val="0"/>
              </w:rPr>
            </w:pPr>
          </w:p>
        </w:tc>
      </w:tr>
    </w:tbl>
    <w:p>
      <w:pPr>
        <w:rPr>
          <w:rFonts w:eastAsia="黑体"/>
          <w:color w:val="auto"/>
          <w:sz w:val="24"/>
          <w:szCs w:val="24"/>
        </w:rPr>
      </w:pPr>
    </w:p>
    <w:p>
      <w:pPr>
        <w:ind w:left="480" w:hanging="480" w:hangingChars="200"/>
        <w:rPr>
          <w:color w:val="auto"/>
        </w:rPr>
      </w:pPr>
      <w:r>
        <w:rPr>
          <w:rFonts w:hint="eastAsia" w:eastAsia="方正黑体_GBK"/>
          <w:color w:val="auto"/>
          <w:sz w:val="24"/>
          <w:szCs w:val="24"/>
        </w:rPr>
        <w:t>注：</w:t>
      </w:r>
      <w:r>
        <w:rPr>
          <w:rFonts w:hint="eastAsia" w:eastAsia="方正楷体_GBK"/>
          <w:color w:val="auto"/>
          <w:sz w:val="24"/>
          <w:szCs w:val="24"/>
        </w:rPr>
        <w:t>《乡镇（街道）权责清单指导目录》是梳理乡镇（街道）法定权责事项编制形成，乡镇（街道）承担主体责任，县级职能部门承担配合责任，并依法划分县级职能部门与乡镇（街道）职责边界，以备注形式区分乡（镇）人民政府和街道办事处不同权限。</w:t>
      </w:r>
    </w:p>
    <w:p>
      <w:pPr>
        <w:ind w:left="480" w:hanging="420" w:hangingChars="200"/>
        <w:rPr>
          <w:rFonts w:hint="eastAsia" w:eastAsia="方正楷体_GBK"/>
          <w:color w:val="auto"/>
          <w:sz w:val="32"/>
          <w:szCs w:val="32"/>
          <w:lang w:eastAsia="zh-CN"/>
        </w:rPr>
        <w:sectPr>
          <w:footerReference r:id="rId3" w:type="default"/>
          <w:pgSz w:w="16838" w:h="11906" w:orient="landscape"/>
          <w:pgMar w:top="1418" w:right="1418" w:bottom="1418" w:left="1418" w:header="851" w:footer="1134" w:gutter="0"/>
          <w:cols w:space="720" w:num="1"/>
          <w:docGrid w:linePitch="312" w:charSpace="0"/>
        </w:sectPr>
      </w:pPr>
      <w:r>
        <w:rPr>
          <w:color w:val="auto"/>
        </w:rPr>
        <w:br w:type="page"/>
      </w: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黑体_GBK">
    <w:altName w:val="微软雅黑"/>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_GBK">
    <w:altName w:val="微软雅黑"/>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ind w:left="315" w:leftChars="150" w:right="315" w:rightChars="150"/>
      <w:rPr>
        <w:rStyle w:val="5"/>
        <w:rFonts w:ascii="宋体" w:hAnsi="宋体"/>
        <w:sz w:val="28"/>
        <w:szCs w:val="28"/>
      </w:rPr>
    </w:pPr>
    <w:r>
      <w:rPr>
        <w:rStyle w:val="5"/>
        <w:rFonts w:ascii="宋体" w:hAnsi="宋体"/>
        <w:sz w:val="28"/>
        <w:szCs w:val="28"/>
      </w:rPr>
      <w:t xml:space="preserve">— </w:t>
    </w:r>
    <w:r>
      <w:rPr>
        <w:rStyle w:val="5"/>
        <w:sz w:val="28"/>
        <w:szCs w:val="28"/>
      </w:rPr>
      <w:fldChar w:fldCharType="begin"/>
    </w:r>
    <w:r>
      <w:rPr>
        <w:rStyle w:val="5"/>
        <w:sz w:val="28"/>
        <w:szCs w:val="28"/>
      </w:rPr>
      <w:instrText xml:space="preserve">PAGE  </w:instrText>
    </w:r>
    <w:r>
      <w:rPr>
        <w:rStyle w:val="5"/>
        <w:sz w:val="28"/>
        <w:szCs w:val="28"/>
      </w:rPr>
      <w:fldChar w:fldCharType="separate"/>
    </w:r>
    <w:r>
      <w:rPr>
        <w:rStyle w:val="5"/>
        <w:sz w:val="28"/>
        <w:szCs w:val="28"/>
      </w:rPr>
      <w:t>31</w:t>
    </w:r>
    <w:r>
      <w:rPr>
        <w:rStyle w:val="5"/>
        <w:sz w:val="28"/>
        <w:szCs w:val="28"/>
      </w:rPr>
      <w:fldChar w:fldCharType="end"/>
    </w:r>
    <w:r>
      <w:rPr>
        <w:rStyle w:val="5"/>
        <w:rFonts w:ascii="宋体" w:hAnsi="宋体"/>
        <w:sz w:val="28"/>
        <w:szCs w:val="28"/>
      </w:rPr>
      <w:t xml:space="preserve"> —</w:t>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RhMTRkYWY4ZTg4MWNhMjVhNzg4NzJjOWYyZGIwMDAifQ=="/>
  </w:docVars>
  <w:rsids>
    <w:rsidRoot w:val="2B820253"/>
    <w:rsid w:val="05AF1C73"/>
    <w:rsid w:val="082C707B"/>
    <w:rsid w:val="18FA4760"/>
    <w:rsid w:val="2B820253"/>
    <w:rsid w:val="37F006FA"/>
    <w:rsid w:val="3C922CB3"/>
    <w:rsid w:val="50A1133D"/>
    <w:rsid w:val="53EE05AB"/>
    <w:rsid w:val="60821CD8"/>
    <w:rsid w:val="64524A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20"/>
    </w:rPr>
  </w:style>
  <w:style w:type="character" w:styleId="5">
    <w:name w:val="page number"/>
    <w:basedOn w:val="4"/>
    <w:qFormat/>
    <w:uiPriority w:val="0"/>
    <w:rPr>
      <w:rFonts w:cs="Times New Roman"/>
    </w:rPr>
  </w:style>
  <w:style w:type="character" w:customStyle="1" w:styleId="6">
    <w:name w:val="font11"/>
    <w:basedOn w:val="4"/>
    <w:qFormat/>
    <w:uiPriority w:val="0"/>
    <w:rPr>
      <w:rFonts w:ascii="宋体" w:hAnsi="宋体" w:eastAsia="宋体" w:cs="宋体"/>
      <w:color w:val="000000"/>
      <w:sz w:val="20"/>
      <w:szCs w:val="20"/>
      <w:u w:val="none"/>
    </w:rPr>
  </w:style>
  <w:style w:type="character" w:customStyle="1" w:styleId="7">
    <w:name w:val="font31"/>
    <w:basedOn w:val="4"/>
    <w:qFormat/>
    <w:uiPriority w:val="0"/>
    <w:rPr>
      <w:rFonts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27</Pages>
  <Words>15418</Words>
  <Characters>15561</Characters>
  <Lines>0</Lines>
  <Paragraphs>0</Paragraphs>
  <TotalTime>1</TotalTime>
  <ScaleCrop>false</ScaleCrop>
  <LinksUpToDate>false</LinksUpToDate>
  <CharactersWithSpaces>15587</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2022-02-28T09:12:00Z</dcterms:created>
  <dc:creator>    倦⁢⁡</dc:creator>
  <cp:lastModifiedBy>Administrator</cp:lastModifiedBy>
  <dcterms:modified xsi:type="dcterms:W3CDTF">2022-08-03T01:37:39Z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FB1687E9317645D1856171741C24EC66</vt:lpwstr>
  </property>
</Properties>
</file>