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00" w:lineRule="exact"/>
        <w:jc w:val="center"/>
        <w:rPr>
          <w:rFonts w:ascii="方正小标宋简体" w:hAnsi="仿宋" w:eastAsia="方正小标宋简体"/>
          <w:sz w:val="44"/>
          <w:szCs w:val="44"/>
        </w:rPr>
      </w:pPr>
      <w:r>
        <w:rPr>
          <w:rFonts w:hint="eastAsia" w:ascii="方正小标宋简体" w:hAnsi="仿宋" w:eastAsia="方正小标宋简体"/>
          <w:sz w:val="44"/>
          <w:szCs w:val="44"/>
        </w:rPr>
        <w:t>技术特征比对表</w:t>
      </w:r>
    </w:p>
    <w:p>
      <w:pPr>
        <w:rPr>
          <w:rFonts w:ascii="仿宋" w:hAnsi="仿宋" w:eastAsia="仿宋"/>
          <w:sz w:val="28"/>
          <w:szCs w:val="28"/>
        </w:rPr>
      </w:pPr>
    </w:p>
    <w:p>
      <w:pPr>
        <w:ind w:firstLine="560" w:firstLineChars="200"/>
        <w:rPr>
          <w:rFonts w:ascii="宋体" w:hAnsi="宋体" w:cs="宋体"/>
          <w:b/>
          <w:bCs/>
          <w:sz w:val="28"/>
          <w:szCs w:val="28"/>
        </w:rPr>
      </w:pPr>
      <w:r>
        <w:rPr>
          <w:rFonts w:hint="eastAsia" w:ascii="仿宋" w:hAnsi="仿宋" w:eastAsia="仿宋"/>
          <w:sz w:val="28"/>
          <w:szCs w:val="28"/>
        </w:rPr>
        <w:t>涉案专利（CN</w:t>
      </w:r>
      <w:r>
        <w:t xml:space="preserve"> </w:t>
      </w:r>
      <w:r>
        <w:rPr>
          <w:rFonts w:ascii="仿宋" w:hAnsi="仿宋" w:eastAsia="仿宋"/>
          <w:sz w:val="28"/>
          <w:szCs w:val="28"/>
        </w:rPr>
        <w:t>201920732087 .X</w:t>
      </w:r>
      <w:r>
        <w:rPr>
          <w:rFonts w:hint="eastAsia" w:ascii="仿宋" w:hAnsi="仿宋" w:eastAsia="仿宋"/>
          <w:sz w:val="28"/>
          <w:szCs w:val="28"/>
        </w:rPr>
        <w:t xml:space="preserve"> -一种用于手机伸缩镜头的轴承）与被控侵权产品技术方案的技术特征比对表:</w:t>
      </w:r>
    </w:p>
    <w:tbl>
      <w:tblPr>
        <w:tblStyle w:val="6"/>
        <w:tblpPr w:leftFromText="180" w:rightFromText="180" w:vertAnchor="text" w:horzAnchor="page" w:tblpX="745" w:tblpY="723"/>
        <w:tblOverlap w:val="never"/>
        <w:tblW w:w="107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2"/>
        <w:gridCol w:w="1086"/>
        <w:gridCol w:w="2589"/>
        <w:gridCol w:w="2115"/>
        <w:gridCol w:w="2558"/>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Align w:val="center"/>
          </w:tcPr>
          <w:p>
            <w:pPr>
              <w:jc w:val="center"/>
              <w:rPr>
                <w:rFonts w:ascii="仿宋" w:hAnsi="仿宋" w:eastAsia="仿宋" w:cs="仿宋"/>
                <w:b/>
                <w:bCs/>
                <w:sz w:val="24"/>
                <w:szCs w:val="24"/>
              </w:rPr>
            </w:pPr>
            <w:r>
              <w:rPr>
                <w:rFonts w:hint="eastAsia" w:ascii="仿宋" w:hAnsi="仿宋" w:eastAsia="仿宋" w:cs="仿宋"/>
                <w:b/>
                <w:bCs/>
                <w:sz w:val="24"/>
                <w:szCs w:val="24"/>
              </w:rPr>
              <w:t>权利要求</w:t>
            </w:r>
          </w:p>
        </w:tc>
        <w:tc>
          <w:tcPr>
            <w:tcW w:w="3675" w:type="dxa"/>
            <w:gridSpan w:val="2"/>
            <w:vAlign w:val="center"/>
          </w:tcPr>
          <w:p>
            <w:pPr>
              <w:jc w:val="center"/>
              <w:rPr>
                <w:rFonts w:ascii="仿宋" w:hAnsi="仿宋" w:eastAsia="仿宋" w:cs="仿宋"/>
                <w:b/>
                <w:bCs/>
                <w:sz w:val="24"/>
                <w:szCs w:val="24"/>
              </w:rPr>
            </w:pPr>
            <w:r>
              <w:rPr>
                <w:rFonts w:hint="eastAsia" w:ascii="仿宋" w:hAnsi="仿宋" w:eastAsia="仿宋" w:cs="仿宋"/>
                <w:b/>
                <w:bCs/>
                <w:sz w:val="24"/>
                <w:szCs w:val="24"/>
              </w:rPr>
              <w:t>涉案专利技术特征</w:t>
            </w:r>
          </w:p>
        </w:tc>
        <w:tc>
          <w:tcPr>
            <w:tcW w:w="2115" w:type="dxa"/>
            <w:vAlign w:val="center"/>
          </w:tcPr>
          <w:p>
            <w:pPr>
              <w:jc w:val="center"/>
              <w:rPr>
                <w:rFonts w:ascii="仿宋" w:hAnsi="仿宋" w:eastAsia="仿宋" w:cs="仿宋"/>
                <w:b/>
                <w:bCs/>
                <w:sz w:val="24"/>
                <w:szCs w:val="24"/>
              </w:rPr>
            </w:pPr>
            <w:r>
              <w:rPr>
                <w:rFonts w:hint="eastAsia" w:ascii="仿宋" w:hAnsi="仿宋" w:eastAsia="仿宋" w:cs="仿宋"/>
                <w:b/>
                <w:bCs/>
                <w:sz w:val="24"/>
                <w:szCs w:val="24"/>
              </w:rPr>
              <w:t>被控侵权技术方案技术特征</w:t>
            </w:r>
          </w:p>
        </w:tc>
        <w:tc>
          <w:tcPr>
            <w:tcW w:w="2558" w:type="dxa"/>
            <w:vAlign w:val="center"/>
          </w:tcPr>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对比附图（</w:t>
            </w:r>
            <w:r>
              <w:rPr>
                <w:rFonts w:hint="eastAsia" w:ascii="仿宋" w:hAnsi="仿宋" w:eastAsia="仿宋" w:cs="仿宋"/>
                <w:b/>
                <w:bCs/>
                <w:sz w:val="18"/>
                <w:szCs w:val="18"/>
                <w:lang w:val="en-US" w:eastAsia="zh-CN"/>
              </w:rPr>
              <w:t>左边是被控侵权品，右边我司产品</w:t>
            </w:r>
            <w:r>
              <w:rPr>
                <w:rFonts w:hint="eastAsia" w:ascii="仿宋" w:hAnsi="仿宋" w:eastAsia="仿宋" w:cs="仿宋"/>
                <w:b/>
                <w:bCs/>
                <w:sz w:val="24"/>
                <w:szCs w:val="24"/>
                <w:lang w:val="en-US" w:eastAsia="zh-CN"/>
              </w:rPr>
              <w:t>）</w:t>
            </w:r>
          </w:p>
        </w:tc>
        <w:tc>
          <w:tcPr>
            <w:tcW w:w="1035" w:type="dxa"/>
            <w:vAlign w:val="center"/>
          </w:tcPr>
          <w:p>
            <w:pPr>
              <w:jc w:val="center"/>
              <w:rPr>
                <w:rFonts w:ascii="仿宋" w:hAnsi="仿宋" w:eastAsia="仿宋" w:cs="仿宋"/>
                <w:b/>
                <w:bCs/>
                <w:sz w:val="24"/>
                <w:szCs w:val="24"/>
              </w:rPr>
            </w:pPr>
            <w:r>
              <w:rPr>
                <w:rFonts w:hint="eastAsia" w:ascii="仿宋" w:hAnsi="仿宋" w:eastAsia="仿宋" w:cs="仿宋"/>
                <w:b/>
                <w:bCs/>
                <w:sz w:val="24"/>
                <w:szCs w:val="24"/>
              </w:rPr>
              <w:t>相同、等同或不同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restart"/>
            <w:vAlign w:val="center"/>
          </w:tcPr>
          <w:p>
            <w:pPr>
              <w:jc w:val="center"/>
              <w:rPr>
                <w:rFonts w:ascii="仿宋" w:hAnsi="仿宋" w:eastAsia="仿宋" w:cs="仿宋"/>
                <w:sz w:val="24"/>
                <w:szCs w:val="24"/>
              </w:rPr>
            </w:pPr>
            <w:r>
              <w:rPr>
                <w:rFonts w:hint="eastAsia" w:ascii="仿宋" w:hAnsi="仿宋" w:eastAsia="仿宋" w:cs="仿宋"/>
                <w:b/>
                <w:bCs/>
                <w:sz w:val="24"/>
                <w:szCs w:val="24"/>
              </w:rPr>
              <w:t>权利要求1</w:t>
            </w:r>
          </w:p>
        </w:tc>
        <w:tc>
          <w:tcPr>
            <w:tcW w:w="1086" w:type="dxa"/>
            <w:vAlign w:val="center"/>
          </w:tcPr>
          <w:p>
            <w:pPr>
              <w:jc w:val="center"/>
              <w:rPr>
                <w:rFonts w:ascii="仿宋" w:hAnsi="仿宋" w:eastAsia="仿宋" w:cs="仿宋"/>
                <w:sz w:val="24"/>
                <w:szCs w:val="24"/>
              </w:rPr>
            </w:pPr>
            <w:r>
              <w:rPr>
                <w:rFonts w:hint="eastAsia" w:ascii="仿宋" w:hAnsi="仿宋" w:eastAsia="仿宋" w:cs="仿宋"/>
                <w:b/>
                <w:bCs/>
                <w:sz w:val="24"/>
                <w:szCs w:val="24"/>
              </w:rPr>
              <w:t>主题名称</w:t>
            </w:r>
          </w:p>
        </w:tc>
        <w:tc>
          <w:tcPr>
            <w:tcW w:w="2589" w:type="dxa"/>
            <w:vAlign w:val="center"/>
          </w:tcPr>
          <w:p>
            <w:pPr>
              <w:jc w:val="left"/>
              <w:rPr>
                <w:rFonts w:ascii="仿宋" w:hAnsi="仿宋" w:eastAsia="仿宋" w:cs="仿宋"/>
                <w:sz w:val="28"/>
                <w:szCs w:val="28"/>
              </w:rPr>
            </w:pPr>
            <w:r>
              <w:rPr>
                <w:rFonts w:hint="eastAsia" w:ascii="仿宋" w:hAnsi="仿宋" w:eastAsia="仿宋" w:cs="仿宋"/>
                <w:sz w:val="24"/>
              </w:rPr>
              <w:t>一种用于手机伸缩镜头的轴承</w:t>
            </w:r>
          </w:p>
        </w:tc>
        <w:tc>
          <w:tcPr>
            <w:tcW w:w="2115" w:type="dxa"/>
            <w:vAlign w:val="center"/>
          </w:tcPr>
          <w:p>
            <w:pPr>
              <w:jc w:val="center"/>
              <w:rPr>
                <w:rFonts w:hint="eastAsia" w:ascii="仿宋" w:hAnsi="仿宋" w:eastAsia="仿宋" w:cs="仿宋"/>
                <w:sz w:val="28"/>
                <w:szCs w:val="28"/>
                <w:lang w:val="en-US" w:eastAsia="zh-CN"/>
              </w:rPr>
            </w:pPr>
            <w:r>
              <w:rPr>
                <w:rFonts w:hint="eastAsia" w:ascii="仿宋" w:hAnsi="仿宋" w:eastAsia="仿宋" w:cs="仿宋"/>
                <w:sz w:val="24"/>
                <w:szCs w:val="24"/>
                <w:lang w:val="en-US" w:eastAsia="zh-CN"/>
              </w:rPr>
              <w:t>深沟球轴承</w:t>
            </w:r>
          </w:p>
        </w:tc>
        <w:tc>
          <w:tcPr>
            <w:tcW w:w="2558" w:type="dxa"/>
            <w:vAlign w:val="center"/>
          </w:tcPr>
          <w:p>
            <w:pPr>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等同</w:t>
            </w:r>
          </w:p>
        </w:tc>
        <w:tc>
          <w:tcPr>
            <w:tcW w:w="1035" w:type="dxa"/>
            <w:vAlign w:val="center"/>
          </w:tcPr>
          <w:p>
            <w:pPr>
              <w:jc w:val="center"/>
              <w:rPr>
                <w:rFonts w:ascii="仿宋" w:hAnsi="仿宋" w:eastAsia="仿宋" w:cs="仿宋"/>
                <w:sz w:val="28"/>
                <w:szCs w:val="28"/>
              </w:rPr>
            </w:pPr>
            <w:r>
              <w:rPr>
                <w:rFonts w:hint="eastAsia" w:ascii="仿宋" w:hAnsi="仿宋" w:eastAsia="仿宋" w:cs="仿宋"/>
                <w:sz w:val="24"/>
              </w:rPr>
              <w:t>属于相同种类产品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1" w:hRule="atLeast"/>
        </w:trPr>
        <w:tc>
          <w:tcPr>
            <w:tcW w:w="1342" w:type="dxa"/>
            <w:vMerge w:val="continue"/>
            <w:vAlign w:val="center"/>
          </w:tcPr>
          <w:p>
            <w:pPr>
              <w:jc w:val="center"/>
              <w:rPr>
                <w:rFonts w:ascii="仿宋" w:hAnsi="仿宋" w:eastAsia="仿宋" w:cs="仿宋"/>
                <w:sz w:val="24"/>
                <w:szCs w:val="24"/>
              </w:rPr>
            </w:pPr>
          </w:p>
        </w:tc>
        <w:tc>
          <w:tcPr>
            <w:tcW w:w="1086" w:type="dxa"/>
            <w:vMerge w:val="restart"/>
            <w:vAlign w:val="center"/>
          </w:tcPr>
          <w:p>
            <w:pPr>
              <w:jc w:val="center"/>
              <w:rPr>
                <w:rFonts w:ascii="仿宋" w:hAnsi="仿宋" w:eastAsia="仿宋" w:cs="仿宋"/>
                <w:sz w:val="24"/>
                <w:szCs w:val="24"/>
              </w:rPr>
            </w:pPr>
            <w:r>
              <w:rPr>
                <w:rFonts w:hint="eastAsia" w:ascii="仿宋" w:hAnsi="仿宋" w:eastAsia="仿宋" w:cs="仿宋"/>
                <w:b/>
                <w:bCs/>
                <w:sz w:val="24"/>
                <w:szCs w:val="24"/>
              </w:rPr>
              <w:t>特征部分</w:t>
            </w:r>
          </w:p>
        </w:tc>
        <w:tc>
          <w:tcPr>
            <w:tcW w:w="2589" w:type="dxa"/>
            <w:vAlign w:val="center"/>
          </w:tcPr>
          <w:p>
            <w:pPr>
              <w:jc w:val="left"/>
              <w:rPr>
                <w:rFonts w:ascii="仿宋" w:hAnsi="仿宋" w:eastAsia="仿宋" w:cs="仿宋"/>
                <w:sz w:val="28"/>
                <w:szCs w:val="28"/>
              </w:rPr>
            </w:pPr>
            <w:r>
              <w:rPr>
                <w:rFonts w:hint="eastAsia" w:ascii="仿宋" w:hAnsi="仿宋" w:eastAsia="仿宋" w:cs="仿宋"/>
                <w:sz w:val="24"/>
              </w:rPr>
              <w:t>包括外圈、上内圈、下内圈、滚珠；</w:t>
            </w:r>
          </w:p>
        </w:tc>
        <w:tc>
          <w:tcPr>
            <w:tcW w:w="2115" w:type="dxa"/>
            <w:vAlign w:val="center"/>
          </w:tcPr>
          <w:p>
            <w:pPr>
              <w:jc w:val="left"/>
              <w:rPr>
                <w:rFonts w:hint="default" w:ascii="仿宋" w:hAnsi="仿宋" w:eastAsia="仿宋" w:cs="仿宋"/>
                <w:b w:val="0"/>
                <w:bCs w:val="0"/>
                <w:color w:val="000000" w:themeColor="text1"/>
                <w:sz w:val="24"/>
                <w:szCs w:val="24"/>
                <w:lang w:val="en-US" w:eastAsia="zh-CN"/>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结构与专利产品结构相同，如右图</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drawing>
                <wp:inline distT="0" distB="0" distL="114300" distR="114300">
                  <wp:extent cx="1481455" cy="1143000"/>
                  <wp:effectExtent l="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1481455" cy="1143000"/>
                          </a:xfrm>
                          <a:prstGeom prst="rect">
                            <a:avLst/>
                          </a:prstGeom>
                          <a:noFill/>
                          <a:ln>
                            <a:noFill/>
                          </a:ln>
                        </pic:spPr>
                      </pic:pic>
                    </a:graphicData>
                  </a:graphic>
                </wp:inline>
              </w:drawing>
            </w:r>
          </w:p>
        </w:tc>
        <w:tc>
          <w:tcPr>
            <w:tcW w:w="1035" w:type="dxa"/>
            <w:vMerge w:val="restart"/>
            <w:vAlign w:val="center"/>
          </w:tcPr>
          <w:p>
            <w:pPr>
              <w:jc w:val="center"/>
              <w:rPr>
                <w:rFonts w:ascii="仿宋" w:hAnsi="仿宋" w:eastAsia="仿宋" w:cs="仿宋"/>
                <w:b w:val="0"/>
                <w:bCs w:val="0"/>
                <w:sz w:val="28"/>
                <w:szCs w:val="28"/>
              </w:rPr>
            </w:pPr>
            <w:r>
              <w:rPr>
                <w:rFonts w:hint="eastAsia" w:ascii="仿宋" w:hAnsi="仿宋" w:eastAsia="仿宋" w:cs="仿宋"/>
                <w:b w:val="0"/>
                <w:bCs w:val="0"/>
                <w:sz w:val="28"/>
                <w:szCs w:val="28"/>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ascii="仿宋" w:hAnsi="仿宋" w:eastAsia="仿宋" w:cs="仿宋"/>
              </w:rPr>
            </w:pPr>
            <w:r>
              <w:rPr>
                <w:rFonts w:hint="eastAsia" w:ascii="仿宋" w:hAnsi="仿宋" w:eastAsia="仿宋" w:cs="仿宋"/>
                <w:sz w:val="24"/>
              </w:rPr>
              <w:t>所述外圈内表面设有环形内沟槽；</w:t>
            </w:r>
            <w:r>
              <w:rPr>
                <w:rFonts w:ascii="仿宋" w:hAnsi="仿宋" w:eastAsia="仿宋" w:cs="仿宋"/>
              </w:rPr>
              <w:t xml:space="preserve"> </w:t>
            </w:r>
          </w:p>
        </w:tc>
        <w:tc>
          <w:tcPr>
            <w:tcW w:w="2115" w:type="dxa"/>
            <w:vAlign w:val="center"/>
          </w:tcPr>
          <w:p>
            <w:pPr>
              <w:jc w:val="left"/>
              <w:rPr>
                <w:rFonts w:hint="default" w:ascii="仿宋" w:hAnsi="仿宋" w:eastAsia="仿宋" w:cs="仿宋"/>
                <w:b w:val="0"/>
                <w:bCs w:val="0"/>
                <w:color w:val="000000" w:themeColor="text1"/>
                <w:lang w:val="en-US" w:eastAsia="zh-CN"/>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eastAsia="zh-CN"/>
                <w14:textFill>
                  <w14:solidFill>
                    <w14:schemeClr w14:val="tx1"/>
                  </w14:solidFill>
                </w14:textFill>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其</w:t>
            </w:r>
            <w:r>
              <w:rPr>
                <w:rFonts w:hint="eastAsia" w:ascii="仿宋" w:hAnsi="仿宋" w:eastAsia="仿宋" w:cs="仿宋"/>
                <w:sz w:val="24"/>
              </w:rPr>
              <w:t>外圈内表面设有环形内沟槽</w:t>
            </w:r>
            <w:r>
              <w:rPr>
                <w:rFonts w:hint="eastAsia" w:ascii="仿宋" w:hAnsi="仿宋" w:eastAsia="仿宋" w:cs="仿宋"/>
                <w:sz w:val="24"/>
                <w:lang w:eastAsia="zh-CN"/>
              </w:rPr>
              <w:t>，</w:t>
            </w:r>
            <w:r>
              <w:rPr>
                <w:rFonts w:hint="eastAsia" w:ascii="仿宋" w:hAnsi="仿宋" w:eastAsia="仿宋" w:cs="仿宋"/>
                <w:sz w:val="24"/>
                <w:lang w:val="en-US" w:eastAsia="zh-CN"/>
              </w:rPr>
              <w:t>与专利产品外圈相同，如右图</w:t>
            </w:r>
          </w:p>
        </w:tc>
        <w:tc>
          <w:tcPr>
            <w:tcW w:w="2558" w:type="dxa"/>
            <w:vAlign w:val="center"/>
          </w:tcPr>
          <w:p>
            <w:pPr>
              <w:jc w:val="left"/>
              <w:rPr>
                <w:rFonts w:ascii="仿宋" w:hAnsi="仿宋" w:eastAsia="仿宋" w:cs="仿宋"/>
                <w:b w:val="0"/>
                <w:bCs w:val="0"/>
                <w:color w:val="000000" w:themeColor="text1"/>
                <w14:textFill>
                  <w14:solidFill>
                    <w14:schemeClr w14:val="tx1"/>
                  </w14:solidFill>
                </w14:textFill>
              </w:rPr>
            </w:pPr>
            <w:r>
              <w:drawing>
                <wp:inline distT="0" distB="0" distL="114300" distR="114300">
                  <wp:extent cx="1486535" cy="651510"/>
                  <wp:effectExtent l="0" t="0" r="18415" b="152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a:stretch>
                            <a:fillRect/>
                          </a:stretch>
                        </pic:blipFill>
                        <pic:spPr>
                          <a:xfrm>
                            <a:off x="0" y="0"/>
                            <a:ext cx="1486535" cy="651510"/>
                          </a:xfrm>
                          <a:prstGeom prst="rect">
                            <a:avLst/>
                          </a:prstGeom>
                          <a:noFill/>
                          <a:ln>
                            <a:noFill/>
                          </a:ln>
                        </pic:spPr>
                      </pic:pic>
                    </a:graphicData>
                  </a:graphic>
                </wp:inline>
              </w:drawing>
            </w:r>
          </w:p>
        </w:tc>
        <w:tc>
          <w:tcPr>
            <w:tcW w:w="1035" w:type="dxa"/>
            <w:vMerge w:val="continue"/>
            <w:vAlign w:val="center"/>
          </w:tcPr>
          <w:p>
            <w:pPr>
              <w:jc w:val="center"/>
              <w:rPr>
                <w:rFonts w:ascii="仿宋" w:hAnsi="仿宋" w:eastAsia="仿宋" w:cs="仿宋"/>
                <w:b w:val="0"/>
                <w:bCs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ascii="仿宋" w:hAnsi="仿宋" w:eastAsia="仿宋" w:cs="仿宋"/>
              </w:rPr>
            </w:pPr>
            <w:r>
              <w:rPr>
                <w:rFonts w:hint="eastAsia" w:ascii="仿宋" w:hAnsi="仿宋" w:eastAsia="仿宋" w:cs="仿宋"/>
                <w:sz w:val="24"/>
              </w:rPr>
              <w:t>所述上内圈为圆台状，中心设有圆柱形空腔；</w:t>
            </w:r>
          </w:p>
        </w:tc>
        <w:tc>
          <w:tcPr>
            <w:tcW w:w="2115" w:type="dxa"/>
            <w:vAlign w:val="center"/>
          </w:tcPr>
          <w:p>
            <w:pPr>
              <w:jc w:val="left"/>
              <w:rPr>
                <w:rFonts w:hint="default" w:ascii="仿宋" w:hAnsi="仿宋" w:eastAsia="仿宋" w:cs="仿宋"/>
                <w:b w:val="0"/>
                <w:bCs w:val="0"/>
                <w:color w:val="000000" w:themeColor="text1"/>
                <w:lang w:val="en-US"/>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eastAsia="zh-CN"/>
                <w14:textFill>
                  <w14:solidFill>
                    <w14:schemeClr w14:val="tx1"/>
                  </w14:solidFill>
                </w14:textFill>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其</w:t>
            </w:r>
            <w:r>
              <w:rPr>
                <w:rFonts w:hint="eastAsia" w:ascii="仿宋" w:hAnsi="仿宋" w:eastAsia="仿宋" w:cs="仿宋"/>
                <w:sz w:val="24"/>
              </w:rPr>
              <w:t>内圈为圆台状，中心设有圆柱形空腔</w:t>
            </w:r>
            <w:r>
              <w:rPr>
                <w:rFonts w:hint="eastAsia" w:ascii="仿宋" w:hAnsi="仿宋" w:eastAsia="仿宋" w:cs="仿宋"/>
                <w:sz w:val="24"/>
                <w:lang w:eastAsia="zh-CN"/>
              </w:rPr>
              <w:t>，</w:t>
            </w:r>
            <w:r>
              <w:rPr>
                <w:rFonts w:hint="eastAsia" w:ascii="仿宋" w:hAnsi="仿宋" w:eastAsia="仿宋" w:cs="仿宋"/>
                <w:sz w:val="24"/>
                <w:lang w:val="en-US" w:eastAsia="zh-CN"/>
              </w:rPr>
              <w:t>与专利产品相同，如右图</w:t>
            </w:r>
          </w:p>
        </w:tc>
        <w:tc>
          <w:tcPr>
            <w:tcW w:w="2558" w:type="dxa"/>
            <w:vAlign w:val="center"/>
          </w:tcPr>
          <w:p>
            <w:pPr>
              <w:jc w:val="left"/>
              <w:rPr>
                <w:rFonts w:ascii="仿宋" w:hAnsi="仿宋" w:eastAsia="仿宋" w:cs="仿宋"/>
                <w:b w:val="0"/>
                <w:bCs w:val="0"/>
                <w:color w:val="000000" w:themeColor="text1"/>
                <w14:textFill>
                  <w14:solidFill>
                    <w14:schemeClr w14:val="tx1"/>
                  </w14:solidFill>
                </w14:textFill>
              </w:rPr>
            </w:pPr>
            <w:r>
              <w:drawing>
                <wp:inline distT="0" distB="0" distL="114300" distR="114300">
                  <wp:extent cx="1486535" cy="568325"/>
                  <wp:effectExtent l="0" t="0" r="18415"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stretch>
                            <a:fillRect/>
                          </a:stretch>
                        </pic:blipFill>
                        <pic:spPr>
                          <a:xfrm>
                            <a:off x="0" y="0"/>
                            <a:ext cx="1486535" cy="568325"/>
                          </a:xfrm>
                          <a:prstGeom prst="rect">
                            <a:avLst/>
                          </a:prstGeom>
                          <a:noFill/>
                          <a:ln>
                            <a:noFill/>
                          </a:ln>
                        </pic:spPr>
                      </pic:pic>
                    </a:graphicData>
                  </a:graphic>
                </wp:inline>
              </w:drawing>
            </w:r>
          </w:p>
        </w:tc>
        <w:tc>
          <w:tcPr>
            <w:tcW w:w="1035" w:type="dxa"/>
            <w:vMerge w:val="continue"/>
            <w:vAlign w:val="center"/>
          </w:tcPr>
          <w:p>
            <w:pPr>
              <w:jc w:val="center"/>
              <w:rPr>
                <w:rFonts w:ascii="仿宋" w:hAnsi="仿宋" w:eastAsia="仿宋" w:cs="仿宋"/>
                <w:b w:val="0"/>
                <w:bCs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ascii="仿宋" w:hAnsi="仿宋" w:eastAsia="仿宋" w:cs="仿宋"/>
              </w:rPr>
            </w:pPr>
            <w:r>
              <w:rPr>
                <w:rFonts w:hint="eastAsia" w:ascii="仿宋" w:hAnsi="仿宋" w:eastAsia="仿宋" w:cs="仿宋"/>
                <w:sz w:val="24"/>
              </w:rPr>
              <w:t>所述下内圈下端为圆台状，上端向上延伸呈圆柱体；</w:t>
            </w:r>
          </w:p>
        </w:tc>
        <w:tc>
          <w:tcPr>
            <w:tcW w:w="2115" w:type="dxa"/>
            <w:vAlign w:val="center"/>
          </w:tcPr>
          <w:p>
            <w:pPr>
              <w:jc w:val="left"/>
              <w:rPr>
                <w:rFonts w:hint="default" w:ascii="仿宋" w:hAnsi="仿宋" w:eastAsia="仿宋" w:cs="仿宋"/>
                <w:b w:val="0"/>
                <w:bCs w:val="0"/>
                <w:color w:val="000000" w:themeColor="text1"/>
                <w:lang w:val="en-US"/>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eastAsia="zh-CN"/>
                <w14:textFill>
                  <w14:solidFill>
                    <w14:schemeClr w14:val="tx1"/>
                  </w14:solidFill>
                </w14:textFill>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其</w:t>
            </w:r>
            <w:r>
              <w:rPr>
                <w:rFonts w:hint="eastAsia" w:ascii="仿宋" w:hAnsi="仿宋" w:eastAsia="仿宋" w:cs="仿宋"/>
                <w:sz w:val="24"/>
              </w:rPr>
              <w:t>下内圈下端为圆台状，上端向上延伸呈圆柱体</w:t>
            </w:r>
            <w:r>
              <w:rPr>
                <w:rFonts w:hint="eastAsia" w:ascii="仿宋" w:hAnsi="仿宋" w:eastAsia="仿宋" w:cs="仿宋"/>
                <w:sz w:val="24"/>
                <w:lang w:eastAsia="zh-CN"/>
              </w:rPr>
              <w:t>，</w:t>
            </w:r>
            <w:r>
              <w:rPr>
                <w:rFonts w:hint="eastAsia" w:ascii="仿宋" w:hAnsi="仿宋" w:eastAsia="仿宋" w:cs="仿宋"/>
                <w:sz w:val="24"/>
                <w:lang w:val="en-US" w:eastAsia="zh-CN"/>
              </w:rPr>
              <w:t>与专利产品相同，如右图</w:t>
            </w:r>
          </w:p>
        </w:tc>
        <w:tc>
          <w:tcPr>
            <w:tcW w:w="2558" w:type="dxa"/>
            <w:vAlign w:val="center"/>
          </w:tcPr>
          <w:p>
            <w:pPr>
              <w:jc w:val="left"/>
              <w:rPr>
                <w:rFonts w:ascii="仿宋" w:hAnsi="仿宋" w:eastAsia="仿宋" w:cs="仿宋"/>
                <w:b w:val="0"/>
                <w:bCs w:val="0"/>
                <w:color w:val="000000" w:themeColor="text1"/>
                <w14:textFill>
                  <w14:solidFill>
                    <w14:schemeClr w14:val="tx1"/>
                  </w14:solidFill>
                </w14:textFill>
              </w:rPr>
            </w:pPr>
            <w:r>
              <w:drawing>
                <wp:inline distT="0" distB="0" distL="114300" distR="114300">
                  <wp:extent cx="1481455" cy="639445"/>
                  <wp:effectExtent l="0" t="0" r="444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
                          <a:stretch>
                            <a:fillRect/>
                          </a:stretch>
                        </pic:blipFill>
                        <pic:spPr>
                          <a:xfrm>
                            <a:off x="0" y="0"/>
                            <a:ext cx="1481455" cy="639445"/>
                          </a:xfrm>
                          <a:prstGeom prst="rect">
                            <a:avLst/>
                          </a:prstGeom>
                          <a:noFill/>
                          <a:ln>
                            <a:noFill/>
                          </a:ln>
                        </pic:spPr>
                      </pic:pic>
                    </a:graphicData>
                  </a:graphic>
                </wp:inline>
              </w:drawing>
            </w:r>
          </w:p>
        </w:tc>
        <w:tc>
          <w:tcPr>
            <w:tcW w:w="1035" w:type="dxa"/>
            <w:vMerge w:val="continue"/>
            <w:vAlign w:val="center"/>
          </w:tcPr>
          <w:p>
            <w:pPr>
              <w:jc w:val="center"/>
              <w:rPr>
                <w:rFonts w:ascii="仿宋" w:hAnsi="仿宋" w:eastAsia="仿宋" w:cs="仿宋"/>
                <w:b w:val="0"/>
                <w:bCs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ascii="仿宋" w:hAnsi="仿宋" w:eastAsia="仿宋" w:cs="仿宋"/>
                <w:sz w:val="24"/>
                <w:szCs w:val="24"/>
              </w:rPr>
            </w:pPr>
            <w:r>
              <w:rPr>
                <w:rFonts w:hint="eastAsia" w:ascii="仿宋" w:hAnsi="仿宋" w:eastAsia="仿宋" w:cs="仿宋"/>
                <w:sz w:val="24"/>
              </w:rPr>
              <w:t>所述下内圈的圆柱体中心设有圆柱形空腔，使得下内圈的上端呈圆管状；</w:t>
            </w:r>
            <w:r>
              <w:rPr>
                <w:rFonts w:ascii="仿宋" w:hAnsi="仿宋" w:eastAsia="仿宋" w:cs="仿宋"/>
                <w:sz w:val="24"/>
                <w:szCs w:val="24"/>
              </w:rPr>
              <w:t xml:space="preserve"> </w:t>
            </w:r>
          </w:p>
        </w:tc>
        <w:tc>
          <w:tcPr>
            <w:tcW w:w="2115" w:type="dxa"/>
            <w:vAlign w:val="center"/>
          </w:tcPr>
          <w:p>
            <w:pPr>
              <w:jc w:val="left"/>
              <w:rPr>
                <w:rFonts w:hint="default" w:ascii="仿宋" w:hAnsi="仿宋" w:eastAsia="仿宋" w:cs="仿宋"/>
                <w:b w:val="0"/>
                <w:bCs w:val="0"/>
                <w:color w:val="000000" w:themeColor="text1"/>
                <w:sz w:val="24"/>
                <w:szCs w:val="24"/>
                <w:lang w:val="en-US"/>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结构，其</w:t>
            </w:r>
            <w:r>
              <w:rPr>
                <w:rFonts w:hint="eastAsia" w:ascii="仿宋" w:hAnsi="仿宋" w:eastAsia="仿宋" w:cs="仿宋"/>
                <w:sz w:val="24"/>
              </w:rPr>
              <w:t>下内圈的圆柱体中心设有圆柱形空腔，使得下内圈的上端呈圆管状</w:t>
            </w:r>
            <w:r>
              <w:rPr>
                <w:rFonts w:hint="eastAsia" w:ascii="仿宋" w:hAnsi="仿宋" w:eastAsia="仿宋" w:cs="仿宋"/>
                <w:sz w:val="24"/>
                <w:lang w:eastAsia="zh-CN"/>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与专利产品结构相同，如右图</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drawing>
                <wp:inline distT="0" distB="0" distL="114300" distR="114300">
                  <wp:extent cx="1481455" cy="639445"/>
                  <wp:effectExtent l="0" t="0" r="4445"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
                          <a:stretch>
                            <a:fillRect/>
                          </a:stretch>
                        </pic:blipFill>
                        <pic:spPr>
                          <a:xfrm>
                            <a:off x="0" y="0"/>
                            <a:ext cx="1481455" cy="639445"/>
                          </a:xfrm>
                          <a:prstGeom prst="rect">
                            <a:avLst/>
                          </a:prstGeom>
                          <a:noFill/>
                          <a:ln>
                            <a:noFill/>
                          </a:ln>
                        </pic:spPr>
                      </pic:pic>
                    </a:graphicData>
                  </a:graphic>
                </wp:inline>
              </w:drawing>
            </w: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hint="eastAsia" w:ascii="仿宋" w:hAnsi="仿宋" w:eastAsia="仿宋" w:cs="仿宋"/>
                <w:sz w:val="24"/>
              </w:rPr>
            </w:pPr>
            <w:r>
              <w:rPr>
                <w:rFonts w:hint="eastAsia" w:ascii="仿宋" w:hAnsi="仿宋" w:eastAsia="仿宋" w:cs="仿宋"/>
                <w:sz w:val="24"/>
              </w:rPr>
              <w:t>所述上内圈的内径与下内圈上端圆柱体的外径相适配；</w:t>
            </w:r>
            <w:r>
              <w:rPr>
                <w:rFonts w:ascii="仿宋" w:hAnsi="仿宋" w:eastAsia="仿宋" w:cs="仿宋"/>
                <w:sz w:val="24"/>
              </w:rPr>
              <w:t xml:space="preserve"> </w:t>
            </w:r>
          </w:p>
        </w:tc>
        <w:tc>
          <w:tcPr>
            <w:tcW w:w="2115" w:type="dxa"/>
            <w:vAlign w:val="center"/>
          </w:tcPr>
          <w:p>
            <w:pPr>
              <w:jc w:val="left"/>
              <w:rPr>
                <w:rFonts w:hint="default" w:ascii="仿宋" w:hAnsi="仿宋" w:eastAsia="仿宋" w:cs="仿宋"/>
                <w:b w:val="0"/>
                <w:bCs w:val="0"/>
                <w:color w:val="000000" w:themeColor="text1"/>
                <w:sz w:val="24"/>
                <w:szCs w:val="24"/>
                <w:lang w:val="en-US"/>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结构，其</w:t>
            </w:r>
            <w:r>
              <w:rPr>
                <w:rFonts w:hint="eastAsia" w:ascii="仿宋" w:hAnsi="仿宋" w:eastAsia="仿宋" w:cs="仿宋"/>
                <w:sz w:val="24"/>
              </w:rPr>
              <w:t>上内圈的内径与下内圈上端圆柱体的外径相适配</w:t>
            </w:r>
            <w:r>
              <w:rPr>
                <w:rFonts w:hint="eastAsia" w:ascii="仿宋" w:hAnsi="仿宋" w:eastAsia="仿宋" w:cs="仿宋"/>
                <w:sz w:val="24"/>
                <w:lang w:eastAsia="zh-CN"/>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与专利产品结构相同，如右图</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drawing>
                <wp:inline distT="0" distB="0" distL="114300" distR="114300">
                  <wp:extent cx="1478280" cy="701675"/>
                  <wp:effectExtent l="0" t="0" r="7620" b="317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8"/>
                          <a:stretch>
                            <a:fillRect/>
                          </a:stretch>
                        </pic:blipFill>
                        <pic:spPr>
                          <a:xfrm>
                            <a:off x="0" y="0"/>
                            <a:ext cx="1478280" cy="701675"/>
                          </a:xfrm>
                          <a:prstGeom prst="rect">
                            <a:avLst/>
                          </a:prstGeom>
                          <a:noFill/>
                          <a:ln>
                            <a:noFill/>
                          </a:ln>
                        </pic:spPr>
                      </pic:pic>
                    </a:graphicData>
                  </a:graphic>
                </wp:inline>
              </w:drawing>
            </w: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hint="eastAsia" w:ascii="仿宋" w:hAnsi="仿宋" w:eastAsia="仿宋" w:cs="仿宋"/>
                <w:sz w:val="24"/>
              </w:rPr>
            </w:pPr>
            <w:r>
              <w:rPr>
                <w:rFonts w:hint="eastAsia" w:ascii="仿宋" w:hAnsi="仿宋" w:eastAsia="仿宋" w:cs="仿宋"/>
                <w:sz w:val="24"/>
              </w:rPr>
              <w:t xml:space="preserve">当进行装配时，所述上内圈外径小的一端套于所述下内圈的上端圆柱体外周侧，所述外圈位于上内圈和下内圈的外周侧，所述外圈的环形内沟槽、上内圈外壁、下内圈外壁形成夹持空腔，多个所述滚珠位于该夹持空腔内，且上内圈外壁、下内圈外壁分别与各滚珠相切，环形内沟槽至少有两个面与各滚珠相切； </w:t>
            </w:r>
          </w:p>
        </w:tc>
        <w:tc>
          <w:tcPr>
            <w:tcW w:w="2115" w:type="dxa"/>
            <w:vAlign w:val="center"/>
          </w:tcPr>
          <w:p>
            <w:pPr>
              <w:jc w:val="left"/>
              <w:rPr>
                <w:rFonts w:hint="eastAsia" w:ascii="仿宋" w:hAnsi="仿宋" w:eastAsia="仿宋" w:cs="仿宋"/>
                <w:b w:val="0"/>
                <w:bCs w:val="0"/>
                <w:color w:val="000000" w:themeColor="text1"/>
                <w:sz w:val="24"/>
                <w:szCs w:val="24"/>
                <w:lang w:val="en-US" w:eastAsia="zh-CN"/>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装配方式，其</w:t>
            </w:r>
            <w:r>
              <w:rPr>
                <w:rFonts w:hint="eastAsia" w:ascii="仿宋" w:hAnsi="仿宋" w:eastAsia="仿宋" w:cs="仿宋"/>
                <w:sz w:val="24"/>
              </w:rPr>
              <w:t>上内圈外径小的一端套于所述下内圈的上端圆柱体外周侧，所述外圈位于上内圈和下内圈的外周侧，所述外圈的环形内沟槽、上内圈外壁、下内圈外壁形成夹持空腔，多个所述滚珠位于该夹持空腔内，且上内圈外壁、下内圈外壁分别与各滚珠相切，环形内沟槽至少有两个面与各滚珠相切</w:t>
            </w:r>
            <w:r>
              <w:rPr>
                <w:rFonts w:hint="eastAsia" w:ascii="仿宋" w:hAnsi="仿宋" w:eastAsia="仿宋" w:cs="仿宋"/>
                <w:sz w:val="24"/>
                <w:lang w:eastAsia="zh-CN"/>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与专利产品装配方式等同</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drawing>
                <wp:inline distT="0" distB="0" distL="114300" distR="114300">
                  <wp:extent cx="1483360" cy="730885"/>
                  <wp:effectExtent l="0" t="0" r="2540" b="1206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9"/>
                          <a:stretch>
                            <a:fillRect/>
                          </a:stretch>
                        </pic:blipFill>
                        <pic:spPr>
                          <a:xfrm>
                            <a:off x="0" y="0"/>
                            <a:ext cx="1483360" cy="730885"/>
                          </a:xfrm>
                          <a:prstGeom prst="rect">
                            <a:avLst/>
                          </a:prstGeom>
                          <a:noFill/>
                          <a:ln>
                            <a:noFill/>
                          </a:ln>
                        </pic:spPr>
                      </pic:pic>
                    </a:graphicData>
                  </a:graphic>
                </wp:inline>
              </w:drawing>
            </w:r>
          </w:p>
        </w:tc>
        <w:tc>
          <w:tcPr>
            <w:tcW w:w="1035" w:type="dxa"/>
            <w:vAlign w:val="center"/>
          </w:tcPr>
          <w:p>
            <w:pPr>
              <w:jc w:val="center"/>
              <w:rPr>
                <w:rFonts w:hint="eastAsia" w:ascii="仿宋" w:hAnsi="仿宋" w:eastAsia="仿宋" w:cs="仿宋"/>
                <w:b w:val="0"/>
                <w:bCs w:val="0"/>
                <w:lang w:val="en-US" w:eastAsia="zh-CN"/>
              </w:rPr>
            </w:pPr>
            <w:r>
              <w:rPr>
                <w:rFonts w:hint="eastAsia" w:ascii="仿宋" w:hAnsi="仿宋" w:eastAsia="仿宋" w:cs="仿宋"/>
                <w:b w:val="0"/>
                <w:bCs w:val="0"/>
                <w:lang w:val="en-US" w:eastAsia="zh-CN"/>
              </w:rPr>
              <w:t>等同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Merge w:val="continue"/>
            <w:vAlign w:val="center"/>
          </w:tcPr>
          <w:p>
            <w:pPr>
              <w:jc w:val="center"/>
              <w:rPr>
                <w:rFonts w:ascii="仿宋" w:hAnsi="仿宋" w:eastAsia="仿宋" w:cs="仿宋"/>
              </w:rPr>
            </w:pPr>
          </w:p>
        </w:tc>
        <w:tc>
          <w:tcPr>
            <w:tcW w:w="1086" w:type="dxa"/>
            <w:vMerge w:val="continue"/>
            <w:vAlign w:val="center"/>
          </w:tcPr>
          <w:p>
            <w:pPr>
              <w:jc w:val="center"/>
              <w:rPr>
                <w:rFonts w:ascii="仿宋" w:hAnsi="仿宋" w:eastAsia="仿宋" w:cs="仿宋"/>
              </w:rPr>
            </w:pPr>
          </w:p>
        </w:tc>
        <w:tc>
          <w:tcPr>
            <w:tcW w:w="2589" w:type="dxa"/>
            <w:vAlign w:val="center"/>
          </w:tcPr>
          <w:p>
            <w:pPr>
              <w:autoSpaceDE w:val="0"/>
              <w:autoSpaceDN w:val="0"/>
              <w:adjustRightInd w:val="0"/>
              <w:jc w:val="left"/>
              <w:rPr>
                <w:rFonts w:hint="eastAsia" w:ascii="仿宋" w:hAnsi="仿宋" w:eastAsia="仿宋" w:cs="仿宋"/>
                <w:sz w:val="24"/>
              </w:rPr>
            </w:pPr>
            <w:r>
              <w:rPr>
                <w:rFonts w:hint="eastAsia" w:ascii="仿宋" w:hAnsi="仿宋" w:eastAsia="仿宋" w:cs="仿宋"/>
                <w:sz w:val="24"/>
              </w:rPr>
              <w:t>所述下内圈的上端翻折压于所述上内圈上端面上。</w:t>
            </w:r>
          </w:p>
        </w:tc>
        <w:tc>
          <w:tcPr>
            <w:tcW w:w="2115" w:type="dxa"/>
            <w:vAlign w:val="center"/>
          </w:tcPr>
          <w:p>
            <w:pPr>
              <w:jc w:val="left"/>
              <w:rPr>
                <w:rFonts w:ascii="仿宋" w:hAnsi="仿宋" w:eastAsia="仿宋" w:cs="仿宋"/>
                <w:b w:val="0"/>
                <w:bCs w:val="0"/>
                <w:color w:val="000000" w:themeColor="text1"/>
                <w:sz w:val="24"/>
                <w:szCs w:val="24"/>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结构，其</w:t>
            </w:r>
            <w:r>
              <w:rPr>
                <w:rFonts w:hint="eastAsia" w:ascii="仿宋" w:hAnsi="仿宋" w:eastAsia="仿宋" w:cs="仿宋"/>
                <w:sz w:val="24"/>
              </w:rPr>
              <w:t>下内圈的上端翻折压于所述上内圈上端面上</w:t>
            </w:r>
            <w:r>
              <w:rPr>
                <w:rFonts w:hint="eastAsia" w:ascii="仿宋" w:hAnsi="仿宋" w:eastAsia="仿宋" w:cs="仿宋"/>
                <w:sz w:val="24"/>
                <w:lang w:eastAsia="zh-CN"/>
              </w:rPr>
              <w:t>，</w:t>
            </w:r>
            <w:r>
              <w:rPr>
                <w:rFonts w:hint="eastAsia" w:ascii="仿宋" w:hAnsi="仿宋" w:eastAsia="仿宋" w:cs="仿宋"/>
                <w:b w:val="0"/>
                <w:bCs w:val="0"/>
                <w:color w:val="000000" w:themeColor="text1"/>
                <w:sz w:val="24"/>
                <w:szCs w:val="24"/>
                <w:lang w:val="en-US" w:eastAsia="zh-CN"/>
                <w14:textFill>
                  <w14:solidFill>
                    <w14:schemeClr w14:val="tx1"/>
                  </w14:solidFill>
                </w14:textFill>
              </w:rPr>
              <w:t>与专利产品结构相同</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drawing>
                <wp:inline distT="0" distB="0" distL="114300" distR="114300">
                  <wp:extent cx="1482725" cy="460375"/>
                  <wp:effectExtent l="0" t="0" r="3175" b="15875"/>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0"/>
                          <a:stretch>
                            <a:fillRect/>
                          </a:stretch>
                        </pic:blipFill>
                        <pic:spPr>
                          <a:xfrm>
                            <a:off x="0" y="0"/>
                            <a:ext cx="1482725" cy="460375"/>
                          </a:xfrm>
                          <a:prstGeom prst="rect">
                            <a:avLst/>
                          </a:prstGeom>
                          <a:noFill/>
                          <a:ln>
                            <a:noFill/>
                          </a:ln>
                        </pic:spPr>
                      </pic:pic>
                    </a:graphicData>
                  </a:graphic>
                </wp:inline>
              </w:drawing>
            </w:r>
          </w:p>
        </w:tc>
        <w:tc>
          <w:tcPr>
            <w:tcW w:w="1035" w:type="dxa"/>
            <w:vAlign w:val="center"/>
          </w:tcPr>
          <w:p>
            <w:pPr>
              <w:jc w:val="center"/>
              <w:rPr>
                <w:rFonts w:ascii="仿宋" w:hAnsi="仿宋" w:eastAsia="仿宋" w:cs="仿宋"/>
                <w:b w:val="0"/>
                <w:bCs w:val="0"/>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Align w:val="center"/>
          </w:tcPr>
          <w:p>
            <w:pPr>
              <w:jc w:val="center"/>
              <w:rPr>
                <w:rFonts w:hint="eastAsia" w:ascii="仿宋" w:hAnsi="仿宋" w:eastAsia="仿宋" w:cs="仿宋"/>
                <w:b/>
                <w:bCs/>
                <w:sz w:val="24"/>
                <w:szCs w:val="24"/>
              </w:rPr>
            </w:pPr>
            <w:r>
              <w:rPr>
                <w:rFonts w:hint="eastAsia" w:ascii="仿宋" w:hAnsi="仿宋" w:eastAsia="仿宋" w:cs="仿宋"/>
                <w:b/>
                <w:bCs/>
                <w:sz w:val="24"/>
                <w:szCs w:val="24"/>
              </w:rPr>
              <w:t>权利要求</w:t>
            </w:r>
          </w:p>
          <w:p>
            <w:pPr>
              <w:jc w:val="center"/>
              <w:rPr>
                <w:rFonts w:hint="eastAsia" w:ascii="仿宋" w:hAnsi="仿宋" w:eastAsia="仿宋" w:cs="仿宋"/>
                <w:lang w:val="en-US" w:eastAsia="zh-CN"/>
              </w:rPr>
            </w:pPr>
            <w:r>
              <w:rPr>
                <w:rFonts w:hint="eastAsia" w:ascii="仿宋" w:hAnsi="仿宋" w:eastAsia="仿宋" w:cs="仿宋"/>
                <w:lang w:val="en-US" w:eastAsia="zh-CN"/>
              </w:rPr>
              <w:t>2</w:t>
            </w:r>
          </w:p>
        </w:tc>
        <w:tc>
          <w:tcPr>
            <w:tcW w:w="1086" w:type="dxa"/>
            <w:vAlign w:val="center"/>
          </w:tcPr>
          <w:p>
            <w:pPr>
              <w:jc w:val="center"/>
              <w:rPr>
                <w:rFonts w:ascii="仿宋" w:hAnsi="仿宋" w:eastAsia="仿宋" w:cs="仿宋"/>
              </w:rPr>
            </w:pPr>
            <w:r>
              <w:rPr>
                <w:rFonts w:hint="eastAsia" w:ascii="仿宋" w:hAnsi="仿宋" w:eastAsia="仿宋" w:cs="仿宋"/>
                <w:b/>
                <w:bCs/>
                <w:sz w:val="24"/>
                <w:szCs w:val="24"/>
              </w:rPr>
              <w:t>特征部分</w:t>
            </w:r>
          </w:p>
        </w:tc>
        <w:tc>
          <w:tcPr>
            <w:tcW w:w="2589" w:type="dxa"/>
            <w:vAlign w:val="center"/>
          </w:tcPr>
          <w:p>
            <w:pPr>
              <w:jc w:val="left"/>
              <w:rPr>
                <w:rFonts w:hint="eastAsia" w:ascii="仿宋" w:hAnsi="仿宋" w:eastAsia="仿宋" w:cs="仿宋"/>
                <w:b/>
                <w:sz w:val="24"/>
                <w:szCs w:val="24"/>
              </w:rPr>
            </w:pPr>
            <w:r>
              <w:rPr>
                <w:rFonts w:hint="eastAsia" w:ascii="仿宋" w:hAnsi="仿宋" w:eastAsia="仿宋" w:cs="仿宋"/>
                <w:sz w:val="24"/>
                <w:szCs w:val="24"/>
              </w:rPr>
              <w:t>所述外圈、上内圈、下内圈材质均为303不锈钢；所述滚珠材质为404不锈钢</w:t>
            </w:r>
          </w:p>
        </w:tc>
        <w:tc>
          <w:tcPr>
            <w:tcW w:w="2115"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w:t>
            </w:r>
            <w:r>
              <w:rPr>
                <w:rFonts w:hint="eastAsia" w:ascii="仿宋" w:hAnsi="仿宋" w:eastAsia="仿宋" w:cs="仿宋"/>
                <w:b w:val="0"/>
                <w:bCs w:val="0"/>
                <w:color w:val="000000" w:themeColor="text1"/>
                <w:sz w:val="24"/>
                <w:szCs w:val="24"/>
                <w:lang w:val="en-US" w:eastAsia="zh-CN"/>
                <w14:textFill>
                  <w14:solidFill>
                    <w14:schemeClr w14:val="tx1"/>
                  </w14:solidFill>
                </w14:textFill>
              </w:rPr>
              <w:t>产品材质与我司专利产品材质相同</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7" w:hRule="atLeast"/>
        </w:trPr>
        <w:tc>
          <w:tcPr>
            <w:tcW w:w="1342" w:type="dxa"/>
            <w:vAlign w:val="center"/>
          </w:tcPr>
          <w:p>
            <w:pPr>
              <w:jc w:val="center"/>
              <w:rPr>
                <w:rFonts w:hint="eastAsia" w:ascii="仿宋" w:hAnsi="仿宋" w:eastAsia="仿宋" w:cs="仿宋"/>
                <w:b/>
                <w:bCs/>
                <w:sz w:val="24"/>
                <w:szCs w:val="24"/>
              </w:rPr>
            </w:pPr>
            <w:r>
              <w:rPr>
                <w:rFonts w:hint="eastAsia" w:ascii="仿宋" w:hAnsi="仿宋" w:eastAsia="仿宋" w:cs="仿宋"/>
                <w:b/>
                <w:bCs/>
                <w:sz w:val="24"/>
                <w:szCs w:val="24"/>
              </w:rPr>
              <w:t>权利要求</w:t>
            </w:r>
          </w:p>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3</w:t>
            </w:r>
          </w:p>
        </w:tc>
        <w:tc>
          <w:tcPr>
            <w:tcW w:w="1086" w:type="dxa"/>
            <w:vAlign w:val="center"/>
          </w:tcPr>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特征部分</w:t>
            </w:r>
          </w:p>
        </w:tc>
        <w:tc>
          <w:tcPr>
            <w:tcW w:w="2589" w:type="dxa"/>
            <w:vAlign w:val="center"/>
          </w:tcPr>
          <w:p>
            <w:pPr>
              <w:pStyle w:val="11"/>
              <w:spacing w:line="360" w:lineRule="auto"/>
              <w:rPr>
                <w:rFonts w:hint="eastAsia" w:ascii="仿宋" w:hAnsi="仿宋" w:eastAsia="仿宋" w:cs="仿宋"/>
                <w:b/>
                <w:color w:val="FF0000"/>
                <w:sz w:val="24"/>
                <w:szCs w:val="24"/>
              </w:rPr>
            </w:pPr>
            <w:r>
              <w:rPr>
                <w:rFonts w:hint="eastAsia" w:ascii="仿宋" w:hAnsi="仿宋" w:eastAsia="仿宋" w:cs="仿宋"/>
                <w:sz w:val="24"/>
                <w:szCs w:val="24"/>
              </w:rPr>
              <w:t>所述下内圈上端圆管状的壁厚为0.1-0.2mm；所述上内圈圆台状的高度为0.2-0.4mm；所述下内圈上端圆管状的高度为0.5-0.7mm；所述滚珠的直径为0.4-0.6mm；当进行装配时，下内圈上端的翻折边长度为0.1-0.3mm。</w:t>
            </w:r>
          </w:p>
        </w:tc>
        <w:tc>
          <w:tcPr>
            <w:tcW w:w="2115" w:type="dxa"/>
            <w:vAlign w:val="center"/>
          </w:tcPr>
          <w:p>
            <w:pPr>
              <w:jc w:val="left"/>
              <w:rPr>
                <w:rFonts w:hint="eastAsia" w:ascii="仿宋" w:hAnsi="仿宋" w:eastAsia="仿宋" w:cs="仿宋"/>
                <w:b w:val="0"/>
                <w:bCs w:val="0"/>
                <w:color w:val="000000" w:themeColor="text1"/>
                <w:sz w:val="24"/>
                <w:szCs w:val="24"/>
                <w:lang w:val="en-US" w:eastAsia="zh-CN"/>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尺寸与我司专利产品尺寸相同</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0" w:hRule="atLeast"/>
        </w:trPr>
        <w:tc>
          <w:tcPr>
            <w:tcW w:w="1342" w:type="dxa"/>
            <w:vAlign w:val="center"/>
          </w:tcPr>
          <w:p>
            <w:pPr>
              <w:jc w:val="center"/>
              <w:rPr>
                <w:rFonts w:hint="eastAsia" w:ascii="仿宋" w:hAnsi="仿宋" w:eastAsia="仿宋" w:cs="仿宋"/>
                <w:b/>
                <w:bCs/>
                <w:sz w:val="24"/>
                <w:szCs w:val="24"/>
              </w:rPr>
            </w:pPr>
            <w:r>
              <w:rPr>
                <w:rFonts w:hint="eastAsia" w:ascii="仿宋" w:hAnsi="仿宋" w:eastAsia="仿宋" w:cs="仿宋"/>
                <w:b/>
                <w:bCs/>
                <w:sz w:val="24"/>
                <w:szCs w:val="24"/>
              </w:rPr>
              <w:t>权利要求</w:t>
            </w:r>
          </w:p>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4</w:t>
            </w:r>
          </w:p>
        </w:tc>
        <w:tc>
          <w:tcPr>
            <w:tcW w:w="1086" w:type="dxa"/>
            <w:vAlign w:val="center"/>
          </w:tcPr>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特征部分</w:t>
            </w:r>
          </w:p>
        </w:tc>
        <w:tc>
          <w:tcPr>
            <w:tcW w:w="2589" w:type="dxa"/>
            <w:vAlign w:val="center"/>
          </w:tcPr>
          <w:p>
            <w:pPr>
              <w:pStyle w:val="11"/>
              <w:spacing w:line="360" w:lineRule="auto"/>
              <w:rPr>
                <w:rFonts w:hint="eastAsia" w:ascii="仿宋" w:hAnsi="仿宋" w:eastAsia="仿宋" w:cs="仿宋"/>
                <w:b/>
                <w:color w:val="FF0000"/>
                <w:sz w:val="24"/>
                <w:szCs w:val="24"/>
              </w:rPr>
            </w:pPr>
            <w:r>
              <w:rPr>
                <w:rFonts w:hint="eastAsia" w:ascii="仿宋" w:hAnsi="仿宋" w:eastAsia="仿宋" w:cs="仿宋"/>
                <w:sz w:val="24"/>
                <w:szCs w:val="24"/>
              </w:rPr>
              <w:t>所述外圈的环形内沟槽截面呈等腰梯形；所述上内圈圆台母线与外径较大的端面的夹角和下内圈圆台母线与圆台下端面的夹角相同。</w:t>
            </w:r>
          </w:p>
        </w:tc>
        <w:tc>
          <w:tcPr>
            <w:tcW w:w="2115"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结构与我司专利产品结构相同</w:t>
            </w:r>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2" w:type="dxa"/>
            <w:vAlign w:val="center"/>
          </w:tcPr>
          <w:p>
            <w:pPr>
              <w:jc w:val="center"/>
              <w:rPr>
                <w:rFonts w:hint="eastAsia" w:ascii="仿宋" w:hAnsi="仿宋" w:eastAsia="仿宋" w:cs="仿宋"/>
                <w:b/>
                <w:bCs/>
                <w:sz w:val="24"/>
                <w:szCs w:val="24"/>
              </w:rPr>
            </w:pPr>
            <w:r>
              <w:rPr>
                <w:rFonts w:hint="eastAsia" w:ascii="仿宋" w:hAnsi="仿宋" w:eastAsia="仿宋" w:cs="仿宋"/>
                <w:b/>
                <w:bCs/>
                <w:sz w:val="24"/>
                <w:szCs w:val="24"/>
              </w:rPr>
              <w:t>权利要求</w:t>
            </w:r>
          </w:p>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5</w:t>
            </w:r>
          </w:p>
        </w:tc>
        <w:tc>
          <w:tcPr>
            <w:tcW w:w="1086" w:type="dxa"/>
            <w:vAlign w:val="center"/>
          </w:tcPr>
          <w:p>
            <w:pPr>
              <w:jc w:val="center"/>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特征部分</w:t>
            </w:r>
          </w:p>
        </w:tc>
        <w:tc>
          <w:tcPr>
            <w:tcW w:w="2589" w:type="dxa"/>
            <w:vAlign w:val="center"/>
          </w:tcPr>
          <w:p>
            <w:pPr>
              <w:ind w:firstLine="480" w:firstLineChars="200"/>
              <w:jc w:val="left"/>
              <w:rPr>
                <w:rFonts w:hint="eastAsia" w:ascii="仿宋" w:hAnsi="仿宋" w:eastAsia="仿宋" w:cs="仿宋"/>
                <w:b/>
                <w:color w:val="FF0000"/>
                <w:sz w:val="24"/>
                <w:szCs w:val="24"/>
              </w:rPr>
            </w:pPr>
            <w:r>
              <w:rPr>
                <w:rFonts w:hint="eastAsia" w:ascii="仿宋" w:hAnsi="仿宋" w:eastAsia="仿宋" w:cs="仿宋"/>
                <w:sz w:val="24"/>
                <w:szCs w:val="24"/>
              </w:rPr>
              <w:t>所述下内圈上端的圆柱形空腔向下延伸，形成贯穿下内圈整体的空腔</w:t>
            </w:r>
          </w:p>
        </w:tc>
        <w:tc>
          <w:tcPr>
            <w:tcW w:w="2115" w:type="dxa"/>
            <w:vAlign w:val="center"/>
          </w:tcPr>
          <w:p>
            <w:pPr>
              <w:jc w:val="left"/>
              <w:rPr>
                <w:rFonts w:hint="eastAsia" w:ascii="仿宋" w:hAnsi="仿宋" w:eastAsia="仿宋" w:cs="仿宋"/>
                <w:b w:val="0"/>
                <w:bCs w:val="0"/>
                <w:color w:val="000000" w:themeColor="text1"/>
                <w:sz w:val="28"/>
                <w:szCs w:val="28"/>
                <w14:textFill>
                  <w14:solidFill>
                    <w14:schemeClr w14:val="tx1"/>
                  </w14:solidFill>
                </w14:textFill>
              </w:rPr>
            </w:pPr>
            <w:r>
              <w:rPr>
                <w:rFonts w:hint="eastAsia" w:ascii="仿宋" w:hAnsi="仿宋" w:eastAsia="仿宋" w:cs="仿宋"/>
                <w:b w:val="0"/>
                <w:bCs w:val="0"/>
                <w:color w:val="000000" w:themeColor="text1"/>
                <w:sz w:val="24"/>
                <w:szCs w:val="24"/>
                <w14:textFill>
                  <w14:solidFill>
                    <w14:schemeClr w14:val="tx1"/>
                  </w14:solidFill>
                </w14:textFill>
              </w:rPr>
              <w:t>侵权产品</w:t>
            </w:r>
            <w:r>
              <w:rPr>
                <w:rFonts w:hint="eastAsia" w:ascii="仿宋" w:hAnsi="仿宋" w:eastAsia="仿宋" w:cs="仿宋"/>
                <w:b w:val="0"/>
                <w:bCs w:val="0"/>
                <w:color w:val="000000" w:themeColor="text1"/>
                <w:sz w:val="24"/>
                <w:szCs w:val="24"/>
                <w:lang w:val="en-US" w:eastAsia="zh-CN"/>
                <w14:textFill>
                  <w14:solidFill>
                    <w14:schemeClr w14:val="tx1"/>
                  </w14:solidFill>
                </w14:textFill>
              </w:rPr>
              <w:t>结构与我司专利产品结构相同</w:t>
            </w:r>
            <w:bookmarkStart w:id="0" w:name="_GoBack"/>
            <w:bookmarkEnd w:id="0"/>
          </w:p>
        </w:tc>
        <w:tc>
          <w:tcPr>
            <w:tcW w:w="2558" w:type="dxa"/>
            <w:vAlign w:val="center"/>
          </w:tcPr>
          <w:p>
            <w:pPr>
              <w:jc w:val="left"/>
              <w:rPr>
                <w:rFonts w:hint="eastAsia" w:ascii="仿宋" w:hAnsi="仿宋" w:eastAsia="仿宋" w:cs="仿宋"/>
                <w:b w:val="0"/>
                <w:bCs w:val="0"/>
                <w:color w:val="000000" w:themeColor="text1"/>
                <w:sz w:val="24"/>
                <w:szCs w:val="24"/>
                <w14:textFill>
                  <w14:solidFill>
                    <w14:schemeClr w14:val="tx1"/>
                  </w14:solidFill>
                </w14:textFill>
              </w:rPr>
            </w:pPr>
          </w:p>
        </w:tc>
        <w:tc>
          <w:tcPr>
            <w:tcW w:w="1035" w:type="dxa"/>
            <w:vAlign w:val="center"/>
          </w:tcPr>
          <w:p>
            <w:pPr>
              <w:jc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相同</w:t>
            </w:r>
          </w:p>
        </w:tc>
      </w:tr>
    </w:tbl>
    <w:p>
      <w:pPr>
        <w:ind w:firstLine="640" w:firstLineChars="200"/>
      </w:pPr>
      <w:r>
        <w:rPr>
          <w:rFonts w:hint="eastAsia" w:ascii="仿宋" w:hAnsi="仿宋" w:eastAsia="仿宋"/>
          <w:sz w:val="32"/>
          <w:szCs w:val="32"/>
        </w:rPr>
        <w:t>经对比，我公司认为被控侵权产品技术方案落入涉案专利（CN</w:t>
      </w:r>
      <w:r>
        <w:rPr>
          <w:rFonts w:ascii="仿宋" w:hAnsi="仿宋" w:eastAsia="仿宋"/>
          <w:sz w:val="32"/>
          <w:szCs w:val="32"/>
        </w:rPr>
        <w:t>201920732087 .X</w:t>
      </w:r>
      <w:r>
        <w:rPr>
          <w:rFonts w:hint="eastAsia" w:ascii="仿宋" w:hAnsi="仿宋" w:eastAsia="仿宋"/>
          <w:sz w:val="32"/>
          <w:szCs w:val="32"/>
        </w:rPr>
        <w:t xml:space="preserve"> -一种用于手机伸缩镜头的轴承）的保护范围。</w:t>
      </w:r>
    </w:p>
    <w:sectPr>
      <w:pgSz w:w="11906" w:h="16838"/>
      <w:pgMar w:top="1417" w:right="1134" w:bottom="1134" w:left="141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黑体"/>
    <w:panose1 w:val="03000509000000000000"/>
    <w:charset w:val="86"/>
    <w:family w:val="script"/>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141E7"/>
    <w:rsid w:val="00172A27"/>
    <w:rsid w:val="00225562"/>
    <w:rsid w:val="005368F6"/>
    <w:rsid w:val="007E67B8"/>
    <w:rsid w:val="00837358"/>
    <w:rsid w:val="008D7ACE"/>
    <w:rsid w:val="00B96DDD"/>
    <w:rsid w:val="00C149F1"/>
    <w:rsid w:val="00D1511E"/>
    <w:rsid w:val="00EA6404"/>
    <w:rsid w:val="00EE2359"/>
    <w:rsid w:val="02713932"/>
    <w:rsid w:val="05D92257"/>
    <w:rsid w:val="12442203"/>
    <w:rsid w:val="1724165F"/>
    <w:rsid w:val="1B585FC3"/>
    <w:rsid w:val="1F5B5346"/>
    <w:rsid w:val="24785195"/>
    <w:rsid w:val="259D23D1"/>
    <w:rsid w:val="2986216B"/>
    <w:rsid w:val="31DF7D2C"/>
    <w:rsid w:val="36C20F78"/>
    <w:rsid w:val="399A003B"/>
    <w:rsid w:val="414901DF"/>
    <w:rsid w:val="4F1625F6"/>
    <w:rsid w:val="5423081B"/>
    <w:rsid w:val="55707486"/>
    <w:rsid w:val="57E87FF4"/>
    <w:rsid w:val="62E762DA"/>
    <w:rsid w:val="64C6405F"/>
    <w:rsid w:val="689431F9"/>
    <w:rsid w:val="6CF50EF1"/>
    <w:rsid w:val="6F9824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7">
    <w:name w:val="Default Paragraph Font"/>
    <w:unhideWhenUsed/>
    <w:qFormat/>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Balloon Text"/>
    <w:basedOn w:val="1"/>
    <w:link w:val="10"/>
    <w:qFormat/>
    <w:uiPriority w:val="0"/>
    <w:rPr>
      <w:sz w:val="18"/>
      <w:szCs w:val="18"/>
    </w:rPr>
  </w:style>
  <w:style w:type="paragraph" w:styleId="3">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Char"/>
    <w:basedOn w:val="7"/>
    <w:link w:val="4"/>
    <w:qFormat/>
    <w:uiPriority w:val="0"/>
    <w:rPr>
      <w:kern w:val="2"/>
      <w:sz w:val="18"/>
      <w:szCs w:val="18"/>
    </w:rPr>
  </w:style>
  <w:style w:type="character" w:customStyle="1" w:styleId="9">
    <w:name w:val="页脚 Char"/>
    <w:basedOn w:val="7"/>
    <w:link w:val="3"/>
    <w:qFormat/>
    <w:uiPriority w:val="0"/>
    <w:rPr>
      <w:kern w:val="2"/>
      <w:sz w:val="18"/>
      <w:szCs w:val="18"/>
    </w:rPr>
  </w:style>
  <w:style w:type="character" w:customStyle="1" w:styleId="10">
    <w:name w:val="批注框文本 Char"/>
    <w:basedOn w:val="7"/>
    <w:link w:val="2"/>
    <w:qFormat/>
    <w:uiPriority w:val="0"/>
    <w:rPr>
      <w:kern w:val="2"/>
      <w:sz w:val="18"/>
      <w:szCs w:val="18"/>
    </w:rPr>
  </w:style>
  <w:style w:type="paragraph" w:styleId="11">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91</Words>
  <Characters>521</Characters>
  <Lines>4</Lines>
  <Paragraphs>1</Paragraphs>
  <TotalTime>6</TotalTime>
  <ScaleCrop>false</ScaleCrop>
  <LinksUpToDate>false</LinksUpToDate>
  <CharactersWithSpaces>611</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2020-05-09T00:40:00Z</dcterms:created>
  <dc:creator>王挺-合肥和瑞知识产权</dc:creator>
  <cp:lastModifiedBy>RZN Bearing（华黎明）</cp:lastModifiedBy>
  <dcterms:modified xsi:type="dcterms:W3CDTF">2020-05-12T08:23:21Z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