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p>
    <w:p>
      <w:pPr>
        <w:pStyle w:val="2"/>
        <w:rPr>
          <w:rFonts w:hint="eastAsia" w:ascii="Times New Roman" w:hAnsi="Times New Roman" w:eastAsia="方正小标宋_GBK" w:cs="Times New Roman"/>
          <w:sz w:val="44"/>
          <w:szCs w:val="44"/>
          <w:lang w:eastAsia="zh-CN"/>
        </w:rPr>
      </w:pPr>
    </w:p>
    <w:p>
      <w:pPr>
        <w:pStyle w:val="2"/>
        <w:rPr>
          <w:rFonts w:hint="eastAsia" w:ascii="Times New Roman" w:hAnsi="Times New Roman" w:eastAsia="方正小标宋_GBK" w:cs="Times New Roman"/>
          <w:sz w:val="44"/>
          <w:szCs w:val="44"/>
          <w:lang w:eastAsia="zh-CN"/>
        </w:rPr>
      </w:pPr>
    </w:p>
    <w:p>
      <w:pPr>
        <w:pStyle w:val="2"/>
        <w:rPr>
          <w:rFonts w:hint="eastAsia" w:ascii="Times New Roman" w:hAnsi="Times New Roman" w:eastAsia="方正小标宋_GBK" w:cs="Times New Roman"/>
          <w:sz w:val="44"/>
          <w:szCs w:val="44"/>
          <w:lang w:eastAsia="zh-CN"/>
        </w:rPr>
      </w:pPr>
    </w:p>
    <w:p>
      <w:pPr>
        <w:pStyle w:val="2"/>
        <w:ind w:left="0" w:leftChars="0" w:firstLine="0" w:firstLineChars="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p>
    <w:p>
      <w:pPr>
        <w:pStyle w:val="2"/>
        <w:jc w:val="center"/>
        <w:rPr>
          <w:rFonts w:hint="eastAsia" w:ascii="仿宋" w:hAnsi="仿宋" w:eastAsia="仿宋" w:cs="仿宋"/>
          <w:sz w:val="32"/>
          <w:szCs w:val="32"/>
          <w:lang w:eastAsia="zh-CN"/>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萧卫政法</w:t>
      </w:r>
      <w:r>
        <w:rPr>
          <w:rFonts w:hint="eastAsia" w:ascii="仿宋" w:hAnsi="仿宋" w:eastAsia="仿宋" w:cs="仿宋"/>
          <w:b w:val="0"/>
          <w:bCs w:val="0"/>
          <w:color w:val="000000" w:themeColor="text1"/>
          <w:sz w:val="32"/>
          <w:szCs w:val="32"/>
          <w:highlight w:val="none"/>
          <w:u w:val="none" w:color="auto"/>
          <w:lang w:val="en-US" w:eastAsia="zh-CN"/>
          <w14:textFill>
            <w14:solidFill>
              <w14:schemeClr w14:val="tx1"/>
            </w14:solidFill>
          </w14:textFill>
        </w:rPr>
        <w:t>〔2022〕</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2号</w:t>
      </w:r>
    </w:p>
    <w:p>
      <w:pPr>
        <w:pStyle w:val="2"/>
        <w:rPr>
          <w:rFonts w:hint="eastAsia"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萧县</w:t>
      </w:r>
      <w:r>
        <w:rPr>
          <w:rFonts w:hint="eastAsia" w:asciiTheme="majorEastAsia" w:hAnsiTheme="majorEastAsia" w:eastAsiaTheme="majorEastAsia" w:cstheme="majorEastAsia"/>
          <w:b/>
          <w:bCs/>
          <w:sz w:val="44"/>
          <w:szCs w:val="44"/>
          <w:lang w:eastAsia="zh-CN"/>
        </w:rPr>
        <w:t>卫生健康委</w:t>
      </w:r>
      <w:r>
        <w:rPr>
          <w:rFonts w:hint="eastAsia" w:asciiTheme="majorEastAsia" w:hAnsiTheme="majorEastAsia" w:eastAsiaTheme="majorEastAsia" w:cstheme="majorEastAsia"/>
          <w:b/>
          <w:bCs/>
          <w:sz w:val="44"/>
          <w:szCs w:val="44"/>
          <w:lang w:val="en-US" w:eastAsia="zh-CN"/>
        </w:rPr>
        <w:t>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关于印发《全</w:t>
      </w:r>
      <w:r>
        <w:rPr>
          <w:rFonts w:hint="eastAsia" w:asciiTheme="majorEastAsia" w:hAnsiTheme="majorEastAsia" w:eastAsiaTheme="majorEastAsia" w:cstheme="majorEastAsia"/>
          <w:b/>
          <w:bCs/>
          <w:sz w:val="44"/>
          <w:szCs w:val="44"/>
          <w:lang w:val="en-US" w:eastAsia="zh-CN"/>
        </w:rPr>
        <w:t>县</w:t>
      </w:r>
      <w:bookmarkStart w:id="0" w:name="_GoBack"/>
      <w:bookmarkEnd w:id="0"/>
      <w:r>
        <w:rPr>
          <w:rFonts w:hint="eastAsia" w:asciiTheme="majorEastAsia" w:hAnsiTheme="majorEastAsia" w:eastAsiaTheme="majorEastAsia" w:cstheme="majorEastAsia"/>
          <w:b/>
          <w:bCs/>
          <w:sz w:val="44"/>
          <w:szCs w:val="44"/>
          <w:lang w:eastAsia="zh-CN"/>
        </w:rPr>
        <w:t>卫生健康系统法治宣传教育</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第八个五年规划（</w:t>
      </w:r>
      <w:r>
        <w:rPr>
          <w:rFonts w:hint="eastAsia" w:asciiTheme="majorEastAsia" w:hAnsiTheme="majorEastAsia" w:eastAsiaTheme="majorEastAsia" w:cstheme="majorEastAsia"/>
          <w:b/>
          <w:bCs/>
          <w:sz w:val="44"/>
          <w:szCs w:val="44"/>
          <w:lang w:val="en-US" w:eastAsia="zh-CN"/>
        </w:rPr>
        <w:t>2021-2025年</w:t>
      </w:r>
      <w:r>
        <w:rPr>
          <w:rFonts w:hint="eastAsia" w:asciiTheme="majorEastAsia" w:hAnsiTheme="majorEastAsia" w:eastAsiaTheme="majorEastAsia" w:cstheme="majorEastAsia"/>
          <w:b/>
          <w:bCs/>
          <w:sz w:val="44"/>
          <w:szCs w:val="44"/>
          <w:lang w:eastAsia="zh-CN"/>
        </w:rPr>
        <w:t>）》的通知</w:t>
      </w:r>
    </w:p>
    <w:p>
      <w:pPr>
        <w:pStyle w:val="2"/>
        <w:ind w:left="0" w:leftChars="0" w:firstLine="0" w:firstLineChars="0"/>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各乡镇卫生院、县直卫生健康单位、委机关各股室: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现将《萧县卫生健康系统法治宣传教育第八个五年规划（2021-2025年）》印发给你们，请认真贯彻执行。</w:t>
      </w:r>
    </w:p>
    <w:p>
      <w:pPr>
        <w:pStyle w:val="2"/>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p>
    <w:p>
      <w:pPr>
        <w:pStyle w:val="2"/>
        <w:wordWrap w:val="0"/>
        <w:jc w:val="right"/>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xml:space="preserve">萧县卫生健康委员会      </w:t>
      </w:r>
    </w:p>
    <w:p>
      <w:pPr>
        <w:pStyle w:val="2"/>
        <w:wordWrap w:val="0"/>
        <w:jc w:val="right"/>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xml:space="preserve">2022年8月10日    </w:t>
      </w:r>
      <w:r>
        <w:rPr>
          <w:rFonts w:hint="eastAsia" w:cs="Times New Roman"/>
          <w:color w:val="000000" w:themeColor="text1"/>
          <w:kern w:val="2"/>
          <w:sz w:val="32"/>
          <w:szCs w:val="32"/>
          <w:highlight w:val="none"/>
          <w:lang w:val="en-US" w:eastAsia="zh-CN" w:bidi="ar-SA"/>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en-US" w:eastAsia="zh-CN"/>
        </w:rPr>
        <w:t>萧县</w:t>
      </w:r>
      <w:r>
        <w:rPr>
          <w:rFonts w:hint="eastAsia" w:asciiTheme="majorEastAsia" w:hAnsiTheme="majorEastAsia" w:eastAsiaTheme="majorEastAsia" w:cstheme="majorEastAsia"/>
          <w:b/>
          <w:bCs/>
          <w:sz w:val="44"/>
          <w:szCs w:val="44"/>
          <w:lang w:eastAsia="zh-CN"/>
        </w:rPr>
        <w:t>卫生健康系统法治宣传教育</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lang w:eastAsia="zh-CN"/>
        </w:rPr>
        <w:t>第八个五年规划（</w:t>
      </w:r>
      <w:r>
        <w:rPr>
          <w:rFonts w:hint="eastAsia" w:asciiTheme="majorEastAsia" w:hAnsiTheme="majorEastAsia" w:eastAsiaTheme="majorEastAsia" w:cstheme="majorEastAsia"/>
          <w:b/>
          <w:bCs/>
          <w:sz w:val="44"/>
          <w:szCs w:val="44"/>
          <w:lang w:val="en-US" w:eastAsia="zh-CN"/>
        </w:rPr>
        <w:t>2021-2025年</w:t>
      </w:r>
      <w:r>
        <w:rPr>
          <w:rFonts w:hint="eastAsia" w:asciiTheme="majorEastAsia" w:hAnsiTheme="majorEastAsia" w:eastAsiaTheme="majorEastAsia" w:cstheme="majorEastAsia"/>
          <w:b/>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为深入学习宣传贯彻习近平法治思想，做好全县卫生健康系统第八个五年法治宣传教育工作</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推动全县卫生健康系统尊法学法守法用法，</w:t>
      </w:r>
      <w:r>
        <w:rPr>
          <w:rFonts w:hint="eastAsia" w:ascii="仿宋" w:hAnsi="仿宋" w:eastAsia="仿宋" w:cs="仿宋"/>
          <w:color w:val="auto"/>
          <w:sz w:val="32"/>
          <w:szCs w:val="32"/>
          <w:highlight w:val="none"/>
          <w:lang w:val="en-US" w:eastAsia="zh-CN"/>
        </w:rPr>
        <w:t>根据《县</w:t>
      </w:r>
      <w:r>
        <w:rPr>
          <w:rFonts w:hint="eastAsia" w:ascii="仿宋" w:hAnsi="仿宋" w:eastAsia="仿宋" w:cs="仿宋"/>
          <w:snapToGrid w:val="0"/>
          <w:color w:val="auto"/>
          <w:kern w:val="2"/>
          <w:sz w:val="32"/>
          <w:szCs w:val="32"/>
          <w:highlight w:val="none"/>
          <w:lang w:val="en-US" w:eastAsia="zh-CN" w:bidi="ar-SA"/>
        </w:rPr>
        <w:t>委宣传部、</w:t>
      </w:r>
      <w:r>
        <w:rPr>
          <w:rFonts w:hint="eastAsia" w:ascii="仿宋" w:hAnsi="仿宋" w:eastAsia="仿宋" w:cs="仿宋"/>
          <w:color w:val="auto"/>
          <w:sz w:val="32"/>
          <w:szCs w:val="32"/>
          <w:highlight w:val="none"/>
          <w:lang w:val="en-US" w:eastAsia="zh-CN"/>
        </w:rPr>
        <w:t>县</w:t>
      </w:r>
      <w:r>
        <w:rPr>
          <w:rFonts w:hint="eastAsia" w:ascii="仿宋" w:hAnsi="仿宋" w:eastAsia="仿宋" w:cs="仿宋"/>
          <w:snapToGrid w:val="0"/>
          <w:color w:val="auto"/>
          <w:kern w:val="2"/>
          <w:sz w:val="32"/>
          <w:szCs w:val="32"/>
          <w:highlight w:val="none"/>
          <w:lang w:val="en-US" w:eastAsia="zh-CN" w:bidi="ar-SA"/>
        </w:rPr>
        <w:t>司法局关于在全县开展法治宣传教育的第八个五年规划（2021-2025年）</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和《全市卫生健康系统法治宣传教育第八个五年规划（2021-2025年）》等有关规定，</w:t>
      </w:r>
      <w:r>
        <w:rPr>
          <w:rFonts w:hint="eastAsia" w:ascii="仿宋" w:hAnsi="仿宋" w:eastAsia="仿宋" w:cs="仿宋"/>
          <w:color w:val="000000" w:themeColor="text1"/>
          <w:sz w:val="32"/>
          <w:szCs w:val="32"/>
          <w14:textFill>
            <w14:solidFill>
              <w14:schemeClr w14:val="tx1"/>
            </w14:solidFill>
          </w14:textFill>
        </w:rPr>
        <w:t>结合我</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lang w:eastAsia="zh-CN"/>
          <w14:textFill>
            <w14:solidFill>
              <w14:schemeClr w14:val="tx1"/>
            </w14:solidFill>
          </w14:textFill>
        </w:rPr>
        <w:t>卫生健康</w:t>
      </w:r>
      <w:r>
        <w:rPr>
          <w:rFonts w:hint="eastAsia" w:ascii="仿宋" w:hAnsi="仿宋" w:eastAsia="仿宋" w:cs="仿宋"/>
          <w:color w:val="000000" w:themeColor="text1"/>
          <w:sz w:val="32"/>
          <w:szCs w:val="32"/>
          <w:lang w:val="en-US" w:eastAsia="zh-CN"/>
          <w14:textFill>
            <w14:solidFill>
              <w14:schemeClr w14:val="tx1"/>
            </w14:solidFill>
          </w14:textFill>
        </w:rPr>
        <w:t>系统</w:t>
      </w:r>
      <w:r>
        <w:rPr>
          <w:rFonts w:hint="eastAsia" w:ascii="仿宋" w:hAnsi="仿宋" w:eastAsia="仿宋" w:cs="仿宋"/>
          <w:color w:val="000000" w:themeColor="text1"/>
          <w:sz w:val="32"/>
          <w:szCs w:val="32"/>
          <w14:textFill>
            <w14:solidFill>
              <w14:schemeClr w14:val="tx1"/>
            </w14:solidFill>
          </w14:textFill>
        </w:rPr>
        <w:t>实际，制定本规划。</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一、坚持</w:t>
      </w:r>
      <w:r>
        <w:rPr>
          <w:rFonts w:hint="eastAsia" w:ascii="黑体" w:hAnsi="黑体" w:eastAsia="黑体" w:cs="黑体"/>
          <w:b/>
          <w:bCs/>
          <w:color w:val="000000" w:themeColor="text1"/>
          <w:sz w:val="32"/>
          <w:szCs w:val="32"/>
          <w14:textFill>
            <w14:solidFill>
              <w14:schemeClr w14:val="tx1"/>
            </w14:solidFill>
          </w14:textFill>
        </w:rPr>
        <w:t>以习近平法治思想引领</w:t>
      </w:r>
      <w:r>
        <w:rPr>
          <w:rFonts w:hint="eastAsia" w:ascii="黑体" w:hAnsi="黑体" w:eastAsia="黑体" w:cs="黑体"/>
          <w:b/>
          <w:bCs/>
          <w:color w:val="000000" w:themeColor="text1"/>
          <w:sz w:val="32"/>
          <w:szCs w:val="32"/>
          <w:lang w:eastAsia="zh-CN"/>
          <w14:textFill>
            <w14:solidFill>
              <w14:schemeClr w14:val="tx1"/>
            </w14:solidFill>
          </w14:textFill>
        </w:rPr>
        <w:t>卫生健康系统普法</w:t>
      </w:r>
      <w:r>
        <w:rPr>
          <w:rFonts w:hint="eastAsia" w:ascii="黑体" w:hAnsi="黑体" w:eastAsia="黑体" w:cs="黑体"/>
          <w:b/>
          <w:bCs/>
          <w:color w:val="000000" w:themeColor="text1"/>
          <w:sz w:val="32"/>
          <w:szCs w:val="32"/>
          <w14:textFill>
            <w14:solidFill>
              <w14:schemeClr w14:val="tx1"/>
            </w14:solidFill>
          </w14:textFill>
        </w:rPr>
        <w:t>工作</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napToGrid w:val="0"/>
          <w:color w:val="000000" w:themeColor="text1"/>
          <w:kern w:val="2"/>
          <w:sz w:val="32"/>
          <w:szCs w:val="32"/>
          <w:highlight w:val="none"/>
          <w:lang w:val="en-US" w:eastAsia="zh-CN" w:bidi="ar-SA"/>
          <w14:textFill>
            <w14:solidFill>
              <w14:schemeClr w14:val="tx1"/>
            </w14:solidFill>
          </w14:textFill>
        </w:rPr>
        <w:t>坚持以习近平新时代中国特色社会主义思想为指导，全面贯彻党的十九大和十九届历次全会精神，深入学习贯彻习近平法治思想，学习贯彻习近平总书记在中央政治局第三十五次集体学习时重要讲话精神和对安徽作出的系列重要讲话指示批示，围绕全省“十四五”卫生健康发展目标任务，坚持法治宣传教育与卫生健康法治实践相结合，增强“四个意识”、坚定“四个自信”、做到“两个维护”，坚定不移走中国特色社会主义法治道路，以持续提升全县卫生健康系统依法治理水平为重点，以全面落实普法责任制为抓手，以深化改革创新为动力，持续强化全县卫生健康系统法治意识，为“健康萧县”</w:t>
      </w:r>
      <w:r>
        <w:rPr>
          <w:rFonts w:hint="eastAsia" w:ascii="仿宋" w:hAnsi="仿宋" w:eastAsia="仿宋" w:cs="仿宋"/>
          <w:color w:val="000000" w:themeColor="text1"/>
          <w:sz w:val="32"/>
          <w:szCs w:val="32"/>
          <w:highlight w:val="none"/>
          <w:lang w:val="en-US" w:eastAsia="zh-CN"/>
          <w14:textFill>
            <w14:solidFill>
              <w14:schemeClr w14:val="tx1"/>
            </w14:solidFill>
          </w14:textFill>
        </w:rPr>
        <w:t>建设奠定坚实法治基础，创造良好的卫生健康事业法治环境。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s="仿宋"/>
          <w:bCs/>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snapToGrid w:val="0"/>
          <w:color w:val="000000" w:themeColor="text1"/>
          <w:kern w:val="2"/>
          <w:sz w:val="32"/>
          <w:szCs w:val="32"/>
          <w:lang w:val="en-US" w:eastAsia="zh-CN" w:bidi="ar-SA"/>
          <w14:textFill>
            <w14:solidFill>
              <w14:schemeClr w14:val="tx1"/>
            </w14:solidFill>
          </w14:textFill>
        </w:rPr>
        <w:t>到2025年，全县卫生健康系统普法工作机制不断健全和完善，完备的工作制度体系、精准的工作实施体系、科学的工作评价体系和严格的工作责任体系基本形成。全县卫生健康系统领导干部运用法治思维和法治方式解决问题的能力显著提升，全系统干部职工法治意识和法治素养明显提高。卫生健康领域依法治理深入推进，办事依法、遇事找法、解决问题用法、化解矛盾靠法的法治环境显著改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napToGrid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bCs/>
          <w:snapToGrid w:val="0"/>
          <w:color w:val="000000" w:themeColor="text1"/>
          <w:kern w:val="2"/>
          <w:sz w:val="32"/>
          <w:szCs w:val="32"/>
          <w:highlight w:val="none"/>
          <w:lang w:val="en-US" w:eastAsia="zh-CN" w:bidi="ar-SA"/>
          <w14:textFill>
            <w14:solidFill>
              <w14:schemeClr w14:val="tx1"/>
            </w14:solidFill>
          </w14:textFill>
        </w:rPr>
        <w:t>二、突出普法重点内容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napToGrid w:val="0"/>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kern w:val="2"/>
          <w:sz w:val="32"/>
          <w:szCs w:val="32"/>
          <w:highlight w:val="none"/>
          <w:lang w:val="en-US" w:eastAsia="zh-CN" w:bidi="ar-SA"/>
          <w14:textFill>
            <w14:solidFill>
              <w14:schemeClr w14:val="tx1"/>
            </w14:solidFill>
          </w14:textFill>
        </w:rPr>
        <w:t>（一）加强习近平法治思想学习宣传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把学习宣传习近平法治思想作为全民普法的首要政治任务，作为党委（党组）理论学习中心组学习重点内容。组织一批政治过硬、理论扎实、业务精通的专家学者、法治工作者及志愿者等，积极从事和深入开展习近平法治思想理论与实践的</w:t>
      </w:r>
      <w:r>
        <w:rPr>
          <w:rFonts w:hint="eastAsia" w:ascii="仿宋" w:hAnsi="仿宋" w:eastAsia="仿宋" w:cs="仿宋"/>
          <w:color w:val="000000" w:themeColor="text1"/>
          <w:sz w:val="32"/>
          <w:szCs w:val="32"/>
          <w:lang w:eastAsia="zh-CN"/>
          <w14:textFill>
            <w14:solidFill>
              <w14:schemeClr w14:val="tx1"/>
            </w14:solidFill>
          </w14:textFill>
        </w:rPr>
        <w:t>研究阐释宣传</w:t>
      </w:r>
      <w:r>
        <w:rPr>
          <w:rFonts w:hint="eastAsia" w:ascii="仿宋" w:hAnsi="仿宋" w:eastAsia="仿宋" w:cs="仿宋"/>
          <w:color w:val="000000" w:themeColor="text1"/>
          <w:sz w:val="32"/>
          <w:szCs w:val="32"/>
          <w14:textFill>
            <w14:solidFill>
              <w14:schemeClr w14:val="tx1"/>
            </w14:solidFill>
          </w14:textFill>
        </w:rPr>
        <w:t>工作。运用各类媒体和平台，发挥好基层普法阵地的作用，持续推动广大干部群众深入学习贯彻习近平法治思想，拓展学习宣传的广度和深度。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napToGrid w:val="0"/>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kern w:val="2"/>
          <w:sz w:val="32"/>
          <w:szCs w:val="32"/>
          <w:highlight w:val="none"/>
          <w:lang w:val="en-US" w:eastAsia="zh-CN" w:bidi="ar-SA"/>
          <w14:textFill>
            <w14:solidFill>
              <w14:schemeClr w14:val="tx1"/>
            </w14:solidFill>
          </w14:textFill>
        </w:rPr>
        <w:t>（二）加强宪法、民法典和党内法规的学习宣传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在全</w:t>
      </w:r>
      <w:r>
        <w:rPr>
          <w:rFonts w:hint="eastAsia" w:ascii="仿宋" w:hAnsi="仿宋" w:eastAsia="仿宋" w:cs="仿宋"/>
          <w:color w:val="000000" w:themeColor="text1"/>
          <w:sz w:val="32"/>
          <w:szCs w:val="32"/>
          <w:lang w:val="en-US" w:eastAsia="zh-CN"/>
          <w14:textFill>
            <w14:solidFill>
              <w14:schemeClr w14:val="tx1"/>
            </w14:solidFill>
          </w14:textFill>
        </w:rPr>
        <w:t>县卫生健康系统</w:t>
      </w:r>
      <w:r>
        <w:rPr>
          <w:rFonts w:hint="eastAsia" w:ascii="仿宋" w:hAnsi="仿宋" w:eastAsia="仿宋" w:cs="仿宋"/>
          <w:color w:val="000000" w:themeColor="text1"/>
          <w:sz w:val="32"/>
          <w:szCs w:val="32"/>
          <w14:textFill>
            <w14:solidFill>
              <w14:schemeClr w14:val="tx1"/>
            </w14:solidFill>
          </w14:textFill>
        </w:rPr>
        <w:t>深入持久开展宪法宣传教育活动，加强宪法的学习宣传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全面落实宪法宣誓制度。</w:t>
      </w:r>
      <w:r>
        <w:rPr>
          <w:rFonts w:hint="eastAsia" w:ascii="仿宋" w:hAnsi="仿宋" w:eastAsia="仿宋" w:cs="仿宋"/>
          <w:bCs/>
          <w:color w:val="000000" w:themeColor="text1"/>
          <w:sz w:val="32"/>
          <w:szCs w:val="32"/>
          <w14:textFill>
            <w14:solidFill>
              <w14:schemeClr w14:val="tx1"/>
            </w14:solidFill>
          </w14:textFill>
        </w:rPr>
        <w:t>深入开展</w:t>
      </w:r>
      <w:r>
        <w:rPr>
          <w:rFonts w:hint="eastAsia" w:ascii="仿宋" w:hAnsi="仿宋" w:eastAsia="仿宋" w:cs="仿宋"/>
          <w:color w:val="000000" w:themeColor="text1"/>
          <w:sz w:val="32"/>
          <w:szCs w:val="32"/>
          <w14:textFill>
            <w14:solidFill>
              <w14:schemeClr w14:val="tx1"/>
            </w14:solidFill>
          </w14:textFill>
        </w:rPr>
        <w:t>“12·4”</w:t>
      </w:r>
      <w:r>
        <w:rPr>
          <w:rFonts w:hint="eastAsia" w:ascii="仿宋" w:hAnsi="仿宋" w:eastAsia="仿宋" w:cs="仿宋"/>
          <w:bCs/>
          <w:color w:val="000000" w:themeColor="text1"/>
          <w:sz w:val="32"/>
          <w:szCs w:val="32"/>
          <w14:textFill>
            <w14:solidFill>
              <w14:schemeClr w14:val="tx1"/>
            </w14:solidFill>
          </w14:textFill>
        </w:rPr>
        <w:t>国家宪法日和</w:t>
      </w:r>
      <w:r>
        <w:rPr>
          <w:rFonts w:hint="eastAsia" w:ascii="仿宋" w:hAnsi="仿宋" w:eastAsia="仿宋" w:cs="仿宋"/>
          <w:color w:val="000000" w:themeColor="text1"/>
          <w:sz w:val="32"/>
          <w:szCs w:val="32"/>
          <w14:textFill>
            <w14:solidFill>
              <w14:schemeClr w14:val="tx1"/>
            </w14:solidFill>
          </w14:textFill>
        </w:rPr>
        <w:t>宪法宣传周集中宣传活动</w:t>
      </w:r>
      <w:r>
        <w:rPr>
          <w:rFonts w:hint="eastAsia" w:ascii="仿宋" w:hAnsi="仿宋" w:eastAsia="仿宋" w:cs="仿宋"/>
          <w:color w:val="000000" w:themeColor="text1"/>
          <w:sz w:val="32"/>
          <w:szCs w:val="32"/>
          <w:lang w:eastAsia="zh-CN"/>
          <w14:textFill>
            <w14:solidFill>
              <w14:schemeClr w14:val="tx1"/>
            </w14:solidFill>
          </w14:textFill>
        </w:rPr>
        <w:t>，实现宪法宣传教育常态化。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开展民法典宣传月</w:t>
      </w:r>
      <w:r>
        <w:rPr>
          <w:rFonts w:hint="eastAsia" w:ascii="仿宋" w:hAnsi="仿宋" w:eastAsia="仿宋" w:cs="仿宋"/>
          <w:bCs/>
          <w:color w:val="000000" w:themeColor="text1"/>
          <w:sz w:val="32"/>
          <w:szCs w:val="32"/>
          <w:lang w:val="en-US" w:eastAsia="zh-CN"/>
          <w14:textFill>
            <w14:solidFill>
              <w14:schemeClr w14:val="tx1"/>
            </w14:solidFill>
          </w14:textFill>
        </w:rPr>
        <w:t>和</w:t>
      </w:r>
      <w:r>
        <w:rPr>
          <w:rFonts w:hint="eastAsia" w:ascii="仿宋" w:hAnsi="仿宋" w:eastAsia="仿宋" w:cs="仿宋"/>
          <w:bCs/>
          <w:color w:val="000000" w:themeColor="text1"/>
          <w:sz w:val="32"/>
          <w:szCs w:val="32"/>
          <w14:textFill>
            <w14:solidFill>
              <w14:schemeClr w14:val="tx1"/>
            </w14:solidFill>
          </w14:textFill>
        </w:rPr>
        <w:t>“美好生活·民法典相伴”主题宣传活动，推动</w:t>
      </w:r>
      <w:r>
        <w:rPr>
          <w:rFonts w:hint="eastAsia" w:ascii="仿宋" w:hAnsi="仿宋" w:eastAsia="仿宋" w:cs="仿宋"/>
          <w:bCs/>
          <w:color w:val="000000" w:themeColor="text1"/>
          <w:sz w:val="32"/>
          <w:szCs w:val="32"/>
          <w:lang w:val="en-US" w:eastAsia="zh-CN"/>
          <w14:textFill>
            <w14:solidFill>
              <w14:schemeClr w14:val="tx1"/>
            </w14:solidFill>
          </w14:textFill>
        </w:rPr>
        <w:t>县</w:t>
      </w:r>
      <w:r>
        <w:rPr>
          <w:rFonts w:hint="eastAsia" w:ascii="仿宋" w:hAnsi="仿宋" w:eastAsia="仿宋" w:cs="仿宋"/>
          <w:bCs/>
          <w:color w:val="000000" w:themeColor="text1"/>
          <w:sz w:val="32"/>
          <w:szCs w:val="32"/>
          <w:lang w:eastAsia="zh-CN"/>
          <w14:textFill>
            <w14:solidFill>
              <w14:schemeClr w14:val="tx1"/>
            </w14:solidFill>
          </w14:textFill>
        </w:rPr>
        <w:t>卫生健康行政部门带头</w:t>
      </w:r>
      <w:r>
        <w:rPr>
          <w:rFonts w:hint="eastAsia" w:ascii="仿宋" w:hAnsi="仿宋" w:eastAsia="仿宋" w:cs="仿宋"/>
          <w:bCs/>
          <w:color w:val="000000" w:themeColor="text1"/>
          <w:sz w:val="32"/>
          <w:szCs w:val="32"/>
          <w:lang w:val="en-US" w:eastAsia="zh-CN"/>
          <w14:textFill>
            <w14:solidFill>
              <w14:schemeClr w14:val="tx1"/>
            </w14:solidFill>
          </w14:textFill>
        </w:rPr>
        <w:t>学习宣传民法典。</w:t>
      </w:r>
      <w:r>
        <w:rPr>
          <w:rFonts w:hint="eastAsia" w:ascii="仿宋" w:hAnsi="仿宋" w:eastAsia="仿宋" w:cs="仿宋"/>
          <w:bCs/>
          <w:color w:val="000000" w:themeColor="text1"/>
          <w:sz w:val="32"/>
          <w:szCs w:val="32"/>
          <w14:textFill>
            <w14:solidFill>
              <w14:schemeClr w14:val="tx1"/>
            </w14:solidFill>
          </w14:textFill>
        </w:rPr>
        <w:t>面向</w:t>
      </w:r>
      <w:r>
        <w:rPr>
          <w:rFonts w:hint="eastAsia" w:ascii="仿宋" w:hAnsi="仿宋" w:eastAsia="仿宋" w:cs="仿宋"/>
          <w:bCs/>
          <w:color w:val="000000" w:themeColor="text1"/>
          <w:sz w:val="32"/>
          <w:szCs w:val="32"/>
          <w:lang w:eastAsia="zh-CN"/>
          <w14:textFill>
            <w14:solidFill>
              <w14:schemeClr w14:val="tx1"/>
            </w14:solidFill>
          </w14:textFill>
        </w:rPr>
        <w:t>服务人群</w:t>
      </w:r>
      <w:r>
        <w:rPr>
          <w:rFonts w:hint="eastAsia" w:ascii="仿宋" w:hAnsi="仿宋" w:eastAsia="仿宋" w:cs="仿宋"/>
          <w:bCs/>
          <w:color w:val="000000" w:themeColor="text1"/>
          <w:sz w:val="32"/>
          <w:szCs w:val="32"/>
          <w14:textFill>
            <w14:solidFill>
              <w14:schemeClr w14:val="tx1"/>
            </w14:solidFill>
          </w14:textFill>
        </w:rPr>
        <w:t>开展宣讲。开展民法典法治文化作品创作，打造一批公益广告、动漫、微视频等民法典宣传精品。推广使用民法典通俗读物，充分利用全媒体、典型案例宣传民法典，开展民法典知识竞赛。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以党章、准则、条例为重点，深入学习宣传党内法规。突出学习宣传党章，教育广大党员以党章为根本遵循。把学习掌握党内法规作为合格党员的基本要求，列入党组织“三会一课”内容，</w:t>
      </w:r>
      <w:r>
        <w:rPr>
          <w:rFonts w:hint="eastAsia" w:ascii="仿宋" w:hAnsi="仿宋" w:eastAsia="仿宋" w:cs="仿宋"/>
          <w:bCs/>
          <w:color w:val="000000" w:themeColor="text1"/>
          <w:spacing w:val="-6"/>
          <w:sz w:val="32"/>
          <w:szCs w:val="32"/>
          <w14:textFill>
            <w14:solidFill>
              <w14:schemeClr w14:val="tx1"/>
            </w14:solidFill>
          </w14:textFill>
        </w:rPr>
        <w:t>在考核党员、干部时注意了解相关情况，</w:t>
      </w:r>
      <w:r>
        <w:rPr>
          <w:rFonts w:hint="eastAsia" w:ascii="仿宋" w:hAnsi="仿宋" w:eastAsia="仿宋" w:cs="仿宋"/>
          <w:bCs/>
          <w:color w:val="000000" w:themeColor="text1"/>
          <w:sz w:val="32"/>
          <w:szCs w:val="32"/>
          <w:lang w:val="en-US" w:eastAsia="zh-CN"/>
          <w14:textFill>
            <w14:solidFill>
              <w14:schemeClr w14:val="tx1"/>
            </w14:solidFill>
          </w14:textFill>
        </w:rPr>
        <w:t>促进党内法规学习落实常态化、制度化。</w:t>
      </w:r>
    </w:p>
    <w:p>
      <w:pPr>
        <w:pStyle w:val="2"/>
        <w:rPr>
          <w:rFonts w:hint="eastAsia" w:ascii="仿宋" w:hAnsi="仿宋" w:eastAsia="仿宋" w:cs="仿宋"/>
          <w:b/>
          <w:bCs w:val="0"/>
          <w:lang w:val="en-US" w:eastAsia="zh-CN"/>
        </w:rPr>
      </w:pPr>
      <w:r>
        <w:rPr>
          <w:rFonts w:hint="eastAsia" w:ascii="仿宋" w:hAnsi="仿宋" w:eastAsia="仿宋" w:cs="仿宋"/>
          <w:b/>
          <w:bCs w:val="0"/>
          <w:color w:val="000000" w:themeColor="text1"/>
          <w:sz w:val="32"/>
          <w:szCs w:val="32"/>
          <w:lang w:val="en-US" w:eastAsia="zh-CN"/>
          <w14:textFill>
            <w14:solidFill>
              <w14:schemeClr w14:val="tx1"/>
            </w14:solidFill>
          </w14:textFill>
        </w:rPr>
        <w:t>（三）深入学习宣传卫生健康法律法规</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 w:hAnsi="仿宋" w:eastAsia="仿宋" w:cs="仿宋"/>
          <w:bCs/>
          <w:color w:val="000000" w:themeColor="text1"/>
          <w:spacing w:val="-6"/>
          <w:sz w:val="32"/>
          <w:szCs w:val="32"/>
          <w:lang w:val="en-US" w:eastAsia="zh-CN"/>
          <w14:textFill>
            <w14:solidFill>
              <w14:schemeClr w14:val="tx1"/>
            </w14:solidFill>
          </w14:textFill>
        </w:rPr>
      </w:pPr>
      <w:r>
        <w:rPr>
          <w:rFonts w:hint="eastAsia" w:ascii="仿宋" w:hAnsi="仿宋" w:eastAsia="仿宋" w:cs="仿宋"/>
          <w:bCs/>
          <w:color w:val="000000" w:themeColor="text1"/>
          <w:spacing w:val="-6"/>
          <w:sz w:val="32"/>
          <w:szCs w:val="32"/>
          <w:lang w:val="en-US" w:eastAsia="zh-CN"/>
          <w14:textFill>
            <w14:solidFill>
              <w14:schemeClr w14:val="tx1"/>
            </w14:solidFill>
          </w14:textFill>
        </w:rPr>
        <w:t>重点宣传基本医疗卫生与健康促进法，学习其立法宗旨、基本原则和重要制度，深刻认识其对推进卫生健康事业改革和发展的引领和推动作用。</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 w:hAnsi="仿宋" w:eastAsia="仿宋" w:cs="仿宋"/>
          <w:bCs/>
          <w:color w:val="000000" w:themeColor="text1"/>
          <w:spacing w:val="-6"/>
          <w:sz w:val="32"/>
          <w:szCs w:val="32"/>
          <w:lang w:val="en-US" w:eastAsia="zh-CN"/>
          <w14:textFill>
            <w14:solidFill>
              <w14:schemeClr w14:val="tx1"/>
            </w14:solidFill>
          </w14:textFill>
        </w:rPr>
      </w:pPr>
      <w:r>
        <w:rPr>
          <w:rFonts w:hint="eastAsia" w:ascii="仿宋" w:hAnsi="仿宋" w:eastAsia="仿宋" w:cs="仿宋"/>
          <w:bCs/>
          <w:color w:val="000000" w:themeColor="text1"/>
          <w:spacing w:val="-6"/>
          <w:sz w:val="32"/>
          <w:szCs w:val="32"/>
          <w:lang w:val="en-US" w:eastAsia="zh-CN"/>
          <w14:textFill>
            <w14:solidFill>
              <w14:schemeClr w14:val="tx1"/>
            </w14:solidFill>
          </w14:textFill>
        </w:rPr>
        <w:t>重点学习疫情防控与公共卫生安全相关法律法规，加大对传染病防治法、疫苗管理法、生物安全法、老年人权益保障法、突发公共卫生事件应急条例、艾滋病防治条例、病原微生物实验室生物安全管理条例、人类遗传资源管理条例等相关法律法规学习贯彻力度,提高卫生健康系统依法决策、依法办事能力。</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 w:hAnsi="仿宋" w:eastAsia="仿宋" w:cs="仿宋"/>
          <w:bCs/>
          <w:color w:val="000000" w:themeColor="text1"/>
          <w:spacing w:val="-6"/>
          <w:sz w:val="32"/>
          <w:szCs w:val="32"/>
          <w:lang w:val="en-US" w:eastAsia="zh-CN"/>
          <w14:textFill>
            <w14:solidFill>
              <w14:schemeClr w14:val="tx1"/>
            </w14:solidFill>
          </w14:textFill>
        </w:rPr>
      </w:pPr>
      <w:r>
        <w:rPr>
          <w:rFonts w:hint="eastAsia" w:ascii="仿宋" w:hAnsi="仿宋" w:eastAsia="仿宋" w:cs="仿宋"/>
          <w:bCs/>
          <w:color w:val="000000" w:themeColor="text1"/>
          <w:spacing w:val="-6"/>
          <w:sz w:val="32"/>
          <w:szCs w:val="32"/>
          <w:lang w:val="en-US" w:eastAsia="zh-CN"/>
          <w14:textFill>
            <w14:solidFill>
              <w14:schemeClr w14:val="tx1"/>
            </w14:solidFill>
          </w14:textFill>
        </w:rPr>
        <w:t>持续学习宣传医师法、中医药法、职业病防治法、疫苗管理法、人口与计划生育法、医疗纠纷预防和处理条例、安徽省中医药条例等法律法规，以及新制修订卫生健康法律法规，坚持法治宣传教育与法治实践相结合，把法律条文变成引导、保障卫生健康事业发展的基本规则，提升全县卫生健康系统依法治理水平。及时组织学习卫生健康系统新制修订的部门规章、标准规范和重大政策，确保落实到位。</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 w:hAnsi="仿宋" w:eastAsia="仿宋" w:cs="仿宋"/>
          <w:bCs/>
          <w:color w:val="000000" w:themeColor="text1"/>
          <w:spacing w:val="-6"/>
          <w:sz w:val="32"/>
          <w:szCs w:val="32"/>
          <w:lang w:val="en-US" w:eastAsia="zh-CN"/>
          <w14:textFill>
            <w14:solidFill>
              <w14:schemeClr w14:val="tx1"/>
            </w14:solidFill>
          </w14:textFill>
        </w:rPr>
      </w:pPr>
      <w:r>
        <w:rPr>
          <w:rFonts w:hint="eastAsia" w:ascii="仿宋" w:hAnsi="仿宋" w:eastAsia="仿宋" w:cs="仿宋"/>
          <w:bCs/>
          <w:color w:val="000000" w:themeColor="text1"/>
          <w:spacing w:val="-6"/>
          <w:sz w:val="32"/>
          <w:szCs w:val="32"/>
          <w:lang w:val="en-US" w:eastAsia="zh-CN"/>
          <w14:textFill>
            <w14:solidFill>
              <w14:schemeClr w14:val="tx1"/>
            </w14:solidFill>
          </w14:textFill>
        </w:rPr>
        <w:t>全县</w:t>
      </w:r>
      <w:r>
        <w:rPr>
          <w:rFonts w:hint="eastAsia" w:ascii="仿宋" w:hAnsi="仿宋" w:eastAsia="仿宋" w:cs="仿宋"/>
          <w:bCs/>
          <w:color w:val="auto"/>
          <w:spacing w:val="-6"/>
          <w:sz w:val="32"/>
          <w:szCs w:val="32"/>
          <w:lang w:val="en-US" w:eastAsia="zh-CN"/>
        </w:rPr>
        <w:t>卫生健康行政部门工作人员和执法人员</w:t>
      </w:r>
      <w:r>
        <w:rPr>
          <w:rFonts w:hint="eastAsia" w:ascii="仿宋" w:hAnsi="仿宋" w:eastAsia="仿宋" w:cs="仿宋"/>
          <w:bCs/>
          <w:color w:val="000000" w:themeColor="text1"/>
          <w:spacing w:val="-6"/>
          <w:sz w:val="32"/>
          <w:szCs w:val="32"/>
          <w:lang w:val="en-US" w:eastAsia="zh-CN"/>
          <w14:textFill>
            <w14:solidFill>
              <w14:schemeClr w14:val="tx1"/>
            </w14:solidFill>
          </w14:textFill>
        </w:rPr>
        <w:t>要进一步加强行政许可法、行政处罚法、行政强制法、行政复议法、行政诉讼法、政府信息公开条例、信访条例等常用法律法规培训，学习和履行岗位职责密切相关的法律法规，切实提高依法办事能力，有效规避决策风险。大力宣传反不正当竞争法、优化营商环境条例等法律法规，推进市场主体公平竞争，营造激发卫生健康领域市场主体活力的法治环境。持续深入学习最高人民法院、最高人民检察院涉及卫生健康领域的相关司法解释和通知意见等。</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黑体" w:hAnsi="黑体" w:eastAsia="黑体" w:cs="黑体"/>
          <w:b/>
          <w:bCs w:val="0"/>
          <w:snapToGrid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val="0"/>
          <w:snapToGrid w:val="0"/>
          <w:color w:val="000000" w:themeColor="text1"/>
          <w:kern w:val="2"/>
          <w:sz w:val="32"/>
          <w:szCs w:val="32"/>
          <w:lang w:val="en-US" w:eastAsia="zh-CN" w:bidi="ar-SA"/>
          <w14:textFill>
            <w14:solidFill>
              <w14:schemeClr w14:val="tx1"/>
            </w14:solidFill>
          </w14:textFill>
        </w:rPr>
        <w:t>三、深化公民法治素养提升行动</w:t>
      </w:r>
    </w:p>
    <w:p>
      <w:pPr>
        <w:pStyle w:val="2"/>
        <w:rPr>
          <w:rFonts w:hint="eastAsia" w:ascii="仿宋" w:hAnsi="仿宋" w:eastAsia="仿宋" w:cs="仿宋"/>
          <w:b/>
          <w:bCs/>
          <w:lang w:eastAsia="zh-CN"/>
        </w:rPr>
      </w:pPr>
      <w:r>
        <w:rPr>
          <w:rFonts w:hint="eastAsia" w:ascii="仿宋" w:hAnsi="仿宋" w:eastAsia="仿宋" w:cs="仿宋"/>
          <w:b/>
          <w:bCs/>
          <w:lang w:eastAsia="zh-CN"/>
        </w:rPr>
        <w:t>（一）紧抓领导干部“关键少数”法治教育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全</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卫生健康系统党政主要负责人作为推进法治建设第一责任人，应当贯彻落实党中央国务院、省委省政府、市委市政府、</w:t>
      </w:r>
      <w:r>
        <w:rPr>
          <w:rFonts w:hint="eastAsia" w:ascii="仿宋" w:hAnsi="仿宋" w:eastAsia="仿宋" w:cs="仿宋"/>
          <w:color w:val="auto"/>
          <w:sz w:val="32"/>
          <w:szCs w:val="32"/>
          <w:lang w:val="en-US" w:eastAsia="zh-CN"/>
        </w:rPr>
        <w:t>县委县政府</w:t>
      </w:r>
      <w:r>
        <w:rPr>
          <w:rFonts w:hint="eastAsia" w:ascii="仿宋" w:hAnsi="仿宋" w:eastAsia="仿宋" w:cs="仿宋"/>
          <w:sz w:val="32"/>
          <w:szCs w:val="32"/>
          <w:lang w:eastAsia="zh-CN"/>
        </w:rPr>
        <w:t>关于法治建设的重大决策部署，把各项工作纳入法治化轨道。坚持领导干部带头尊法学法，把宪法法律和党内法规、新制修订的相关医疗卫生健康法律法规列入各</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党委（党组）中心组年度学习计划，组织开展集体学法。</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卫生健康系统每年主任办公会前学法不少于</w:t>
      </w:r>
      <w:r>
        <w:rPr>
          <w:rFonts w:hint="eastAsia" w:ascii="仿宋" w:hAnsi="仿宋" w:eastAsia="仿宋" w:cs="仿宋"/>
          <w:color w:val="auto"/>
          <w:sz w:val="32"/>
          <w:szCs w:val="32"/>
          <w:lang w:val="en-US" w:eastAsia="zh-CN"/>
        </w:rPr>
        <w:t>2次，党委（</w:t>
      </w:r>
      <w:r>
        <w:rPr>
          <w:rFonts w:hint="eastAsia" w:ascii="仿宋" w:hAnsi="仿宋" w:eastAsia="仿宋" w:cs="仿宋"/>
          <w:sz w:val="32"/>
          <w:szCs w:val="32"/>
          <w:lang w:val="en-US" w:eastAsia="zh-CN"/>
        </w:rPr>
        <w:t>党组）理论中心组每年专题学法不少于2次。健全完善卫生健康系统党委（党组）中心组学法制度，党委（党组）书记带头讲法治课，作学法表率。</w:t>
      </w:r>
      <w:r>
        <w:rPr>
          <w:rFonts w:hint="eastAsia" w:ascii="仿宋" w:hAnsi="仿宋" w:eastAsia="仿宋" w:cs="仿宋"/>
          <w:color w:val="auto"/>
          <w:sz w:val="32"/>
          <w:szCs w:val="32"/>
          <w:lang w:val="en-US" w:eastAsia="zh-CN"/>
        </w:rPr>
        <w:t>建立领导班子定期学法制度，每年至少举办2次法治专题讲座。</w:t>
      </w:r>
      <w:r>
        <w:rPr>
          <w:rFonts w:hint="eastAsia" w:ascii="仿宋" w:hAnsi="仿宋" w:eastAsia="仿宋" w:cs="仿宋"/>
          <w:sz w:val="32"/>
          <w:szCs w:val="32"/>
          <w:lang w:val="en-US" w:eastAsia="zh-CN"/>
        </w:rPr>
        <w:t>重大决策前，应当听取合法性审查机构的意见，对涉及法律法规的议题应当坚持决策前专题学法。建立领导干部应知应会法律法规清单制度，明确卫生健康系统领导干部履职应当学习掌握的法律法规和党内法规，完善配套制度，促进知行合一。全面落实行政机关负责人出庭应诉制度，对涉及重大公共利益、社会高度关注或者可能引发群体性事件等案件以及人民法院书面建议行政机关负责人出庭的案件，被诉卫生健康行政部门负责人应当出庭。强化日常管理，把领导干部尊法学法守法用法情况作为干部人事管理的重要内容，把专题述法作为领导干部年度考核述职的重要内容。</w:t>
      </w:r>
    </w:p>
    <w:p>
      <w:pPr>
        <w:pStyle w:val="2"/>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（二）加强卫健系统工作人员法治教育</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善县卫生健康部门机关工作人员学法用法制度,结合岗位职责需要，推动学法经常化，增强依法履职能力。把法治教育纳入干部教育培训总体规划，纳入国家工作人员入职培训、晋职培训的必训内容，并确保培训质量。根据实际需要组织开展专题法治培训，加大各类在职培训中法治培训的比重，特别是要重点培训新制修订的卫生健康法律法规，以及与业务开展相关的行政法律法规等。县卫生健康委每年至少组织2次法治专题培训，全县卫生健康部门机关工作人员每人每年集中学习或自学法律时间不低于15学时，卫生健康法治机构工作人员每年集中学习或自学法律时间不少于30学时。定期组织开展国家工作人员法律知识考试，推动以考促学、以考促用。县</w:t>
      </w:r>
      <w:r>
        <w:rPr>
          <w:rFonts w:hint="eastAsia" w:ascii="仿宋" w:hAnsi="仿宋" w:eastAsia="仿宋" w:cs="仿宋"/>
          <w:color w:val="auto"/>
          <w:sz w:val="32"/>
          <w:szCs w:val="32"/>
          <w:lang w:val="en-US" w:eastAsia="zh-CN"/>
        </w:rPr>
        <w:t>卫生健康行政部门</w:t>
      </w:r>
      <w:r>
        <w:rPr>
          <w:rFonts w:hint="eastAsia" w:ascii="仿宋" w:hAnsi="仿宋" w:eastAsia="仿宋" w:cs="仿宋"/>
          <w:sz w:val="32"/>
          <w:szCs w:val="32"/>
          <w:lang w:val="en-US" w:eastAsia="zh-CN"/>
        </w:rPr>
        <w:t>从事行政执法的工作人员，必须通过执法资格考试，领取行政执法证。落实中组部等部门印发的《关于完善国家工作人员学法用法制度的意见》要求，把学法用法情况列入公务员年度考核内容，把法治素养和依法履职情况作为考核评估干部的重要内容。推动全县卫生健康系统国家工作人员旁听庭审制度活动常态化制度化，采用网上观看庭审视频或到法院现场旁听等形式，每年至少旁听庭审1次。</w:t>
      </w:r>
    </w:p>
    <w:p>
      <w:pPr>
        <w:pStyle w:val="2"/>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（三）强化医疗卫生系统工作人员法治教育</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辖区内医疗卫生机构主要负责人要切实履行推进法治建设第一责任人的职责，将法治建设工作纳入本单位总体发展规划和年度工作计划，把法治建设要求融入管理运行的全过程。各医疗卫生机构要加强单位人员法治教育，将卫生健康法律法规纳入新入职人员培训、继续教育、廉洁行医教育以及日常业务培训中，切实提高单位人员依法执业、依法办事的意识和能力。要适应医疗卫生人员不同岗位特点，特别是单位窗口人员、临床诊疗人员、行政管理人员等，有针对性地开展普法。加强从事科研工作人员的医学伦理、科研合作、数据安全和信息保护等法律法规学习，提高风险意识。加强对社会办医疗机构相关人员的法治教育，促进依法诚信经营管理和依法执业。全县医疗卫生人员每年法治学习时间不少于10学时，参加集中法治培训不少于1次。加强对单位人员学法用法的考核，将考核结果作为年度考核和竞聘上岗的重要依据。</w:t>
      </w:r>
    </w:p>
    <w:p>
      <w:pPr>
        <w:pStyle w:val="2"/>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（四）加强对服务群众的法治教育引导</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利用国家宪法日、全民国家安全教育日、各种卫生日、相关疾病防治日(周)、国家网络安全宣传周、敬老月等重要时间节点和义诊等活动，组织开展系统内和面向社会的法治宣传教育。加强对与卫生健康领域相关市场主体的法治宣传教育，提高依法经营的能力和水平。医疗卫生人员在提供医疗服务、疾病防控过程中，如涉及相关法律问题的，应加强对服务对象的相关法律提醒。围绕卫生健康系统热点难点问题，组织执法人员和专家学者进行权威法律解读，广泛开展宣传讲解，正确引导舆论。针对不同职业人群、老年人、妇女等，加大职业病防治法、老年人权益保障法等与社会公众利益密切相关的法律法规宣传，提高其依法维护权益的意识和能力。</w:t>
      </w:r>
    </w:p>
    <w:p>
      <w:pPr>
        <w:pStyle w:val="2"/>
        <w:numPr>
          <w:ilvl w:val="0"/>
          <w:numId w:val="0"/>
        </w:numPr>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四、加强</w:t>
      </w:r>
      <w:r>
        <w:rPr>
          <w:rFonts w:hint="eastAsia" w:ascii="黑体" w:hAnsi="黑体" w:eastAsia="黑体" w:cs="黑体"/>
          <w:b/>
          <w:bCs/>
          <w:color w:val="000000" w:themeColor="text1"/>
          <w:sz w:val="32"/>
          <w:szCs w:val="32"/>
          <w14:textFill>
            <w14:solidFill>
              <w14:schemeClr w14:val="tx1"/>
            </w14:solidFill>
          </w14:textFill>
        </w:rPr>
        <w:t>社会主义法治文化建设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结合</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萧县</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文化历史特点，激发法治文化创新活力，</w:t>
      </w:r>
      <w:r>
        <w:rPr>
          <w:rFonts w:hint="eastAsia" w:ascii="仿宋" w:hAnsi="仿宋" w:eastAsia="仿宋" w:cs="仿宋"/>
          <w:color w:val="000000" w:themeColor="text1"/>
          <w:sz w:val="32"/>
          <w:szCs w:val="32"/>
          <w14:textFill>
            <w14:solidFill>
              <w14:schemeClr w14:val="tx1"/>
            </w14:solidFill>
          </w14:textFill>
        </w:rPr>
        <w:t>组织创作一批具有时代特征、富有地域特色、深受群众欢迎的法治文化</w:t>
      </w:r>
      <w:r>
        <w:rPr>
          <w:rFonts w:hint="eastAsia" w:ascii="仿宋" w:hAnsi="仿宋" w:eastAsia="仿宋" w:cs="仿宋"/>
          <w:color w:val="000000" w:themeColor="text1"/>
          <w:sz w:val="32"/>
          <w:szCs w:val="32"/>
          <w:lang w:eastAsia="zh-CN"/>
          <w14:textFill>
            <w14:solidFill>
              <w14:schemeClr w14:val="tx1"/>
            </w14:solidFill>
          </w14:textFill>
        </w:rPr>
        <w:t>作</w:t>
      </w:r>
      <w:r>
        <w:rPr>
          <w:rFonts w:hint="eastAsia" w:ascii="仿宋" w:hAnsi="仿宋" w:eastAsia="仿宋" w:cs="仿宋"/>
          <w:color w:val="000000" w:themeColor="text1"/>
          <w:sz w:val="32"/>
          <w:szCs w:val="32"/>
          <w14:textFill>
            <w14:solidFill>
              <w14:schemeClr w14:val="tx1"/>
            </w14:solidFill>
          </w14:textFill>
        </w:rPr>
        <w:t>品。</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组织开展法治动漫</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微视频</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漫画</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征集展播活动。</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加大</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法治文化惠民力度，在重大节庆日、法律法规实施日等时间节点，广泛开展</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丰富多彩的</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群众性法治文化活动。充分利用“江淮普法行”、文化科技卫生“三下乡”等活动，组织青年普法志愿者开展法治文化基层行活动。</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满足人民群众对卫生健康法治文化需求，运用多媒体、多层次的宣传方式，报道本系统在推进依法行政方面涌现的法治人物、法治事件，发挥典型示范引领作用，不断增强先进典型的传播力、影响力、生命力。</w:t>
      </w:r>
    </w:p>
    <w:p>
      <w:pPr>
        <w:pStyle w:val="2"/>
        <w:numPr>
          <w:ilvl w:val="0"/>
          <w:numId w:val="0"/>
        </w:num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五、积极推进重点领域依法治理</w:t>
      </w:r>
    </w:p>
    <w:p>
      <w:pPr>
        <w:pStyle w:val="2"/>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(一)开展卫生健康领域依法治理</w:t>
      </w:r>
    </w:p>
    <w:p>
      <w:pPr>
        <w:pStyle w:val="2"/>
        <w:numPr>
          <w:ilvl w:val="0"/>
          <w:numId w:val="0"/>
        </w:numPr>
        <w:ind w:firstLine="640" w:firstLineChars="200"/>
        <w:rPr>
          <w:rFonts w:hint="eastAsia" w:ascii="仿宋" w:hAnsi="仿宋" w:eastAsia="仿宋" w:cs="仿宋"/>
          <w:i w:val="0"/>
          <w:iCs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32"/>
          <w:szCs w:val="32"/>
          <w:shd w:val="clear" w:color="auto" w:fill="FFFFFF"/>
          <w:lang w:val="en-US" w:eastAsia="zh-CN" w:bidi="ar-SA"/>
          <w14:textFill>
            <w14:solidFill>
              <w14:schemeClr w14:val="tx1"/>
            </w14:solidFill>
          </w14:textFill>
        </w:rPr>
        <w:t>推进制度规范健全、依法决策履职到位、合法合规审查有效、防范化解风险及时和法律监督有力的法治化治理方式，推动形成办事依法、遇事找法、解决问题用法、解决矛盾靠法的治理环境。县</w:t>
      </w:r>
      <w:r>
        <w:rPr>
          <w:rFonts w:hint="eastAsia" w:ascii="仿宋" w:hAnsi="仿宋" w:eastAsia="仿宋" w:cs="仿宋"/>
          <w:i w:val="0"/>
          <w:iCs w:val="0"/>
          <w:caps w:val="0"/>
          <w:color w:val="auto"/>
          <w:spacing w:val="0"/>
          <w:kern w:val="2"/>
          <w:sz w:val="32"/>
          <w:szCs w:val="32"/>
          <w:shd w:val="clear" w:color="auto" w:fill="FFFFFF"/>
          <w:lang w:val="en-US" w:eastAsia="zh-CN" w:bidi="ar-SA"/>
        </w:rPr>
        <w:t>卫生健康部门</w:t>
      </w:r>
      <w:r>
        <w:rPr>
          <w:rFonts w:hint="eastAsia" w:ascii="仿宋" w:hAnsi="仿宋" w:eastAsia="仿宋" w:cs="仿宋"/>
          <w:i w:val="0"/>
          <w:iCs w:val="0"/>
          <w:caps w:val="0"/>
          <w:color w:val="000000" w:themeColor="text1"/>
          <w:spacing w:val="0"/>
          <w:kern w:val="2"/>
          <w:sz w:val="32"/>
          <w:szCs w:val="32"/>
          <w:shd w:val="clear" w:color="auto" w:fill="FFFFFF"/>
          <w:lang w:val="en-US" w:eastAsia="zh-CN" w:bidi="ar-SA"/>
          <w14:textFill>
            <w14:solidFill>
              <w14:schemeClr w14:val="tx1"/>
            </w14:solidFill>
          </w14:textFill>
        </w:rPr>
        <w:t>要结合工作实际，对事关群众切身利益的重点问题和社会普遍关注的热点问题，及时组织开展专项依法治理。鼓励各单位结合当地实际，依法依规开展多种形式的示范创建活动，强化示范引领作用。</w:t>
      </w:r>
    </w:p>
    <w:p>
      <w:pPr>
        <w:pStyle w:val="2"/>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(二)推进辖区内医疗卫生事业单位健全依法治理</w:t>
      </w:r>
    </w:p>
    <w:p>
      <w:pPr>
        <w:pStyle w:val="2"/>
        <w:numPr>
          <w:ilvl w:val="0"/>
          <w:numId w:val="0"/>
        </w:numPr>
        <w:ind w:firstLine="640" w:firstLineChars="200"/>
        <w:rPr>
          <w:rFonts w:hint="eastAsia" w:ascii="仿宋" w:hAnsi="仿宋" w:eastAsia="仿宋" w:cs="仿宋"/>
          <w:i w:val="0"/>
          <w:iCs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32"/>
          <w:szCs w:val="32"/>
          <w:shd w:val="clear" w:color="auto" w:fill="FFFFFF"/>
          <w:lang w:val="en-US" w:eastAsia="zh-CN" w:bidi="ar-SA"/>
          <w14:textFill>
            <w14:solidFill>
              <w14:schemeClr w14:val="tx1"/>
            </w14:solidFill>
          </w14:textFill>
        </w:rPr>
        <w:t>推动我县医疗卫生事业单位法治建设，将医疗卫生事业单位法治建设与深化医药卫生体制改革、推进国家治理体系和治理能力现代化等相结合，把法治建设要求融入医疗卫生事业单位管理运行的全过程，不断提高医疗卫生事业单位依法决策、依法管理、依法运行的能力和水平，增强风险防范化解能力。完善医疗卫生事业单位法治建设，建立健全依法决策机制，完善并落实合法性审查制度。在日常培训、新上岗培训、住院医师规范化培训中融入法治教育，强化医师法、医疗纠纷预防和处理条例等卫生健康法律法规的培训宣贯。组织开展依法管理(依法执业)自查，切实提升依法执业、依法办事的意识和能力，完善运用法治方式解决问题和纠纷的平台和机制。建立案件评析制度。对投诉、纠纷、诉讼案件和行政处罚案件开展评析，对发现的法律风险点，督促整改、完善制度和加强宣传教育。鼓励各医疗卫生事业单位结合实际推进法律顾问制度建设。完善知情权保障制度，将病情告知的合法性、合理性审查纳入医疗服务质量考核标准。完善卫生健康领域矛盾纠纷预防调处机制，引导群众依法协商解决矛盾纠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六、着力提高普法的针对性、实效性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（一）在立法、执法过程中开展实时普法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卫生行政部门</w:t>
      </w:r>
      <w:r>
        <w:rPr>
          <w:rFonts w:hint="eastAsia" w:ascii="仿宋" w:hAnsi="仿宋" w:eastAsia="仿宋" w:cs="仿宋"/>
          <w:color w:val="000000" w:themeColor="text1"/>
          <w:sz w:val="32"/>
          <w:szCs w:val="32"/>
          <w14:textFill>
            <w14:solidFill>
              <w14:schemeClr w14:val="tx1"/>
            </w14:solidFill>
          </w14:textFill>
        </w:rPr>
        <w:t>在地方性法规规章制定、修改过程中，通过公开征求意见、听证会、论证会、基层立法联系点等形式扩大社会参与，并及时向社会通报征求意见的有关情况。</w:t>
      </w:r>
      <w:r>
        <w:rPr>
          <w:rFonts w:hint="eastAsia" w:ascii="仿宋" w:hAnsi="仿宋" w:eastAsia="仿宋" w:cs="仿宋"/>
          <w:color w:val="000000" w:themeColor="text1"/>
          <w:sz w:val="32"/>
          <w:szCs w:val="32"/>
          <w:lang w:eastAsia="zh-CN"/>
          <w14:textFill>
            <w14:solidFill>
              <w14:schemeClr w14:val="tx1"/>
            </w14:solidFill>
          </w14:textFill>
        </w:rPr>
        <w:t>及时</w:t>
      </w:r>
      <w:r>
        <w:rPr>
          <w:rFonts w:hint="eastAsia" w:ascii="仿宋" w:hAnsi="仿宋" w:eastAsia="仿宋" w:cs="仿宋"/>
          <w:color w:val="000000" w:themeColor="text1"/>
          <w:sz w:val="32"/>
          <w:szCs w:val="32"/>
          <w14:textFill>
            <w14:solidFill>
              <w14:schemeClr w14:val="tx1"/>
            </w14:solidFill>
          </w14:textFill>
        </w:rPr>
        <w:t>解读法律问题，回应社会关切。地方性法规规章正式公布时，一般应当同步进行解读，以通俗易懂的语言将公民、法人和其他组织的权利义务、权利救济方式等主要内容，通过</w:t>
      </w:r>
      <w:r>
        <w:rPr>
          <w:rFonts w:hint="eastAsia" w:ascii="仿宋" w:hAnsi="仿宋" w:eastAsia="仿宋" w:cs="仿宋"/>
          <w:color w:val="000000" w:themeColor="text1"/>
          <w:sz w:val="32"/>
          <w:szCs w:val="32"/>
          <w:lang w:val="en-US" w:eastAsia="zh-CN"/>
          <w14:textFill>
            <w14:solidFill>
              <w14:schemeClr w14:val="tx1"/>
            </w14:solidFill>
          </w14:textFill>
        </w:rPr>
        <w:t>机关门户</w:t>
      </w:r>
      <w:r>
        <w:rPr>
          <w:rFonts w:hint="eastAsia" w:ascii="仿宋" w:hAnsi="仿宋" w:eastAsia="仿宋" w:cs="仿宋"/>
          <w:color w:val="000000" w:themeColor="text1"/>
          <w:sz w:val="32"/>
          <w:szCs w:val="32"/>
          <w14:textFill>
            <w14:solidFill>
              <w14:schemeClr w14:val="tx1"/>
            </w14:solidFill>
          </w14:textFill>
        </w:rPr>
        <w:t>网站、新闻媒体公布或在公共场所陈列，方便社会公众理解掌握。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执法</w:t>
      </w:r>
      <w:r>
        <w:rPr>
          <w:rFonts w:hint="eastAsia" w:ascii="仿宋" w:hAnsi="仿宋" w:eastAsia="仿宋" w:cs="仿宋"/>
          <w:color w:val="000000" w:themeColor="text1"/>
          <w:sz w:val="32"/>
          <w:szCs w:val="32"/>
          <w:lang w:eastAsia="zh-CN"/>
          <w14:textFill>
            <w14:solidFill>
              <w14:schemeClr w14:val="tx1"/>
            </w14:solidFill>
          </w14:textFill>
        </w:rPr>
        <w:t>人员</w:t>
      </w:r>
      <w:r>
        <w:rPr>
          <w:rFonts w:hint="eastAsia" w:ascii="仿宋" w:hAnsi="仿宋" w:eastAsia="仿宋" w:cs="仿宋"/>
          <w:color w:val="000000" w:themeColor="text1"/>
          <w:sz w:val="32"/>
          <w:szCs w:val="32"/>
          <w14:textFill>
            <w14:solidFill>
              <w14:schemeClr w14:val="tx1"/>
            </w14:solidFill>
          </w14:textFill>
        </w:rPr>
        <w:t>在处理群众关心的热点难点问题过程中，把向行政相对人、案件当事人和社会公众的普法融入执法程序中，实现执法办案的全员普法、全程普法。在行政复议工作中实时普法，引导教育申请人依法维权、表达诉求。</w:t>
      </w:r>
    </w:p>
    <w:p>
      <w:pPr>
        <w:pStyle w:val="2"/>
        <w:numPr>
          <w:ilvl w:val="0"/>
          <w:numId w:val="0"/>
        </w:numPr>
        <w:ind w:firstLine="643" w:firstLineChars="200"/>
        <w:rPr>
          <w:rFonts w:hint="eastAsia" w:ascii="仿宋" w:hAnsi="仿宋" w:eastAsia="仿宋" w:cs="仿宋"/>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(二)充分依托法律专业人员开展高效普法</w:t>
      </w:r>
    </w:p>
    <w:p>
      <w:pPr>
        <w:pStyle w:val="2"/>
        <w:numPr>
          <w:ilvl w:val="0"/>
          <w:numId w:val="0"/>
        </w:numPr>
        <w:ind w:firstLine="640" w:firstLineChars="200"/>
        <w:rPr>
          <w:rFonts w:hint="eastAsia" w:ascii="仿宋" w:hAnsi="仿宋" w:eastAsia="仿宋" w:cs="仿宋"/>
          <w:i w:val="0"/>
          <w:iCs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i w:val="0"/>
          <w:iCs w:val="0"/>
          <w:caps w:val="0"/>
          <w:color w:val="auto"/>
          <w:spacing w:val="0"/>
          <w:kern w:val="2"/>
          <w:sz w:val="32"/>
          <w:szCs w:val="32"/>
          <w:shd w:val="clear" w:color="auto" w:fill="FFFFFF"/>
          <w:lang w:val="en-US" w:eastAsia="zh-CN" w:bidi="ar-SA"/>
        </w:rPr>
        <w:t>各单位</w:t>
      </w:r>
      <w:r>
        <w:rPr>
          <w:rFonts w:hint="eastAsia" w:ascii="仿宋" w:hAnsi="仿宋" w:eastAsia="仿宋" w:cs="仿宋"/>
          <w:i w:val="0"/>
          <w:iCs w:val="0"/>
          <w:caps w:val="0"/>
          <w:color w:val="000000" w:themeColor="text1"/>
          <w:spacing w:val="0"/>
          <w:kern w:val="2"/>
          <w:sz w:val="32"/>
          <w:szCs w:val="32"/>
          <w:shd w:val="clear" w:color="auto" w:fill="FFFFFF"/>
          <w:lang w:val="en-US" w:eastAsia="zh-CN" w:bidi="ar-SA"/>
          <w14:textFill>
            <w14:solidFill>
              <w14:schemeClr w14:val="tx1"/>
            </w14:solidFill>
          </w14:textFill>
        </w:rPr>
        <w:t>要加强普法讲师团和普法志愿队建设，不断壮大普法力量，鼓励结合各地实际编写普法材料。针对辖区内医疗卫生机构在工作中遇到的和在卫生健康监督执法中发现的常见法律问题，要及时组织有针对性的法律法规培训，加强释法析理。</w:t>
      </w:r>
    </w:p>
    <w:p>
      <w:pPr>
        <w:pStyle w:val="2"/>
        <w:numPr>
          <w:ilvl w:val="0"/>
          <w:numId w:val="0"/>
        </w:numPr>
        <w:ind w:firstLine="640" w:firstLineChars="200"/>
        <w:rPr>
          <w:rFonts w:hint="eastAsia" w:ascii="仿宋" w:hAnsi="仿宋" w:eastAsia="仿宋" w:cs="仿宋"/>
          <w:i w:val="0"/>
          <w:iCs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32"/>
          <w:szCs w:val="32"/>
          <w:shd w:val="clear" w:color="auto" w:fill="FFFFFF"/>
          <w:lang w:val="en-US" w:eastAsia="zh-CN" w:bidi="ar-SA"/>
          <w14:textFill>
            <w14:solidFill>
              <w14:schemeClr w14:val="tx1"/>
            </w14:solidFill>
          </w14:textFill>
        </w:rPr>
        <w:t>医疗卫生机构要充分发挥法律顾问的作用，对新出台法律法规及时开展教育培训，针对单位内部发生案件及纠纷、依法执业自查发现问题、法制审核中发现问题开展有针对性普法，举一反三，以身边事教育身边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（三）运用新技术新媒体开展精准普法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创新普法内容，鼓励公众创作个性化普法产品，加大音视频普法内容供给，注重短视频在普法中的运用。</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完善新媒体普法集群和矩阵建设，</w:t>
      </w:r>
      <w:r>
        <w:rPr>
          <w:rFonts w:hint="eastAsia" w:ascii="仿宋" w:hAnsi="仿宋" w:eastAsia="仿宋" w:cs="仿宋"/>
          <w:color w:val="000000" w:themeColor="text1"/>
          <w:sz w:val="32"/>
          <w:szCs w:val="32"/>
          <w14:textFill>
            <w14:solidFill>
              <w14:schemeClr w14:val="tx1"/>
            </w14:solidFill>
          </w14:textFill>
        </w:rPr>
        <w:t>发挥</w:t>
      </w:r>
      <w:r>
        <w:rPr>
          <w:rFonts w:hint="eastAsia" w:ascii="仿宋" w:hAnsi="仿宋" w:eastAsia="仿宋" w:cs="仿宋"/>
          <w:color w:val="000000" w:themeColor="text1"/>
          <w:sz w:val="32"/>
          <w:szCs w:val="32"/>
          <w:lang w:val="en-US" w:eastAsia="zh-CN"/>
          <w14:textFill>
            <w14:solidFill>
              <w14:schemeClr w14:val="tx1"/>
            </w14:solidFill>
          </w14:textFill>
        </w:rPr>
        <w:t>门户</w:t>
      </w:r>
      <w:r>
        <w:rPr>
          <w:rFonts w:hint="eastAsia" w:ascii="仿宋" w:hAnsi="仿宋" w:eastAsia="仿宋" w:cs="仿宋"/>
          <w:color w:val="000000" w:themeColor="text1"/>
          <w:sz w:val="32"/>
          <w:szCs w:val="32"/>
          <w14:textFill>
            <w14:solidFill>
              <w14:schemeClr w14:val="tx1"/>
            </w14:solidFill>
          </w14:textFill>
        </w:rPr>
        <w:t>网站等平台优势，形成多级互动传播。创新普法方法手段，促进单向式传播向互动式、服务式、场景式传播转变。</w:t>
      </w:r>
      <w:r>
        <w:rPr>
          <w:rFonts w:hint="eastAsia" w:ascii="仿宋" w:hAnsi="仿宋" w:eastAsia="仿宋" w:cs="仿宋"/>
          <w:color w:val="000000" w:themeColor="text1"/>
          <w:sz w:val="32"/>
          <w:szCs w:val="32"/>
          <w:lang w:val="en-US" w:eastAsia="zh-CN"/>
          <w14:textFill>
            <w14:solidFill>
              <w14:schemeClr w14:val="tx1"/>
            </w14:solidFill>
          </w14:textFill>
        </w:rPr>
        <w:t>推动</w:t>
      </w:r>
      <w:r>
        <w:rPr>
          <w:rFonts w:hint="eastAsia" w:ascii="仿宋" w:hAnsi="仿宋" w:eastAsia="仿宋" w:cs="仿宋"/>
          <w:color w:val="000000" w:themeColor="text1"/>
          <w:sz w:val="32"/>
          <w:szCs w:val="32"/>
          <w14:textFill>
            <w14:solidFill>
              <w14:schemeClr w14:val="tx1"/>
            </w14:solidFill>
          </w14:textFill>
        </w:rPr>
        <w:t>融“报、网、端、微、屏”于一体的全媒体法治传播体系</w:t>
      </w:r>
      <w:r>
        <w:rPr>
          <w:rFonts w:hint="eastAsia" w:ascii="仿宋" w:hAnsi="仿宋" w:eastAsia="仿宋" w:cs="仿宋"/>
          <w:color w:val="000000" w:themeColor="text1"/>
          <w:sz w:val="32"/>
          <w:szCs w:val="32"/>
          <w:lang w:val="en-US" w:eastAsia="zh-CN"/>
          <w14:textFill>
            <w14:solidFill>
              <w14:schemeClr w14:val="tx1"/>
            </w14:solidFill>
          </w14:textFill>
        </w:rPr>
        <w:t>建设</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七、加强组织实施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一）加强组织领导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各单位</w:t>
      </w:r>
      <w:r>
        <w:rPr>
          <w:rFonts w:hint="eastAsia" w:ascii="仿宋" w:hAnsi="仿宋" w:eastAsia="仿宋" w:cs="仿宋"/>
          <w:color w:val="000000" w:themeColor="text1"/>
          <w:sz w:val="32"/>
          <w:szCs w:val="32"/>
          <w14:textFill>
            <w14:solidFill>
              <w14:schemeClr w14:val="tx1"/>
            </w14:solidFill>
          </w14:textFill>
        </w:rPr>
        <w:t>要把推进全民普法和守法摆上重要工作日程，认真组织实施。要</w:t>
      </w:r>
      <w:r>
        <w:rPr>
          <w:rFonts w:hint="eastAsia" w:ascii="仿宋" w:hAnsi="仿宋" w:eastAsia="仿宋" w:cs="仿宋"/>
          <w:color w:val="000000" w:themeColor="text1"/>
          <w:sz w:val="32"/>
          <w:szCs w:val="32"/>
          <w:lang w:eastAsia="zh-CN"/>
          <w14:textFill>
            <w14:solidFill>
              <w14:schemeClr w14:val="tx1"/>
            </w14:solidFill>
          </w14:textFill>
        </w:rPr>
        <w:t>严格按照推进法治建设第一责任人职责的要求，</w:t>
      </w:r>
      <w:r>
        <w:rPr>
          <w:rFonts w:hint="eastAsia" w:ascii="仿宋" w:hAnsi="仿宋" w:eastAsia="仿宋" w:cs="仿宋"/>
          <w:color w:val="000000" w:themeColor="text1"/>
          <w:sz w:val="32"/>
          <w:szCs w:val="32"/>
          <w14:textFill>
            <w14:solidFill>
              <w14:schemeClr w14:val="tx1"/>
            </w14:solidFill>
          </w14:textFill>
        </w:rPr>
        <w:t>组织推动、督促指导各项工作落到实处。把普法工作纳入考核评价内容，定期听取汇报，研究解决普法工作中的难题。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二）全面落实普法责任制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强化“谁执法谁普法”普法责任制</w:t>
      </w:r>
      <w:r>
        <w:rPr>
          <w:rFonts w:hint="eastAsia" w:ascii="仿宋" w:hAnsi="仿宋" w:eastAsia="仿宋" w:cs="仿宋"/>
          <w:color w:val="000000" w:themeColor="text1"/>
          <w:sz w:val="32"/>
          <w:szCs w:val="32"/>
          <w:lang w:val="en-US" w:eastAsia="zh-CN"/>
          <w14:textFill>
            <w14:solidFill>
              <w14:schemeClr w14:val="tx1"/>
            </w14:solidFill>
          </w14:textFill>
        </w:rPr>
        <w:t>落实</w:t>
      </w:r>
      <w:r>
        <w:rPr>
          <w:rFonts w:hint="eastAsia" w:ascii="仿宋" w:hAnsi="仿宋" w:eastAsia="仿宋" w:cs="仿宋"/>
          <w:color w:val="000000" w:themeColor="text1"/>
          <w:sz w:val="32"/>
          <w:szCs w:val="32"/>
          <w14:textFill>
            <w14:solidFill>
              <w14:schemeClr w14:val="tx1"/>
            </w14:solidFill>
          </w14:textFill>
        </w:rPr>
        <w:t>，完善普法责任清单制度，细化普法内容、措施标准和责任。</w:t>
      </w:r>
      <w:r>
        <w:rPr>
          <w:rFonts w:hint="eastAsia" w:ascii="仿宋" w:hAnsi="仿宋" w:eastAsia="仿宋" w:cs="仿宋"/>
          <w:color w:val="000000" w:themeColor="text1"/>
          <w:sz w:val="32"/>
          <w:szCs w:val="32"/>
          <w:lang w:eastAsia="zh-CN"/>
          <w14:textFill>
            <w14:solidFill>
              <w14:schemeClr w14:val="tx1"/>
            </w14:solidFill>
          </w14:textFill>
        </w:rPr>
        <w:t>落实</w:t>
      </w:r>
      <w:r>
        <w:rPr>
          <w:rFonts w:hint="eastAsia" w:ascii="仿宋" w:hAnsi="仿宋" w:eastAsia="仿宋" w:cs="仿宋"/>
          <w:color w:val="000000" w:themeColor="text1"/>
          <w:sz w:val="32"/>
          <w:szCs w:val="32"/>
          <w14:textFill>
            <w14:solidFill>
              <w14:schemeClr w14:val="tx1"/>
            </w14:solidFill>
          </w14:textFill>
        </w:rPr>
        <w:t>“谁执法谁普法”普法责任制，促进各医疗卫生单位加强本单位人员学法用法，加强对服务对象普法力度,落实普法责任。要结合本地区工作实际，分析不同对象的法律需求,区别对待，分类指导，不断增强法治宣传教育的针对性。认真总结推广本地区卫生健康系统开展法治宣传教育的好经验、好做法，充分发挥先进典型的示范和带动作用，推进法治宣传教育不断深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）加强评估检查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对普法工作开展情况、工作成效以及公民法治素养提升效果开展综合评估。</w:t>
      </w:r>
      <w:r>
        <w:rPr>
          <w:rFonts w:hint="eastAsia" w:ascii="仿宋" w:hAnsi="仿宋" w:eastAsia="仿宋" w:cs="仿宋"/>
          <w:color w:val="000000" w:themeColor="text1"/>
          <w:sz w:val="32"/>
          <w:szCs w:val="32"/>
          <w:lang w:val="en-US" w:eastAsia="zh-CN"/>
          <w14:textFill>
            <w14:solidFill>
              <w14:schemeClr w14:val="tx1"/>
            </w14:solidFill>
          </w14:textFill>
        </w:rPr>
        <w:t>加强规划实施中的动态监测、成果成效展示，</w:t>
      </w:r>
      <w:r>
        <w:rPr>
          <w:rFonts w:hint="eastAsia" w:ascii="仿宋" w:hAnsi="仿宋" w:eastAsia="仿宋" w:cs="仿宋"/>
          <w:color w:val="000000" w:themeColor="text1"/>
          <w:sz w:val="32"/>
          <w:szCs w:val="32"/>
          <w14:textFill>
            <w14:solidFill>
              <w14:schemeClr w14:val="tx1"/>
            </w14:solidFill>
          </w14:textFill>
        </w:rPr>
        <w:t>开展规划实施情况中期评估</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终期总结验收，对工作突出的进行通报表扬。对普法重视不够、措施不力、落实普法责任制不到位的，及时发出普法提示函或建议书，提出整改要求，确保卫生健康普法有声有色、有力有效。</w:t>
      </w:r>
    </w:p>
    <w:p>
      <w:pPr>
        <w:pStyle w:val="2"/>
        <w:rPr>
          <w:rFonts w:hint="eastAsia" w:ascii="仿宋" w:hAnsi="仿宋" w:eastAsia="仿宋" w:cs="仿宋"/>
        </w:rPr>
      </w:pPr>
    </w:p>
    <w:p>
      <w:pPr>
        <w:pStyle w:val="2"/>
        <w:numPr>
          <w:ilvl w:val="0"/>
          <w:numId w:val="0"/>
        </w:numPr>
        <w:ind w:firstLine="640" w:firstLineChars="200"/>
        <w:rPr>
          <w:rFonts w:hint="eastAsia" w:ascii="仿宋" w:hAnsi="仿宋" w:eastAsia="仿宋" w:cs="仿宋"/>
          <w:i w:val="0"/>
          <w:iCs w:val="0"/>
          <w:caps w:val="0"/>
          <w:color w:val="000000" w:themeColor="text1"/>
          <w:spacing w:val="0"/>
          <w:kern w:val="2"/>
          <w:sz w:val="32"/>
          <w:szCs w:val="32"/>
          <w:shd w:val="clear" w:color="auto" w:fill="FFFFFF"/>
          <w:lang w:val="en-US" w:eastAsia="zh-CN" w:bidi="ar-SA"/>
          <w14:textFill>
            <w14:solidFill>
              <w14:schemeClr w14:val="tx1"/>
            </w14:solidFill>
          </w14:textFill>
        </w:rPr>
      </w:pPr>
    </w:p>
    <w:sectPr>
      <w:footerReference r:id="rId3" w:type="default"/>
      <w:pgSz w:w="11906" w:h="16838"/>
      <w:pgMar w:top="2041" w:right="1361" w:bottom="147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ZGI0ZTBlZTQ1NWFmM2FmMWM4MzMyOWI0OTAzZGYifQ=="/>
  </w:docVars>
  <w:rsids>
    <w:rsidRoot w:val="00000000"/>
    <w:rsid w:val="00114216"/>
    <w:rsid w:val="02D768EE"/>
    <w:rsid w:val="049947DA"/>
    <w:rsid w:val="04CB4231"/>
    <w:rsid w:val="0A072777"/>
    <w:rsid w:val="0A6B7909"/>
    <w:rsid w:val="10D3637A"/>
    <w:rsid w:val="13165504"/>
    <w:rsid w:val="13A40215"/>
    <w:rsid w:val="15DB3ADD"/>
    <w:rsid w:val="1A244E0C"/>
    <w:rsid w:val="1B8E68AA"/>
    <w:rsid w:val="217928F0"/>
    <w:rsid w:val="2A1E3465"/>
    <w:rsid w:val="30360156"/>
    <w:rsid w:val="31DD4BC4"/>
    <w:rsid w:val="33BB04D9"/>
    <w:rsid w:val="348A6724"/>
    <w:rsid w:val="35F103F9"/>
    <w:rsid w:val="36277AB5"/>
    <w:rsid w:val="3B2A0B01"/>
    <w:rsid w:val="3B4A51A8"/>
    <w:rsid w:val="3DB903F3"/>
    <w:rsid w:val="41B76645"/>
    <w:rsid w:val="458865FA"/>
    <w:rsid w:val="45955E57"/>
    <w:rsid w:val="47BF49B3"/>
    <w:rsid w:val="492460C5"/>
    <w:rsid w:val="495C56DB"/>
    <w:rsid w:val="49E527DC"/>
    <w:rsid w:val="53D2240D"/>
    <w:rsid w:val="56BB7966"/>
    <w:rsid w:val="570D689B"/>
    <w:rsid w:val="5963747F"/>
    <w:rsid w:val="5B301E31"/>
    <w:rsid w:val="5D797599"/>
    <w:rsid w:val="5E0D50EF"/>
    <w:rsid w:val="5E156ADA"/>
    <w:rsid w:val="655A5E64"/>
    <w:rsid w:val="65AF446B"/>
    <w:rsid w:val="662621EA"/>
    <w:rsid w:val="6794316F"/>
    <w:rsid w:val="6D765805"/>
    <w:rsid w:val="6DE33CF7"/>
    <w:rsid w:val="70955C6D"/>
    <w:rsid w:val="7456694C"/>
    <w:rsid w:val="790B6EC6"/>
    <w:rsid w:val="7AC94B56"/>
    <w:rsid w:val="7F6C5318"/>
    <w:rsid w:val="BD5B4C2E"/>
    <w:rsid w:val="F7BD951D"/>
    <w:rsid w:val="F7EF0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Indent 2"/>
    <w:basedOn w:val="1"/>
    <w:qFormat/>
    <w:uiPriority w:val="0"/>
    <w:pPr>
      <w:spacing w:line="590" w:lineRule="exact"/>
      <w:ind w:firstLine="880" w:firstLineChars="200"/>
    </w:pPr>
    <w:rPr>
      <w:rFonts w:ascii="Times New Roman" w:hAnsi="Times New Roman" w:eastAsia="方正仿宋_GBK"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5886</Words>
  <Characters>5940</Characters>
  <Lines>0</Lines>
  <Paragraphs>0</Paragraphs>
  <TotalTime>63</TotalTime>
  <ScaleCrop>false</ScaleCrop>
  <LinksUpToDate>false</LinksUpToDate>
  <CharactersWithSpaces>5956</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2021-01-27T00:45:00Z</dcterms:created>
  <dc:creator>Administrator</dc:creator>
  <cp:lastModifiedBy>崔爱民</cp:lastModifiedBy>
  <cp:lastPrinted>2023-01-09T01:51:00Z</cp:lastPrinted>
  <dcterms:modified xsi:type="dcterms:W3CDTF">2023-08-09T01:52:59Z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A5201737216A461E82C3BABD26E5873C</vt:lpwstr>
  </property>
</Properties>
</file>