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农村危房改造实施方案解读</w:t>
      </w:r>
    </w:p>
    <w:p>
      <w:pPr>
        <w:jc w:val="left"/>
        <w:rPr>
          <w:rFonts w:hint="eastAsia" w:ascii="仿宋_GB2312" w:hAnsi="Arial" w:eastAsia="仿宋_GB2312" w:cs="仿宋_GB2312"/>
          <w:b w:val="0"/>
          <w:i w:val="0"/>
          <w:caps w:val="0"/>
          <w:color w:val="000000"/>
          <w:spacing w:val="0"/>
          <w:sz w:val="31"/>
          <w:szCs w:val="31"/>
          <w:shd w:val="clear" w:fill="FFFFFF"/>
          <w:lang w:eastAsia="zh-CN"/>
        </w:rPr>
      </w:pPr>
    </w:p>
    <w:p>
      <w:pPr>
        <w:pStyle w:val="3"/>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jc w:val="left"/>
        <w:textAlignment w:val="auto"/>
        <w:rPr>
          <w:rFonts w:hint="eastAsia" w:ascii="仿宋" w:hAnsi="仿宋" w:eastAsia="仿宋" w:cs="仿宋"/>
          <w:b w:val="0"/>
          <w:i w:val="0"/>
          <w:caps w:val="0"/>
          <w:color w:val="auto"/>
          <w:spacing w:val="0"/>
          <w:sz w:val="32"/>
          <w:szCs w:val="32"/>
          <w:shd w:val="clear" w:fill="FFFFFF"/>
          <w:lang w:val="en-US" w:eastAsia="zh-CN"/>
        </w:rPr>
      </w:pPr>
      <w:r>
        <w:rPr>
          <w:rFonts w:hint="eastAsia" w:ascii="仿宋" w:hAnsi="仿宋" w:eastAsia="仿宋" w:cs="仿宋"/>
          <w:b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kern w:val="2"/>
          <w:sz w:val="32"/>
          <w:szCs w:val="32"/>
          <w:lang w:val="en-US" w:eastAsia="zh-CN" w:bidi="ar-SA"/>
        </w:rPr>
        <w:t>2022年，我局继续巩固“两不愁、三保障”脱贫攻坚成果，</w:t>
      </w:r>
      <w:r>
        <w:rPr>
          <w:rFonts w:hint="eastAsia" w:ascii="仿宋_GB2312" w:hAnsi="仿宋_GB2312" w:eastAsia="仿宋_GB2312" w:cs="仿宋_GB2312"/>
          <w:color w:val="000000"/>
          <w:spacing w:val="0"/>
          <w:w w:val="100"/>
          <w:sz w:val="32"/>
          <w:szCs w:val="32"/>
        </w:rPr>
        <w:t>以习近平新时代中国特色社会主义思想为指导，深入贯彻落实党的十九大和十九届二中、三中、四中、五中全会精神，按照中</w:t>
      </w:r>
      <w:r>
        <w:rPr>
          <w:rFonts w:hint="eastAsia" w:ascii="仿宋_GB2312" w:hAnsi="仿宋_GB2312" w:eastAsia="仿宋_GB2312" w:cs="仿宋_GB2312"/>
          <w:color w:val="000000"/>
          <w:spacing w:val="0"/>
          <w:w w:val="100"/>
          <w:sz w:val="32"/>
          <w:szCs w:val="32"/>
          <w:lang w:eastAsia="zh-CN"/>
        </w:rPr>
        <w:t>央</w:t>
      </w:r>
      <w:r>
        <w:rPr>
          <w:rFonts w:hint="eastAsia" w:ascii="仿宋_GB2312" w:hAnsi="仿宋_GB2312" w:eastAsia="仿宋_GB2312" w:cs="仿宋_GB2312"/>
          <w:color w:val="000000"/>
          <w:spacing w:val="0"/>
          <w:w w:val="100"/>
          <w:sz w:val="32"/>
          <w:szCs w:val="32"/>
        </w:rPr>
        <w:t>关于建立健全巩固拓展脱贫攻坚成果长效机制的部署，继续实施农村危房改造和地震高烈度设防地区农房抗</w:t>
      </w:r>
      <w:r>
        <w:rPr>
          <w:rFonts w:hint="eastAsia" w:ascii="仿宋_GB2312" w:hAnsi="仿宋_GB2312" w:eastAsia="仿宋_GB2312" w:cs="仿宋_GB2312"/>
          <w:color w:val="000000"/>
          <w:spacing w:val="0"/>
          <w:w w:val="100"/>
          <w:sz w:val="32"/>
          <w:szCs w:val="32"/>
          <w:lang w:eastAsia="zh-CN"/>
        </w:rPr>
        <w:t>震</w:t>
      </w:r>
      <w:r>
        <w:rPr>
          <w:rFonts w:hint="eastAsia" w:ascii="仿宋_GB2312" w:hAnsi="仿宋_GB2312" w:eastAsia="仿宋_GB2312" w:cs="仿宋_GB2312"/>
          <w:color w:val="000000"/>
          <w:spacing w:val="0"/>
          <w:w w:val="100"/>
          <w:sz w:val="32"/>
          <w:szCs w:val="32"/>
        </w:rPr>
        <w:t>改造，“十四五”期间，在保持政策稳定性、延续性的基础上调整优化，实现巩固拓展脱贫攻坚成果同乡村振兴有效衔接</w:t>
      </w:r>
      <w:r>
        <w:rPr>
          <w:rFonts w:hint="eastAsia" w:ascii="仿宋_GB2312" w:hAnsi="仿宋_GB2312" w:eastAsia="仿宋_GB2312" w:cs="仿宋_GB2312"/>
          <w:color w:val="000000"/>
          <w:spacing w:val="0"/>
          <w:w w:val="100"/>
          <w:sz w:val="32"/>
          <w:szCs w:val="32"/>
          <w:lang w:eastAsia="zh-CN"/>
        </w:rPr>
        <w:t>，坚持</w:t>
      </w:r>
      <w:r>
        <w:rPr>
          <w:rFonts w:hint="eastAsia" w:ascii="仿宋_GB2312" w:hAnsi="仿宋_GB2312" w:eastAsia="仿宋_GB2312" w:cs="仿宋_GB2312"/>
          <w:color w:val="000000"/>
          <w:spacing w:val="0"/>
          <w:w w:val="100"/>
          <w:sz w:val="32"/>
          <w:szCs w:val="32"/>
        </w:rPr>
        <w:t>安全为本。以实现农村低收入群体住房安全有保障为根本目标，</w:t>
      </w:r>
      <w:r>
        <w:rPr>
          <w:rFonts w:hint="eastAsia" w:ascii="仿宋_GB2312" w:hAnsi="仿宋_GB2312" w:eastAsia="仿宋_GB2312" w:cs="仿宋_GB2312"/>
          <w:color w:val="000000"/>
          <w:spacing w:val="0"/>
          <w:w w:val="100"/>
          <w:sz w:val="32"/>
          <w:szCs w:val="32"/>
          <w:lang w:eastAsia="zh-CN"/>
        </w:rPr>
        <w:t>持续</w:t>
      </w:r>
      <w:r>
        <w:rPr>
          <w:rFonts w:hint="eastAsia" w:ascii="仿宋_GB2312" w:hAnsi="仿宋_GB2312" w:eastAsia="仿宋_GB2312" w:cs="仿宋_GB2312"/>
          <w:color w:val="000000"/>
          <w:spacing w:val="0"/>
          <w:w w:val="100"/>
          <w:sz w:val="32"/>
          <w:szCs w:val="32"/>
        </w:rPr>
        <w:t>推进农村危房改造，</w:t>
      </w:r>
      <w:r>
        <w:rPr>
          <w:rFonts w:hint="eastAsia" w:ascii="仿宋_GB2312" w:hAnsi="仿宋_GB2312" w:eastAsia="仿宋_GB2312" w:cs="仿宋_GB2312"/>
          <w:i w:val="0"/>
          <w:caps w:val="0"/>
          <w:color w:val="333333"/>
          <w:spacing w:val="0"/>
          <w:sz w:val="32"/>
          <w:szCs w:val="32"/>
          <w:u w:val="none"/>
        </w:rPr>
        <w:t>印发了</w:t>
      </w:r>
      <w:r>
        <w:rPr>
          <w:rFonts w:hint="eastAsia" w:ascii="仿宋_GB2312" w:hAnsi="仿宋_GB2312" w:eastAsia="仿宋_GB2312" w:cs="仿宋_GB2312"/>
          <w:b w:val="0"/>
          <w:bCs w:val="0"/>
          <w:color w:val="000000"/>
          <w:spacing w:val="0"/>
          <w:w w:val="92"/>
          <w:sz w:val="32"/>
          <w:szCs w:val="32"/>
        </w:rPr>
        <w:t>《</w:t>
      </w:r>
      <w:r>
        <w:rPr>
          <w:rFonts w:hint="eastAsia" w:ascii="仿宋_GB2312" w:hAnsi="仿宋_GB2312" w:eastAsia="仿宋_GB2312" w:cs="仿宋_GB2312"/>
          <w:b w:val="0"/>
          <w:bCs w:val="0"/>
          <w:color w:val="000000"/>
          <w:spacing w:val="0"/>
          <w:w w:val="92"/>
          <w:sz w:val="32"/>
          <w:szCs w:val="32"/>
          <w:lang w:eastAsia="zh-CN"/>
        </w:rPr>
        <w:t>萧县</w:t>
      </w:r>
      <w:r>
        <w:rPr>
          <w:rFonts w:hint="eastAsia" w:ascii="仿宋_GB2312" w:hAnsi="仿宋_GB2312" w:eastAsia="仿宋_GB2312" w:cs="仿宋_GB2312"/>
          <w:b w:val="0"/>
          <w:bCs w:val="0"/>
          <w:color w:val="000000"/>
          <w:spacing w:val="0"/>
          <w:w w:val="92"/>
          <w:sz w:val="32"/>
          <w:szCs w:val="32"/>
          <w:lang w:val="en-US" w:eastAsia="zh-CN"/>
        </w:rPr>
        <w:t xml:space="preserve">2022rh </w:t>
      </w:r>
      <w:r>
        <w:rPr>
          <w:rFonts w:hint="eastAsia" w:ascii="仿宋_GB2312" w:hAnsi="仿宋_GB2312" w:eastAsia="仿宋_GB2312" w:cs="仿宋_GB2312"/>
          <w:b w:val="0"/>
          <w:bCs w:val="0"/>
          <w:color w:val="000000"/>
          <w:spacing w:val="0"/>
          <w:w w:val="92"/>
          <w:sz w:val="32"/>
          <w:szCs w:val="32"/>
        </w:rPr>
        <w:t>农村低收</w:t>
      </w:r>
      <w:r>
        <w:rPr>
          <w:rFonts w:hint="eastAsia" w:ascii="仿宋_GB2312" w:hAnsi="仿宋_GB2312" w:eastAsia="仿宋_GB2312" w:cs="仿宋_GB2312"/>
          <w:b w:val="0"/>
          <w:bCs w:val="0"/>
          <w:color w:val="000000"/>
          <w:spacing w:val="0"/>
          <w:w w:val="92"/>
          <w:sz w:val="32"/>
          <w:szCs w:val="32"/>
          <w:lang w:eastAsia="zh-CN"/>
        </w:rPr>
        <w:t>入群体</w:t>
      </w:r>
      <w:r>
        <w:rPr>
          <w:rFonts w:hint="eastAsia" w:ascii="仿宋_GB2312" w:hAnsi="仿宋_GB2312" w:eastAsia="仿宋_GB2312" w:cs="仿宋_GB2312"/>
          <w:b w:val="0"/>
          <w:bCs w:val="0"/>
          <w:color w:val="000000"/>
          <w:spacing w:val="0"/>
          <w:w w:val="92"/>
          <w:sz w:val="32"/>
          <w:szCs w:val="32"/>
        </w:rPr>
        <w:t>等重点对象住房安全保障工作方案</w:t>
      </w:r>
      <w:r>
        <w:rPr>
          <w:rFonts w:hint="eastAsia" w:ascii="仿宋_GB2312" w:hAnsi="仿宋_GB2312" w:eastAsia="仿宋_GB2312" w:cs="仿宋_GB2312"/>
          <w:b w:val="0"/>
          <w:bCs w:val="0"/>
          <w:color w:val="000000"/>
          <w:spacing w:val="0"/>
          <w:w w:val="92"/>
          <w:sz w:val="32"/>
          <w:szCs w:val="32"/>
          <w:lang w:eastAsia="zh-CN"/>
        </w:rPr>
        <w:t>》</w:t>
      </w:r>
      <w:r>
        <w:rPr>
          <w:rFonts w:hint="eastAsia" w:ascii="仿宋" w:hAnsi="仿宋" w:eastAsia="仿宋" w:cs="仿宋"/>
          <w:b w:val="0"/>
          <w:i w:val="0"/>
          <w:caps w:val="0"/>
          <w:color w:val="auto"/>
          <w:spacing w:val="0"/>
          <w:sz w:val="32"/>
          <w:szCs w:val="32"/>
          <w:shd w:val="clear" w:fill="FFFFFF"/>
          <w:lang w:eastAsia="zh-CN"/>
        </w:rPr>
        <w:t>（</w:t>
      </w:r>
      <w:r>
        <w:rPr>
          <w:rFonts w:hint="eastAsia" w:ascii="仿宋" w:hAnsi="仿宋" w:eastAsia="仿宋" w:cs="仿宋"/>
          <w:b w:val="0"/>
          <w:i w:val="0"/>
          <w:caps w:val="0"/>
          <w:color w:val="auto"/>
          <w:spacing w:val="0"/>
          <w:sz w:val="32"/>
          <w:szCs w:val="32"/>
          <w:shd w:val="clear" w:fill="FFFFFF"/>
          <w:lang w:val="en-US" w:eastAsia="zh-CN"/>
        </w:rPr>
        <w:t>萧住建</w:t>
      </w:r>
      <w:r>
        <w:rPr>
          <w:rFonts w:hint="eastAsia" w:ascii="仿宋_GB2312" w:eastAsia="仿宋_GB2312"/>
          <w:sz w:val="32"/>
          <w:szCs w:val="32"/>
          <w:lang w:eastAsia="zh-CN"/>
        </w:rPr>
        <w:t>〔20</w:t>
      </w:r>
      <w:r>
        <w:rPr>
          <w:rFonts w:hint="eastAsia" w:ascii="仿宋_GB2312" w:eastAsia="仿宋_GB2312"/>
          <w:sz w:val="32"/>
          <w:szCs w:val="32"/>
          <w:lang w:val="en-US" w:eastAsia="zh-CN"/>
        </w:rPr>
        <w:t>22</w:t>
      </w:r>
      <w:r>
        <w:rPr>
          <w:rFonts w:hint="eastAsia" w:ascii="仿宋_GB2312" w:eastAsia="仿宋_GB2312"/>
          <w:sz w:val="32"/>
          <w:szCs w:val="32"/>
          <w:lang w:eastAsia="zh-CN"/>
        </w:rPr>
        <w:t>〕</w:t>
      </w:r>
      <w:r>
        <w:rPr>
          <w:rFonts w:hint="eastAsia" w:ascii="仿宋_GB2312" w:eastAsia="仿宋_GB2312"/>
          <w:sz w:val="32"/>
          <w:szCs w:val="32"/>
          <w:lang w:val="en-US" w:eastAsia="zh-CN"/>
        </w:rPr>
        <w:t>25</w:t>
      </w:r>
      <w:r>
        <w:rPr>
          <w:rFonts w:hint="eastAsia" w:ascii="仿宋_GB2312" w:eastAsia="仿宋_GB2312"/>
          <w:sz w:val="32"/>
          <w:szCs w:val="32"/>
          <w:lang w:eastAsia="zh-CN"/>
        </w:rPr>
        <w:t>号</w:t>
      </w:r>
      <w:r>
        <w:rPr>
          <w:rFonts w:hint="eastAsia" w:ascii="仿宋" w:hAnsi="仿宋" w:eastAsia="仿宋" w:cs="仿宋"/>
          <w:b w:val="0"/>
          <w:i w:val="0"/>
          <w:caps w:val="0"/>
          <w:color w:val="auto"/>
          <w:spacing w:val="0"/>
          <w:sz w:val="32"/>
          <w:szCs w:val="32"/>
          <w:shd w:val="clear" w:fill="FFFFFF"/>
          <w:lang w:eastAsia="zh-CN"/>
        </w:rPr>
        <w:t>）文件。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一、出台背景</w:t>
      </w:r>
    </w:p>
    <w:p>
      <w:pPr>
        <w:keepNext w:val="0"/>
        <w:keepLines w:val="0"/>
        <w:pageBreakBefore w:val="0"/>
        <w:widowControl w:val="0"/>
        <w:numPr>
          <w:ilvl w:val="0"/>
          <w:numId w:val="0"/>
        </w:numPr>
        <w:tabs>
          <w:tab w:val="left" w:pos="583"/>
        </w:tabs>
        <w:kinsoku/>
        <w:wordWrap/>
        <w:overflowPunct/>
        <w:topLinePunct w:val="0"/>
        <w:autoSpaceDE/>
        <w:autoSpaceDN/>
        <w:bidi w:val="0"/>
        <w:adjustRightInd/>
        <w:snapToGrid/>
        <w:spacing w:line="640" w:lineRule="exact"/>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 w:hAnsi="仿宋" w:eastAsia="仿宋" w:cs="仿宋"/>
          <w:b w:val="0"/>
          <w:i w:val="0"/>
          <w:caps w:val="0"/>
          <w:color w:val="000000"/>
          <w:spacing w:val="0"/>
          <w:sz w:val="31"/>
          <w:szCs w:val="31"/>
          <w:shd w:val="clear" w:fill="FFFFFF"/>
          <w:lang w:val="en-US" w:eastAsia="zh-CN"/>
        </w:rPr>
        <w:t xml:space="preserve">  </w:t>
      </w:r>
      <w:r>
        <w:rPr>
          <w:rFonts w:hint="eastAsia" w:ascii="仿宋" w:hAnsi="仿宋" w:eastAsia="仿宋" w:cs="仿宋"/>
          <w:b w:val="0"/>
          <w:i w:val="0"/>
          <w:caps w:val="0"/>
          <w:color w:val="000000"/>
          <w:spacing w:val="0"/>
          <w:sz w:val="31"/>
          <w:szCs w:val="31"/>
          <w:shd w:val="clear" w:fill="FFFFFF"/>
          <w:lang w:val="en-US" w:eastAsia="zh-CN"/>
        </w:rPr>
        <w:tab/>
      </w:r>
      <w:r>
        <w:rPr>
          <w:rFonts w:hint="eastAsia" w:ascii="仿宋_GB2312" w:hAnsi="仿宋_GB2312" w:eastAsia="仿宋_GB2312" w:cs="仿宋_GB2312"/>
          <w:b w:val="0"/>
          <w:i w:val="0"/>
          <w:caps w:val="0"/>
          <w:color w:val="000000"/>
          <w:spacing w:val="0"/>
          <w:sz w:val="31"/>
          <w:szCs w:val="31"/>
          <w:shd w:val="clear" w:fill="FFFFFF"/>
          <w:lang w:val="en-US" w:eastAsia="zh-CN"/>
        </w:rPr>
        <w:t>为全面贯彻落实习近平新时代中国特色社会主义思想和党的十九大精神，认真落实省委省政府关于脱贫攻坚的决策部署，精准对接群众需求，务实推进民生工程，提高保障人民生活水平。</w:t>
      </w:r>
      <w:r>
        <w:rPr>
          <w:rFonts w:hint="eastAsia" w:ascii="仿宋_GB2312" w:hAnsi="仿宋_GB2312" w:eastAsia="仿宋_GB2312" w:cs="仿宋_GB2312"/>
          <w:color w:val="auto"/>
          <w:sz w:val="32"/>
          <w:szCs w:val="32"/>
          <w:lang w:eastAsia="zh-CN"/>
        </w:rPr>
        <w:t>依据安徽省住房和城乡建设厅、安徽省财政厅印发</w:t>
      </w:r>
      <w:r>
        <w:rPr>
          <w:rFonts w:hint="eastAsia" w:ascii="仿宋_GB2312" w:hAnsi="仿宋_GB2312" w:eastAsia="仿宋_GB2312" w:cs="仿宋_GB2312"/>
          <w:color w:val="auto"/>
          <w:sz w:val="32"/>
          <w:szCs w:val="32"/>
          <w:lang w:val="en-US" w:eastAsia="zh-CN"/>
        </w:rPr>
        <w:t>《关于做好2022年农村</w:t>
      </w:r>
      <w:r>
        <w:rPr>
          <w:rFonts w:hint="eastAsia" w:ascii="仿宋_GB2312" w:hAnsi="仿宋_GB2312" w:eastAsia="仿宋_GB2312" w:cs="仿宋_GB2312"/>
          <w:b w:val="0"/>
          <w:bCs w:val="0"/>
          <w:color w:val="000000"/>
          <w:spacing w:val="0"/>
          <w:w w:val="92"/>
          <w:sz w:val="32"/>
          <w:szCs w:val="32"/>
        </w:rPr>
        <w:t>低收</w:t>
      </w:r>
      <w:r>
        <w:rPr>
          <w:rFonts w:hint="eastAsia" w:ascii="仿宋_GB2312" w:hAnsi="仿宋_GB2312" w:eastAsia="仿宋_GB2312" w:cs="仿宋_GB2312"/>
          <w:b w:val="0"/>
          <w:bCs w:val="0"/>
          <w:color w:val="000000"/>
          <w:spacing w:val="0"/>
          <w:w w:val="92"/>
          <w:sz w:val="32"/>
          <w:szCs w:val="32"/>
          <w:lang w:eastAsia="zh-CN"/>
        </w:rPr>
        <w:t>入群体</w:t>
      </w:r>
      <w:r>
        <w:rPr>
          <w:rFonts w:hint="eastAsia" w:ascii="仿宋_GB2312" w:hAnsi="仿宋_GB2312" w:eastAsia="仿宋_GB2312" w:cs="仿宋_GB2312"/>
          <w:b w:val="0"/>
          <w:bCs w:val="0"/>
          <w:color w:val="000000"/>
          <w:spacing w:val="0"/>
          <w:w w:val="92"/>
          <w:sz w:val="32"/>
          <w:szCs w:val="32"/>
        </w:rPr>
        <w:t>等重点对象住房安全保障</w:t>
      </w:r>
      <w:r>
        <w:rPr>
          <w:rFonts w:hint="eastAsia" w:ascii="仿宋_GB2312" w:hAnsi="仿宋_GB2312" w:eastAsia="仿宋_GB2312" w:cs="仿宋_GB2312"/>
          <w:b w:val="0"/>
          <w:bCs w:val="0"/>
          <w:color w:val="000000"/>
          <w:spacing w:val="0"/>
          <w:w w:val="92"/>
          <w:sz w:val="32"/>
          <w:szCs w:val="32"/>
          <w:lang w:eastAsia="zh-CN"/>
        </w:rPr>
        <w:t>暨农房安全隐患排查整治工作的通知》</w:t>
      </w:r>
      <w:r>
        <w:rPr>
          <w:rFonts w:hint="eastAsia" w:ascii="仿宋_GB2312" w:hAnsi="仿宋_GB2312" w:eastAsia="仿宋_GB2312" w:cs="仿宋_GB2312"/>
          <w:color w:val="auto"/>
          <w:sz w:val="32"/>
          <w:szCs w:val="32"/>
          <w:lang w:eastAsia="zh-CN"/>
        </w:rPr>
        <w:t>（建村函</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255</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）文件要求，</w:t>
      </w:r>
      <w:r>
        <w:rPr>
          <w:rFonts w:hint="eastAsia" w:ascii="仿宋_GB2312" w:hAnsi="仿宋_GB2312" w:eastAsia="仿宋_GB2312" w:cs="仿宋_GB2312"/>
          <w:color w:val="auto"/>
          <w:sz w:val="32"/>
          <w:szCs w:val="32"/>
          <w:lang w:val="en-US" w:eastAsia="zh-CN"/>
        </w:rPr>
        <w:t>对危房改造补助标准、补助对象、实施和管理作了具体要求。</w:t>
      </w:r>
    </w:p>
    <w:p>
      <w:pPr>
        <w:keepNext w:val="0"/>
        <w:keepLines w:val="0"/>
        <w:pageBreakBefore w:val="0"/>
        <w:widowControl w:val="0"/>
        <w:numPr>
          <w:ilvl w:val="0"/>
          <w:numId w:val="0"/>
        </w:numPr>
        <w:tabs>
          <w:tab w:val="left" w:pos="583"/>
        </w:tabs>
        <w:kinsoku/>
        <w:wordWrap/>
        <w:overflowPunct/>
        <w:topLinePunct w:val="0"/>
        <w:autoSpaceDE/>
        <w:autoSpaceDN/>
        <w:bidi w:val="0"/>
        <w:adjustRightInd/>
        <w:snapToGrid/>
        <w:spacing w:line="640" w:lineRule="exact"/>
        <w:jc w:val="left"/>
        <w:textAlignment w:val="auto"/>
        <w:outlineLvl w:val="9"/>
        <w:rPr>
          <w:rFonts w:hint="eastAsia" w:ascii="黑体" w:hAnsi="黑体" w:eastAsia="黑体"/>
          <w:color w:val="auto"/>
          <w:sz w:val="32"/>
          <w:szCs w:val="32"/>
          <w:lang w:val="en-US" w:eastAsia="zh-CN"/>
        </w:rPr>
      </w:pPr>
      <w:r>
        <w:rPr>
          <w:rFonts w:hint="eastAsia" w:ascii="仿宋_GB2312" w:eastAsia="仿宋_GB2312"/>
          <w:color w:val="auto"/>
          <w:sz w:val="32"/>
          <w:szCs w:val="32"/>
          <w:lang w:val="en-US" w:eastAsia="zh-CN"/>
        </w:rPr>
        <w:t xml:space="preserve">  </w:t>
      </w:r>
    </w:p>
    <w:p>
      <w:pPr>
        <w:spacing w:line="576" w:lineRule="exact"/>
        <w:ind w:firstLine="640" w:firstLineChars="200"/>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二、主要内容</w:t>
      </w:r>
    </w:p>
    <w:p>
      <w:pPr>
        <w:spacing w:line="576" w:lineRule="exact"/>
        <w:ind w:firstLine="640" w:firstLineChars="200"/>
        <w:rPr>
          <w:rFonts w:hint="eastAsia" w:ascii="楷体_GB2312" w:hAnsi="黑体" w:eastAsia="楷体_GB2312"/>
          <w:color w:val="auto"/>
          <w:sz w:val="32"/>
          <w:szCs w:val="32"/>
          <w:lang w:val="en-US" w:eastAsia="zh-CN"/>
        </w:rPr>
      </w:pPr>
      <w:r>
        <w:rPr>
          <w:rFonts w:hint="eastAsia" w:ascii="楷体_GB2312" w:hAnsi="黑体" w:eastAsia="楷体_GB2312"/>
          <w:color w:val="auto"/>
          <w:sz w:val="32"/>
          <w:szCs w:val="32"/>
          <w:lang w:val="en-US" w:eastAsia="zh-CN"/>
        </w:rPr>
        <w:t>（一）总体要求</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各</w:t>
      </w:r>
      <w:r>
        <w:rPr>
          <w:rFonts w:hint="eastAsia" w:ascii="仿宋_GB2312" w:hAnsi="仿宋_GB2312" w:eastAsia="仿宋_GB2312" w:cs="仿宋_GB2312"/>
          <w:color w:val="000000"/>
          <w:spacing w:val="0"/>
          <w:w w:val="100"/>
          <w:sz w:val="32"/>
          <w:szCs w:val="32"/>
          <w:lang w:eastAsia="zh-CN"/>
        </w:rPr>
        <w:t>乡镇</w:t>
      </w:r>
      <w:r>
        <w:rPr>
          <w:rFonts w:hint="eastAsia" w:ascii="仿宋_GB2312" w:hAnsi="仿宋_GB2312" w:eastAsia="仿宋_GB2312" w:cs="仿宋_GB2312"/>
          <w:color w:val="000000"/>
          <w:spacing w:val="0"/>
          <w:w w:val="100"/>
          <w:sz w:val="32"/>
          <w:szCs w:val="32"/>
        </w:rPr>
        <w:t>要健全调度制度，实施台账管理、节点管控，及时总结经验，</w:t>
      </w:r>
      <w:r>
        <w:rPr>
          <w:rFonts w:hint="eastAsia" w:ascii="仿宋_GB2312" w:hAnsi="仿宋_GB2312" w:eastAsia="仿宋_GB2312" w:cs="仿宋_GB2312"/>
          <w:color w:val="000000"/>
          <w:spacing w:val="0"/>
          <w:w w:val="100"/>
          <w:sz w:val="32"/>
          <w:szCs w:val="32"/>
          <w:lang w:eastAsia="zh-CN"/>
        </w:rPr>
        <w:t>围</w:t>
      </w:r>
      <w:r>
        <w:rPr>
          <w:rFonts w:hint="eastAsia" w:ascii="仿宋_GB2312" w:hAnsi="仿宋_GB2312" w:eastAsia="仿宋_GB2312" w:cs="仿宋_GB2312"/>
          <w:color w:val="000000"/>
          <w:spacing w:val="0"/>
          <w:w w:val="100"/>
          <w:sz w:val="32"/>
          <w:szCs w:val="32"/>
        </w:rPr>
        <w:t>绕保障对象确认、资金补助标准、危房改造方式、日常维修管护等方面积极探索有效做法，逐步建立长效机制。</w:t>
      </w:r>
    </w:p>
    <w:p>
      <w:pPr>
        <w:numPr>
          <w:ilvl w:val="0"/>
          <w:numId w:val="1"/>
        </w:numPr>
        <w:spacing w:line="576" w:lineRule="exact"/>
        <w:ind w:firstLine="640" w:firstLineChars="200"/>
        <w:rPr>
          <w:rFonts w:hint="eastAsia" w:ascii="楷体_GB2312" w:hAnsi="黑体" w:eastAsia="楷体_GB2312"/>
          <w:color w:val="auto"/>
          <w:sz w:val="32"/>
          <w:szCs w:val="32"/>
          <w:lang w:val="en-US" w:eastAsia="zh-CN"/>
        </w:rPr>
      </w:pPr>
      <w:r>
        <w:rPr>
          <w:rFonts w:hint="eastAsia" w:ascii="楷体_GB2312" w:hAnsi="黑体" w:eastAsia="楷体_GB2312"/>
          <w:color w:val="auto"/>
          <w:sz w:val="32"/>
          <w:szCs w:val="32"/>
        </w:rPr>
        <w:t>补助对象</w:t>
      </w:r>
    </w:p>
    <w:p>
      <w:pPr>
        <w:numPr>
          <w:ilvl w:val="0"/>
          <w:numId w:val="0"/>
        </w:numPr>
        <w:spacing w:line="576" w:lineRule="exact"/>
        <w:rPr>
          <w:rFonts w:hint="eastAsia" w:ascii="仿宋_GB2312" w:eastAsia="仿宋_GB2312"/>
          <w:color w:val="auto"/>
          <w:sz w:val="32"/>
          <w:szCs w:val="32"/>
          <w:lang w:val="en-US" w:eastAsia="zh-CN"/>
        </w:rPr>
      </w:pPr>
      <w:r>
        <w:rPr>
          <w:rFonts w:hint="eastAsia" w:ascii="楷体_GB2312" w:hAnsi="黑体" w:eastAsia="楷体_GB2312"/>
          <w:color w:val="auto"/>
          <w:sz w:val="32"/>
          <w:szCs w:val="32"/>
          <w:lang w:val="en-US" w:eastAsia="zh-CN"/>
        </w:rPr>
        <w:t xml:space="preserve">  </w:t>
      </w:r>
      <w:r>
        <w:rPr>
          <w:rFonts w:hint="eastAsia" w:ascii="仿宋_GB2312" w:eastAsia="仿宋_GB2312"/>
          <w:color w:val="auto"/>
          <w:sz w:val="32"/>
          <w:szCs w:val="32"/>
        </w:rPr>
        <w:t>居住在危房中的</w:t>
      </w:r>
      <w:r>
        <w:rPr>
          <w:rFonts w:hint="eastAsia" w:ascii="仿宋_GB2312" w:hAnsi="仿宋_GB2312" w:eastAsia="仿宋_GB2312" w:cs="仿宋_GB2312"/>
          <w:color w:val="000000"/>
          <w:spacing w:val="0"/>
          <w:w w:val="100"/>
          <w:sz w:val="32"/>
          <w:szCs w:val="32"/>
        </w:rPr>
        <w:t>农村低收入群体，包括农村易返贫致贫户</w:t>
      </w:r>
      <w:r>
        <w:rPr>
          <w:rFonts w:hint="eastAsia" w:ascii="仿宋_GB2312" w:hAnsi="仿宋_GB2312" w:eastAsia="仿宋_GB2312" w:cs="仿宋_GB2312"/>
          <w:color w:val="000000"/>
          <w:spacing w:val="0"/>
          <w:w w:val="100"/>
          <w:sz w:val="32"/>
          <w:szCs w:val="32"/>
          <w:lang w:eastAsia="zh-CN"/>
        </w:rPr>
        <w:t>，</w:t>
      </w:r>
      <w:r>
        <w:rPr>
          <w:rFonts w:hint="eastAsia" w:ascii="仿宋_GB2312" w:hAnsi="仿宋_GB2312" w:eastAsia="仿宋_GB2312" w:cs="仿宋_GB2312"/>
          <w:color w:val="000000"/>
          <w:spacing w:val="0"/>
          <w:w w:val="100"/>
          <w:sz w:val="32"/>
          <w:szCs w:val="32"/>
        </w:rPr>
        <w:t>农村低保户、农村分散供养特困人员，以及因病因灾因意外事故等刚性支出较大或收入大幅缩减导致基本生活出现严重困难家庭等。</w:t>
      </w:r>
    </w:p>
    <w:p>
      <w:pPr>
        <w:numPr>
          <w:ilvl w:val="0"/>
          <w:numId w:val="1"/>
        </w:numPr>
        <w:tabs>
          <w:tab w:val="left" w:pos="1404"/>
        </w:tabs>
        <w:spacing w:line="576" w:lineRule="exact"/>
        <w:ind w:left="0" w:leftChars="0" w:firstLine="640" w:firstLineChars="200"/>
        <w:rPr>
          <w:rFonts w:hint="eastAsia" w:ascii="楷体_GB2312" w:hAnsi="黑体" w:eastAsia="楷体_GB2312"/>
          <w:color w:val="auto"/>
          <w:sz w:val="32"/>
          <w:szCs w:val="32"/>
          <w:lang w:val="en-US" w:eastAsia="zh-CN"/>
        </w:rPr>
      </w:pPr>
      <w:r>
        <w:rPr>
          <w:rFonts w:hint="eastAsia" w:ascii="楷体_GB2312" w:hAnsi="黑体" w:eastAsia="楷体_GB2312"/>
          <w:color w:val="auto"/>
          <w:sz w:val="32"/>
          <w:szCs w:val="32"/>
          <w:lang w:val="en-US" w:eastAsia="zh-CN"/>
        </w:rPr>
        <w:t>改造方式</w:t>
      </w:r>
    </w:p>
    <w:p>
      <w:pPr>
        <w:numPr>
          <w:ilvl w:val="0"/>
          <w:numId w:val="0"/>
        </w:numPr>
        <w:tabs>
          <w:tab w:val="left" w:pos="1404"/>
        </w:tabs>
        <w:spacing w:line="576" w:lineRule="exact"/>
        <w:rPr>
          <w:rFonts w:hint="eastAsia" w:ascii="楷体_GB2312" w:hAnsi="黑体" w:eastAsia="楷体_GB2312"/>
          <w:color w:val="auto"/>
          <w:sz w:val="32"/>
          <w:szCs w:val="32"/>
          <w:lang w:val="en-US" w:eastAsia="zh-CN"/>
        </w:rPr>
      </w:pPr>
      <w:r>
        <w:rPr>
          <w:rFonts w:hint="eastAsia" w:ascii="楷体_GB2312" w:hAnsi="黑体" w:eastAsia="楷体_GB2312"/>
          <w:color w:val="auto"/>
          <w:sz w:val="32"/>
          <w:szCs w:val="32"/>
          <w:lang w:val="en-US" w:eastAsia="zh-CN"/>
        </w:rPr>
        <w:t xml:space="preserve">  </w:t>
      </w:r>
      <w:r>
        <w:rPr>
          <w:rFonts w:hint="eastAsia" w:ascii="仿宋_GB2312" w:eastAsia="仿宋_GB2312"/>
          <w:color w:val="auto"/>
          <w:sz w:val="32"/>
          <w:szCs w:val="32"/>
        </w:rPr>
        <w:t>危房改造分重建和修缮加固两种方式。拟改造农村危房属整体危险（D级）的，原则上应拆除重建；属局部危险（C级）的，应修缮加固。</w:t>
      </w:r>
    </w:p>
    <w:p>
      <w:pPr>
        <w:numPr>
          <w:ilvl w:val="0"/>
          <w:numId w:val="1"/>
        </w:numPr>
        <w:spacing w:line="576" w:lineRule="exact"/>
        <w:ind w:left="0" w:leftChars="0" w:firstLine="640" w:firstLineChars="200"/>
        <w:rPr>
          <w:rFonts w:hint="eastAsia" w:ascii="楷体_GB2312" w:hAnsi="黑体" w:eastAsia="楷体_GB2312"/>
          <w:color w:val="auto"/>
          <w:sz w:val="32"/>
          <w:szCs w:val="32"/>
          <w:lang w:val="en-US" w:eastAsia="zh-CN"/>
        </w:rPr>
      </w:pPr>
      <w:r>
        <w:rPr>
          <w:rFonts w:hint="eastAsia" w:ascii="楷体_GB2312" w:hAnsi="黑体" w:eastAsia="楷体_GB2312"/>
          <w:color w:val="auto"/>
          <w:sz w:val="32"/>
          <w:szCs w:val="32"/>
          <w:lang w:val="en-US" w:eastAsia="zh-CN"/>
        </w:rPr>
        <w:t>补助标准</w:t>
      </w:r>
    </w:p>
    <w:p>
      <w:pPr>
        <w:numPr>
          <w:ilvl w:val="0"/>
          <w:numId w:val="0"/>
        </w:numPr>
        <w:spacing w:line="576" w:lineRule="exact"/>
        <w:ind w:firstLine="640" w:firstLineChars="200"/>
        <w:rPr>
          <w:rFonts w:hint="default" w:ascii="仿宋_GB2312" w:hAnsi="仿宋_GB2312" w:eastAsia="仿宋_GB2312" w:cs="仿宋_GB2312"/>
          <w:color w:val="000000" w:themeColor="text1"/>
          <w:spacing w:val="0"/>
          <w:w w:val="100"/>
          <w:sz w:val="32"/>
          <w:szCs w:val="32"/>
          <w:lang w:val="en-US" w:eastAsia="zh-CN"/>
          <w14:textFill>
            <w14:solidFill>
              <w14:schemeClr w14:val="tx1"/>
            </w14:solidFill>
          </w14:textFill>
        </w:rPr>
      </w:pPr>
      <w:r>
        <w:rPr>
          <w:rFonts w:hint="eastAsia" w:ascii="仿宋_GB2312" w:eastAsia="仿宋_GB2312"/>
          <w:color w:val="auto"/>
          <w:sz w:val="32"/>
          <w:szCs w:val="32"/>
        </w:rPr>
        <w:t>农村危房改造资金以农户自筹为主，政府补助为辅。政府资金采取分类补助</w:t>
      </w:r>
      <w:r>
        <w:rPr>
          <w:rFonts w:hint="eastAsia" w:ascii="仿宋_GB2312" w:eastAsia="仿宋_GB2312"/>
          <w:color w:val="auto"/>
          <w:sz w:val="32"/>
          <w:szCs w:val="32"/>
          <w:lang w:eastAsia="zh-CN"/>
        </w:rPr>
        <w:t>。</w:t>
      </w:r>
      <w:r>
        <w:rPr>
          <w:rFonts w:hint="eastAsia" w:ascii="仿宋_GB2312" w:hAnsi="仿宋_GB2312" w:eastAsia="仿宋_GB2312" w:cs="仿宋_GB2312"/>
          <w:color w:val="000000"/>
          <w:spacing w:val="0"/>
          <w:w w:val="100"/>
          <w:sz w:val="32"/>
          <w:szCs w:val="32"/>
        </w:rPr>
        <w:t>重建房屋</w:t>
      </w:r>
      <w:r>
        <w:rPr>
          <w:rFonts w:hint="eastAsia" w:ascii="仿宋_GB2312" w:hAnsi="仿宋_GB2312" w:eastAsia="仿宋_GB2312" w:cs="仿宋_GB2312"/>
          <w:color w:val="000000"/>
          <w:spacing w:val="0"/>
          <w:w w:val="100"/>
          <w:sz w:val="32"/>
          <w:szCs w:val="32"/>
          <w:lang w:eastAsia="zh-CN"/>
        </w:rPr>
        <w:t>补助</w:t>
      </w:r>
      <w:r>
        <w:rPr>
          <w:rFonts w:hint="eastAsia" w:ascii="仿宋_GB2312" w:hAnsi="仿宋_GB2312" w:eastAsia="仿宋_GB2312" w:cs="仿宋_GB2312"/>
          <w:color w:val="000000"/>
          <w:spacing w:val="0"/>
          <w:w w:val="100"/>
          <w:sz w:val="32"/>
          <w:szCs w:val="32"/>
        </w:rPr>
        <w:t>2万元，修缮加固</w:t>
      </w:r>
      <w:r>
        <w:rPr>
          <w:rFonts w:hint="eastAsia" w:ascii="仿宋_GB2312" w:hAnsi="仿宋_GB2312" w:eastAsia="仿宋_GB2312" w:cs="仿宋_GB2312"/>
          <w:color w:val="000000"/>
          <w:spacing w:val="0"/>
          <w:w w:val="100"/>
          <w:sz w:val="32"/>
          <w:szCs w:val="32"/>
          <w:lang w:eastAsia="zh-CN"/>
        </w:rPr>
        <w:t>补助</w:t>
      </w:r>
      <w:r>
        <w:rPr>
          <w:rFonts w:hint="eastAsia" w:ascii="仿宋_GB2312" w:hAnsi="仿宋_GB2312" w:eastAsia="仿宋_GB2312" w:cs="仿宋_GB2312"/>
          <w:color w:val="000000"/>
          <w:spacing w:val="0"/>
          <w:w w:val="100"/>
          <w:sz w:val="32"/>
          <w:szCs w:val="32"/>
        </w:rPr>
        <w:t>0.6万元。</w:t>
      </w:r>
      <w:r>
        <w:rPr>
          <w:rFonts w:hint="eastAsia" w:ascii="仿宋_GB2312" w:hAnsi="仿宋_GB2312" w:eastAsia="仿宋_GB2312" w:cs="仿宋_GB2312"/>
          <w:color w:val="000000"/>
          <w:spacing w:val="0"/>
          <w:w w:val="100"/>
          <w:sz w:val="32"/>
          <w:szCs w:val="32"/>
          <w:lang w:eastAsia="zh-CN"/>
        </w:rPr>
        <w:t>对于房屋局部存在险情，经评定或鉴定达不到</w:t>
      </w:r>
      <w:r>
        <w:rPr>
          <w:rFonts w:hint="eastAsia" w:ascii="仿宋_GB2312" w:hAnsi="仿宋_GB2312" w:eastAsia="仿宋_GB2312" w:cs="仿宋_GB2312"/>
          <w:color w:val="000000"/>
          <w:spacing w:val="0"/>
          <w:w w:val="100"/>
          <w:sz w:val="32"/>
          <w:szCs w:val="32"/>
          <w:lang w:val="en-US" w:eastAsia="zh-CN"/>
        </w:rPr>
        <w:t>C级危房或D级危房等级标准，符合</w:t>
      </w:r>
      <w:r>
        <w:rPr>
          <w:rFonts w:hint="eastAsia" w:ascii="仿宋_GB2312" w:hAnsi="仿宋_GB2312" w:eastAsia="仿宋_GB2312" w:cs="仿宋_GB2312"/>
          <w:color w:val="000000"/>
          <w:spacing w:val="0"/>
          <w:w w:val="100"/>
          <w:sz w:val="32"/>
          <w:szCs w:val="32"/>
        </w:rPr>
        <w:t>农村住房安全保障对象</w:t>
      </w:r>
      <w:r>
        <w:rPr>
          <w:rFonts w:hint="eastAsia" w:ascii="仿宋_GB2312" w:hAnsi="仿宋_GB2312" w:eastAsia="仿宋_GB2312" w:cs="仿宋_GB2312"/>
          <w:color w:val="000000"/>
          <w:spacing w:val="0"/>
          <w:w w:val="100"/>
          <w:sz w:val="32"/>
          <w:szCs w:val="32"/>
          <w:lang w:eastAsia="zh-CN"/>
        </w:rPr>
        <w:t>条</w:t>
      </w:r>
      <w:r>
        <w:rPr>
          <w:rFonts w:hint="eastAsia" w:ascii="仿宋_GB2312" w:hAnsi="仿宋_GB2312" w:eastAsia="仿宋_GB2312" w:cs="仿宋_GB2312"/>
          <w:color w:val="000000" w:themeColor="text1"/>
          <w:spacing w:val="0"/>
          <w:w w:val="100"/>
          <w:sz w:val="32"/>
          <w:szCs w:val="32"/>
          <w:lang w:eastAsia="zh-CN"/>
          <w14:textFill>
            <w14:solidFill>
              <w14:schemeClr w14:val="tx1"/>
            </w14:solidFill>
          </w14:textFill>
        </w:rPr>
        <w:t>件的</w:t>
      </w:r>
      <w:r>
        <w:rPr>
          <w:rFonts w:hint="eastAsia" w:ascii="仿宋_GB2312" w:hAnsi="仿宋_GB2312" w:eastAsia="仿宋_GB2312" w:cs="仿宋_GB2312"/>
          <w:color w:val="000000" w:themeColor="text1"/>
          <w:spacing w:val="0"/>
          <w:w w:val="100"/>
          <w:sz w:val="32"/>
          <w:szCs w:val="32"/>
          <w:lang w:val="en-US" w:eastAsia="zh-CN"/>
          <w14:textFill>
            <w14:solidFill>
              <w14:schemeClr w14:val="tx1"/>
            </w14:solidFill>
          </w14:textFill>
        </w:rPr>
        <w:t>，由乡镇政府统筹解决。</w:t>
      </w:r>
    </w:p>
    <w:p>
      <w:pPr>
        <w:spacing w:line="576" w:lineRule="exact"/>
        <w:ind w:firstLine="640" w:firstLineChars="200"/>
        <w:rPr>
          <w:rFonts w:hint="eastAsia" w:ascii="楷体_GB2312" w:hAnsi="黑体" w:eastAsia="楷体_GB2312"/>
          <w:color w:val="auto"/>
          <w:sz w:val="32"/>
          <w:szCs w:val="32"/>
          <w:lang w:val="en-US" w:eastAsia="zh-CN"/>
        </w:rPr>
      </w:pPr>
      <w:r>
        <w:rPr>
          <w:rFonts w:hint="eastAsia" w:ascii="楷体_GB2312" w:hAnsi="黑体" w:eastAsia="楷体_GB2312"/>
          <w:color w:val="auto"/>
          <w:sz w:val="32"/>
          <w:szCs w:val="32"/>
          <w:lang w:val="en-US" w:eastAsia="zh-CN"/>
        </w:rPr>
        <w:t>（五）申报程序</w:t>
      </w:r>
    </w:p>
    <w:p>
      <w:pPr>
        <w:spacing w:line="576" w:lineRule="exact"/>
        <w:ind w:firstLine="640" w:firstLineChars="200"/>
        <w:rPr>
          <w:rFonts w:hint="eastAsia" w:ascii="黑体" w:hAnsi="黑体" w:eastAsia="黑体"/>
          <w:color w:val="auto"/>
          <w:sz w:val="32"/>
          <w:szCs w:val="32"/>
          <w:lang w:val="en-US" w:eastAsia="zh-CN"/>
        </w:rPr>
      </w:pPr>
      <w:r>
        <w:rPr>
          <w:rFonts w:hint="eastAsia" w:ascii="仿宋_GB2312" w:eastAsia="仿宋_GB2312"/>
          <w:color w:val="auto"/>
          <w:sz w:val="32"/>
          <w:szCs w:val="32"/>
        </w:rPr>
        <w:t>户申请</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村评议</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乡镇审核</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县级审批</w:t>
      </w:r>
      <w:r>
        <w:rPr>
          <w:rFonts w:hint="eastAsia" w:ascii="仿宋_GB2312" w:eastAsia="仿宋_GB2312"/>
          <w:color w:val="auto"/>
          <w:sz w:val="32"/>
          <w:szCs w:val="32"/>
          <w:lang w:eastAsia="zh-CN"/>
        </w:rPr>
        <w:t>；</w:t>
      </w:r>
      <w:r>
        <w:rPr>
          <w:rFonts w:hint="eastAsia" w:ascii="仿宋_GB2312" w:eastAsia="仿宋_GB2312"/>
          <w:color w:val="auto"/>
          <w:sz w:val="32"/>
          <w:szCs w:val="32"/>
        </w:rPr>
        <w:t>补助对象基本信息和审查结果</w:t>
      </w:r>
      <w:r>
        <w:rPr>
          <w:rFonts w:hint="eastAsia" w:ascii="仿宋_GB2312" w:eastAsia="仿宋_GB2312"/>
          <w:color w:val="auto"/>
          <w:sz w:val="32"/>
          <w:szCs w:val="32"/>
          <w:lang w:eastAsia="zh-CN"/>
        </w:rPr>
        <w:t>应在</w:t>
      </w:r>
      <w:r>
        <w:rPr>
          <w:rFonts w:hint="eastAsia" w:ascii="仿宋_GB2312" w:eastAsia="仿宋_GB2312"/>
          <w:color w:val="auto"/>
          <w:sz w:val="32"/>
          <w:szCs w:val="32"/>
        </w:rPr>
        <w:t>在村务公开栏公示。</w:t>
      </w:r>
    </w:p>
    <w:p>
      <w:pPr>
        <w:numPr>
          <w:ilvl w:val="0"/>
          <w:numId w:val="2"/>
        </w:numPr>
        <w:spacing w:line="576" w:lineRule="exact"/>
        <w:ind w:firstLine="640" w:firstLineChars="200"/>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保障措施</w:t>
      </w:r>
    </w:p>
    <w:p>
      <w:pPr>
        <w:pStyle w:val="2"/>
        <w:numPr>
          <w:ilvl w:val="0"/>
          <w:numId w:val="0"/>
        </w:numPr>
        <w:ind w:firstLine="620" w:firstLineChars="200"/>
        <w:rPr>
          <w:rFonts w:hint="eastAsia"/>
          <w:lang w:val="en-US" w:eastAsia="zh-CN"/>
        </w:rPr>
      </w:pPr>
      <w:r>
        <w:rPr>
          <w:rFonts w:hint="eastAsia"/>
          <w:lang w:val="en-US" w:eastAsia="zh-CN"/>
        </w:rPr>
        <w:t>（一）加强危房改造实施管理</w:t>
      </w:r>
    </w:p>
    <w:p>
      <w:pPr>
        <w:pStyle w:val="2"/>
        <w:numPr>
          <w:ilvl w:val="0"/>
          <w:numId w:val="0"/>
        </w:numPr>
        <w:ind w:firstLine="640" w:firstLineChars="200"/>
        <w:rPr>
          <w:rFonts w:hint="eastAsia"/>
          <w:lang w:val="en-US" w:eastAsia="zh-CN"/>
        </w:rPr>
      </w:pPr>
      <w:r>
        <w:rPr>
          <w:rFonts w:hint="eastAsia" w:ascii="仿宋_GB2312" w:hAnsi="仿宋_GB2312" w:eastAsia="仿宋_GB2312" w:cs="仿宋_GB2312"/>
          <w:color w:val="000000"/>
          <w:spacing w:val="0"/>
          <w:w w:val="100"/>
          <w:sz w:val="32"/>
          <w:szCs w:val="32"/>
        </w:rPr>
        <w:t>健全动态监测机制</w:t>
      </w:r>
      <w:r>
        <w:rPr>
          <w:rFonts w:hint="eastAsia" w:ascii="仿宋_GB2312" w:hAnsi="仿宋_GB2312" w:cs="仿宋_GB2312"/>
          <w:color w:val="000000"/>
          <w:spacing w:val="0"/>
          <w:w w:val="100"/>
          <w:sz w:val="32"/>
          <w:szCs w:val="32"/>
          <w:lang w:eastAsia="zh-CN"/>
        </w:rPr>
        <w:t>，</w:t>
      </w:r>
      <w:r>
        <w:rPr>
          <w:rFonts w:hint="eastAsia" w:ascii="仿宋_GB2312" w:hAnsi="仿宋_GB2312" w:eastAsia="仿宋_GB2312" w:cs="仿宋_GB2312"/>
          <w:color w:val="000000"/>
          <w:spacing w:val="0"/>
          <w:w w:val="100"/>
          <w:sz w:val="32"/>
          <w:szCs w:val="32"/>
          <w:lang w:eastAsia="zh-CN"/>
        </w:rPr>
        <w:t>县住房和城乡建设局</w:t>
      </w:r>
      <w:r>
        <w:rPr>
          <w:rFonts w:hint="eastAsia" w:ascii="仿宋_GB2312" w:hAnsi="仿宋_GB2312" w:eastAsia="仿宋_GB2312" w:cs="仿宋_GB2312"/>
          <w:color w:val="000000"/>
          <w:spacing w:val="0"/>
          <w:w w:val="100"/>
          <w:sz w:val="32"/>
          <w:szCs w:val="32"/>
        </w:rPr>
        <w:t>与乡村振兴（扶贫）、民政等部门加强协调联动和数据互通共享，健全完善农村低收入群体等重点对象住房安全动态监测机制。</w:t>
      </w:r>
    </w:p>
    <w:p>
      <w:pPr>
        <w:spacing w:line="576" w:lineRule="exact"/>
        <w:ind w:firstLine="640" w:firstLineChars="200"/>
        <w:rPr>
          <w:rFonts w:hint="eastAsia" w:ascii="楷体_GB2312" w:hAnsi="黑体" w:eastAsia="楷体_GB2312"/>
          <w:color w:val="auto"/>
          <w:sz w:val="32"/>
          <w:szCs w:val="32"/>
          <w:lang w:val="en-US" w:eastAsia="zh-CN"/>
        </w:rPr>
      </w:pPr>
      <w:r>
        <w:rPr>
          <w:rFonts w:hint="eastAsia" w:ascii="楷体_GB2312" w:hAnsi="黑体" w:eastAsia="楷体_GB2312"/>
          <w:color w:val="auto"/>
          <w:sz w:val="32"/>
          <w:szCs w:val="32"/>
          <w:lang w:val="en-US" w:eastAsia="zh-CN"/>
        </w:rPr>
        <w:t>（二）加强质量管理</w:t>
      </w:r>
    </w:p>
    <w:p>
      <w:pPr>
        <w:pStyle w:val="8"/>
        <w:keepNext w:val="0"/>
        <w:keepLines w:val="0"/>
        <w:pageBreakBefore w:val="0"/>
        <w:widowControl w:val="0"/>
        <w:numPr>
          <w:ilvl w:val="0"/>
          <w:numId w:val="0"/>
        </w:numPr>
        <w:tabs>
          <w:tab w:val="left" w:pos="1355"/>
        </w:tabs>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严格执行《住房城乡建设部办公厅关于印发农村危房改造基本安全技术导则的通知》（建办村(函2018 ] 172号），确保改造后房屋质量安全。要进一步加强乡村建设管理与技术力量，确保农房建管落实到位。要加强施工现场巡查与指导监督，及时发现问题并督促整改，指导做好竣工验收，确保改造后的房屋符合安全要求。</w:t>
      </w:r>
    </w:p>
    <w:p>
      <w:pPr>
        <w:numPr>
          <w:ilvl w:val="0"/>
          <w:numId w:val="0"/>
        </w:numPr>
        <w:spacing w:line="576" w:lineRule="exact"/>
        <w:ind w:firstLine="640" w:firstLineChars="200"/>
        <w:rPr>
          <w:rFonts w:hint="eastAsia" w:ascii="仿宋_GB2312" w:eastAsia="仿宋_GB2312"/>
          <w:color w:val="auto"/>
          <w:sz w:val="32"/>
          <w:szCs w:val="32"/>
          <w:lang w:val="en-US" w:eastAsia="zh-CN"/>
        </w:rPr>
      </w:pPr>
      <w:r>
        <w:rPr>
          <w:rFonts w:hint="eastAsia" w:ascii="楷体_GB2312" w:hAnsi="黑体" w:eastAsia="楷体_GB2312"/>
          <w:color w:val="auto"/>
          <w:sz w:val="32"/>
          <w:szCs w:val="32"/>
          <w:lang w:val="en-US" w:eastAsia="zh-CN"/>
        </w:rPr>
        <w:t>（三）</w:t>
      </w:r>
      <w:r>
        <w:rPr>
          <w:rFonts w:hint="eastAsia" w:ascii="楷体_GB2312" w:hAnsi="黑体" w:eastAsia="楷体_GB2312"/>
          <w:color w:val="auto"/>
          <w:sz w:val="32"/>
          <w:szCs w:val="32"/>
        </w:rPr>
        <w:t>强化档案信息系统管理</w:t>
      </w:r>
    </w:p>
    <w:p>
      <w:pPr>
        <w:numPr>
          <w:ilvl w:val="0"/>
          <w:numId w:val="0"/>
        </w:numPr>
        <w:spacing w:line="576"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严格执行“一户一档”的农村危房改造农户档案管理制度，加强对信息系统中已录入信息的管理和检查。</w:t>
      </w:r>
    </w:p>
    <w:p>
      <w:pPr>
        <w:numPr>
          <w:ilvl w:val="0"/>
          <w:numId w:val="0"/>
        </w:numPr>
        <w:spacing w:line="576" w:lineRule="exact"/>
        <w:rPr>
          <w:rFonts w:hint="eastAsia" w:ascii="楷体_GB2312" w:hAnsi="黑体" w:eastAsia="楷体_GB2312"/>
          <w:color w:val="auto"/>
          <w:sz w:val="32"/>
          <w:szCs w:val="32"/>
          <w:lang w:val="en-US" w:eastAsia="zh-CN"/>
        </w:rPr>
      </w:pPr>
      <w:r>
        <w:rPr>
          <w:rFonts w:hint="eastAsia" w:ascii="楷体_GB2312" w:hAnsi="黑体" w:eastAsia="楷体_GB2312"/>
          <w:color w:val="auto"/>
          <w:sz w:val="32"/>
          <w:szCs w:val="32"/>
          <w:lang w:val="en-US" w:eastAsia="zh-CN"/>
        </w:rPr>
        <w:t xml:space="preserve">    （四）加强竣工验收管理</w:t>
      </w:r>
    </w:p>
    <w:p>
      <w:pPr>
        <w:spacing w:line="576" w:lineRule="exact"/>
        <w:ind w:firstLine="640" w:firstLineChars="200"/>
        <w:rPr>
          <w:rFonts w:hint="eastAsia" w:ascii="楷体_GB2312" w:hAnsi="黑体" w:eastAsia="楷体_GB2312"/>
          <w:color w:val="auto"/>
          <w:sz w:val="32"/>
          <w:szCs w:val="32"/>
          <w:lang w:val="en-US" w:eastAsia="zh-CN"/>
        </w:rPr>
      </w:pPr>
      <w:r>
        <w:rPr>
          <w:rFonts w:hint="eastAsia" w:ascii="仿宋_GB2312" w:eastAsia="仿宋_GB2312"/>
          <w:color w:val="auto"/>
          <w:sz w:val="32"/>
          <w:szCs w:val="32"/>
        </w:rPr>
        <w:t>危房改造竣工后，应及时组织验收。验收重点包括补助对象确定、工程完成、工程质量、档案资料等。</w:t>
      </w:r>
    </w:p>
    <w:p>
      <w:pPr>
        <w:numPr>
          <w:ilvl w:val="0"/>
          <w:numId w:val="0"/>
        </w:numPr>
        <w:spacing w:line="576" w:lineRule="exact"/>
        <w:ind w:leftChars="200" w:firstLine="320" w:firstLineChars="100"/>
        <w:rPr>
          <w:rFonts w:hint="eastAsia" w:ascii="楷体_GB2312" w:hAnsi="黑体" w:eastAsia="楷体_GB2312"/>
          <w:color w:val="auto"/>
          <w:sz w:val="32"/>
          <w:szCs w:val="32"/>
          <w:lang w:val="en-US" w:eastAsia="zh-CN"/>
        </w:rPr>
      </w:pPr>
      <w:r>
        <w:rPr>
          <w:rFonts w:hint="eastAsia" w:ascii="楷体_GB2312" w:hAnsi="黑体" w:eastAsia="楷体_GB2312"/>
          <w:color w:val="auto"/>
          <w:sz w:val="32"/>
          <w:szCs w:val="32"/>
          <w:lang w:val="en-US" w:eastAsia="zh-CN"/>
        </w:rPr>
        <w:t>（五）严格资金管理</w:t>
      </w:r>
    </w:p>
    <w:p>
      <w:pPr>
        <w:spacing w:line="576"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加强危房改造补助资金使用情况的监督管理。</w:t>
      </w:r>
      <w:r>
        <w:rPr>
          <w:rFonts w:hint="eastAsia" w:ascii="仿宋_GB2312" w:eastAsia="仿宋_GB2312"/>
          <w:color w:val="auto"/>
          <w:sz w:val="32"/>
          <w:szCs w:val="32"/>
          <w:lang w:val="en-US" w:eastAsia="zh-CN"/>
        </w:rPr>
        <w:t>一是</w:t>
      </w:r>
      <w:r>
        <w:rPr>
          <w:rFonts w:hint="eastAsia" w:ascii="仿宋_GB2312" w:eastAsia="仿宋_GB2312"/>
          <w:color w:val="auto"/>
          <w:sz w:val="32"/>
          <w:szCs w:val="32"/>
        </w:rPr>
        <w:t>不得将补助资金用于与基本住房安全保障无关的支出，不得在补助资金中提取工作经费。</w:t>
      </w:r>
      <w:r>
        <w:rPr>
          <w:rFonts w:hint="eastAsia" w:ascii="仿宋_GB2312" w:eastAsia="仿宋_GB2312"/>
          <w:color w:val="auto"/>
          <w:sz w:val="32"/>
          <w:szCs w:val="32"/>
          <w:lang w:val="en-US" w:eastAsia="zh-CN"/>
        </w:rPr>
        <w:t>二是拨付补助资金及时，</w:t>
      </w:r>
      <w:r>
        <w:rPr>
          <w:rFonts w:hint="eastAsia" w:ascii="仿宋_GB2312" w:eastAsia="仿宋_GB2312"/>
          <w:sz w:val="32"/>
          <w:szCs w:val="32"/>
        </w:rPr>
        <w:t>应当根据实际情况分阶段按比例足额支付到农户“一卡通”账户，支持时间不应晚于竣工验收后30日</w:t>
      </w:r>
      <w:r>
        <w:rPr>
          <w:rFonts w:hint="eastAsia" w:ascii="仿宋_GB2312" w:eastAsia="仿宋_GB2312"/>
          <w:sz w:val="32"/>
          <w:szCs w:val="32"/>
          <w:lang w:eastAsia="zh-CN"/>
        </w:rPr>
        <w:t>，</w:t>
      </w:r>
      <w:r>
        <w:rPr>
          <w:rFonts w:hint="eastAsia" w:ascii="仿宋_GB2312" w:eastAsia="仿宋_GB2312"/>
          <w:color w:val="auto"/>
          <w:sz w:val="32"/>
          <w:szCs w:val="32"/>
          <w:lang w:val="en-US" w:eastAsia="zh-CN"/>
        </w:rPr>
        <w:t>防止挤占挪用和滞留。三是防止套取骗取、重复申领补助资金及基层工作人员吃拿卡要、索要好处费</w:t>
      </w:r>
      <w:r>
        <w:rPr>
          <w:rFonts w:hint="eastAsia" w:ascii="仿宋_GB2312" w:eastAsia="仿宋_GB2312"/>
          <w:color w:val="auto"/>
          <w:sz w:val="32"/>
          <w:szCs w:val="32"/>
        </w:rPr>
        <w:t>。</w:t>
      </w:r>
    </w:p>
    <w:p>
      <w:pPr>
        <w:spacing w:line="576" w:lineRule="exact"/>
        <w:ind w:firstLine="640" w:firstLineChars="200"/>
        <w:rPr>
          <w:rFonts w:hint="eastAsia" w:ascii="楷体_GB2312" w:hAnsi="黑体" w:eastAsia="楷体_GB2312"/>
          <w:color w:val="auto"/>
          <w:sz w:val="32"/>
          <w:szCs w:val="32"/>
          <w:lang w:val="en-US" w:eastAsia="zh-CN"/>
        </w:rPr>
      </w:pPr>
      <w:r>
        <w:rPr>
          <w:rFonts w:hint="eastAsia" w:ascii="楷体_GB2312" w:hAnsi="黑体" w:eastAsia="楷体_GB2312"/>
          <w:color w:val="auto"/>
          <w:sz w:val="32"/>
          <w:szCs w:val="32"/>
          <w:lang w:val="en-US" w:eastAsia="zh-CN"/>
        </w:rPr>
        <w:t>（六）广泛宣传</w:t>
      </w:r>
    </w:p>
    <w:p>
      <w:pPr>
        <w:spacing w:line="576" w:lineRule="exact"/>
        <w:ind w:firstLine="640" w:firstLineChars="200"/>
        <w:rPr>
          <w:rFonts w:hint="eastAsia" w:ascii="仿宋_GB2312" w:eastAsia="仿宋_GB2312"/>
          <w:color w:val="auto"/>
          <w:sz w:val="32"/>
          <w:szCs w:val="32"/>
          <w:lang w:val="en-US" w:eastAsia="zh-CN"/>
        </w:rPr>
      </w:pPr>
      <w:r>
        <w:rPr>
          <w:rFonts w:hint="eastAsia" w:ascii="华文仿宋" w:hAnsi="华文仿宋" w:eastAsia="华文仿宋"/>
          <w:sz w:val="32"/>
          <w:szCs w:val="32"/>
          <w:lang w:val="en-US" w:eastAsia="zh-CN"/>
        </w:rPr>
        <w:t>结</w:t>
      </w:r>
      <w:r>
        <w:rPr>
          <w:rFonts w:hint="eastAsia" w:ascii="仿宋_GB2312" w:eastAsia="仿宋_GB2312"/>
          <w:color w:val="auto"/>
          <w:sz w:val="32"/>
          <w:szCs w:val="32"/>
          <w:lang w:val="en-US" w:eastAsia="zh-CN"/>
        </w:rPr>
        <w:t>合脱</w:t>
      </w:r>
      <w:bookmarkStart w:id="0" w:name="_GoBack"/>
      <w:bookmarkEnd w:id="0"/>
      <w:r>
        <w:rPr>
          <w:rFonts w:hint="eastAsia" w:ascii="仿宋_GB2312" w:eastAsia="仿宋_GB2312"/>
          <w:color w:val="auto"/>
          <w:sz w:val="32"/>
          <w:szCs w:val="32"/>
          <w:lang w:val="en-US" w:eastAsia="zh-CN"/>
        </w:rPr>
        <w:t>贫攻坚，做好危房改造政策宣传，充分发挥各类媒体作用，采取群众喜闻乐见的方式，大力开展政策宣传，使农村危房改造政策家喻户晓。</w:t>
      </w:r>
    </w:p>
    <w:p>
      <w:pPr>
        <w:spacing w:line="576" w:lineRule="exact"/>
        <w:ind w:firstLine="640" w:firstLineChars="200"/>
        <w:rPr>
          <w:rFonts w:hint="eastAsia" w:ascii="楷体_GB2312" w:hAnsi="黑体" w:eastAsia="楷体_GB2312"/>
          <w:color w:val="auto"/>
          <w:sz w:val="32"/>
          <w:szCs w:val="32"/>
          <w:lang w:val="en-US" w:eastAsia="zh-CN"/>
        </w:rPr>
      </w:pPr>
    </w:p>
    <w:p>
      <w:pPr>
        <w:spacing w:line="576" w:lineRule="exact"/>
        <w:ind w:firstLine="640" w:firstLineChars="200"/>
        <w:rPr>
          <w:rFonts w:hint="eastAsia" w:ascii="仿宋" w:hAnsi="仿宋" w:eastAsia="仿宋" w:cs="仿宋"/>
          <w:b w:val="0"/>
          <w:i w:val="0"/>
          <w:caps w:val="0"/>
          <w:color w:val="000000"/>
          <w:spacing w:val="0"/>
          <w:sz w:val="31"/>
          <w:szCs w:val="31"/>
          <w:shd w:val="clear" w:fill="FFFFFF"/>
          <w:lang w:val="en-US" w:eastAsia="zh-CN"/>
        </w:rPr>
      </w:pPr>
      <w:r>
        <w:rPr>
          <w:rFonts w:hint="eastAsia" w:ascii="楷体_GB2312" w:hAnsi="黑体" w:eastAsia="楷体_GB2312"/>
          <w:color w:val="auto"/>
          <w:sz w:val="32"/>
          <w:szCs w:val="32"/>
          <w:lang w:val="en-US" w:eastAsia="zh-CN"/>
        </w:rPr>
        <w:t xml:space="preserve"> </w:t>
      </w:r>
      <w:r>
        <w:rPr>
          <w:rFonts w:hint="eastAsia" w:ascii="楷体_GB2312" w:hAnsi="黑体" w:eastAsia="楷体_GB2312"/>
          <w:color w:val="auto"/>
          <w:sz w:val="32"/>
          <w:szCs w:val="32"/>
          <w:lang w:val="en-US" w:eastAsia="zh-CN"/>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67D822"/>
    <w:multiLevelType w:val="singleLevel"/>
    <w:tmpl w:val="0567D822"/>
    <w:lvl w:ilvl="0" w:tentative="0">
      <w:start w:val="3"/>
      <w:numFmt w:val="chineseCounting"/>
      <w:suff w:val="nothing"/>
      <w:lvlText w:val="%1、"/>
      <w:lvlJc w:val="left"/>
      <w:rPr>
        <w:rFonts w:hint="eastAsia"/>
      </w:rPr>
    </w:lvl>
  </w:abstractNum>
  <w:abstractNum w:abstractNumId="1">
    <w:nsid w:val="3C09EEA2"/>
    <w:multiLevelType w:val="singleLevel"/>
    <w:tmpl w:val="3C09EEA2"/>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yOTFmMTE0N2ZmYjI2NmY3ODI5ZDJmNTkyOTFmNTIifQ=="/>
  </w:docVars>
  <w:rsids>
    <w:rsidRoot w:val="52AC20C2"/>
    <w:rsid w:val="2ACD0304"/>
    <w:rsid w:val="3EC913AE"/>
    <w:rsid w:val="46657A0D"/>
    <w:rsid w:val="4C674E09"/>
    <w:rsid w:val="56B87E92"/>
    <w:rsid w:val="5D715317"/>
    <w:rsid w:val="688652A2"/>
    <w:rsid w:val="6D535020"/>
    <w:rsid w:val="70560F91"/>
    <w:rsid w:val="707C47F7"/>
    <w:rsid w:val="72D55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ind w:left="515" w:right="429"/>
      <w:jc w:val="center"/>
      <w:outlineLvl w:val="1"/>
    </w:pPr>
    <w:rPr>
      <w:rFonts w:ascii="宋体" w:hAnsi="宋体" w:eastAsia="宋体" w:cs="宋体"/>
      <w:sz w:val="42"/>
      <w:szCs w:val="42"/>
    </w:rPr>
  </w:style>
  <w:style w:type="paragraph" w:styleId="4">
    <w:name w:val="heading 2"/>
    <w:basedOn w:val="1"/>
    <w:next w:val="1"/>
    <w:qFormat/>
    <w:uiPriority w:val="1"/>
    <w:pPr>
      <w:ind w:left="398"/>
      <w:outlineLvl w:val="2"/>
    </w:pPr>
    <w:rPr>
      <w:rFonts w:ascii="宋体" w:hAnsi="宋体" w:eastAsia="宋体" w:cs="宋体"/>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_Style 2"/>
    <w:basedOn w:val="1"/>
    <w:qFormat/>
    <w:uiPriority w:val="99"/>
    <w:pPr>
      <w:spacing w:line="351" w:lineRule="atLeast"/>
      <w:ind w:firstLine="623"/>
      <w:textAlignment w:val="baseline"/>
    </w:pPr>
    <w:rPr>
      <w:rFonts w:ascii="Times New Roman" w:hAnsi="Times New Roman" w:eastAsia="仿宋_GB2312" w:cs="Times New Roman"/>
      <w:color w:val="000000"/>
      <w:sz w:val="31"/>
      <w:szCs w:val="31"/>
    </w:rPr>
  </w:style>
  <w:style w:type="paragraph" w:styleId="5">
    <w:name w:val="footnote text"/>
    <w:basedOn w:val="1"/>
    <w:semiHidden/>
    <w:qFormat/>
    <w:uiPriority w:val="0"/>
    <w:pPr>
      <w:snapToGrid w:val="0"/>
      <w:jc w:val="left"/>
    </w:pPr>
    <w:rPr>
      <w:sz w:val="18"/>
      <w:szCs w:val="18"/>
    </w:rPr>
  </w:style>
  <w:style w:type="paragraph" w:styleId="8">
    <w:name w:val="List Paragraph"/>
    <w:basedOn w:val="1"/>
    <w:qFormat/>
    <w:uiPriority w:val="1"/>
    <w:pPr>
      <w:ind w:left="390" w:right="893" w:hanging="295"/>
    </w:pPr>
    <w:rPr>
      <w:rFonts w:ascii="宋体" w:hAnsi="宋体" w:eastAsia="宋体"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2018-06-19T06:31:00Z</dcterms:created>
  <dc:creator>姗.姗</dc:creator>
  <cp:lastModifiedBy>朱浩</cp:lastModifiedBy>
  <dcterms:modified xsi:type="dcterms:W3CDTF">2023-08-14T02:21:05Z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138D2093F9AA4D78B04ECFB6A3E4988F_13</vt:lpwstr>
  </property>
</Properties>
</file>