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黑体" w:hAnsi="黑体" w:eastAsia="黑体"/>
          <w:szCs w:val="32"/>
        </w:rPr>
      </w:pPr>
      <w:bookmarkStart w:id="0" w:name="_GoBack"/>
      <w:r>
        <w:rPr>
          <w:rFonts w:hint="eastAsia" w:ascii="黑体" w:hAnsi="黑体" w:eastAsia="黑体"/>
          <w:szCs w:val="32"/>
          <w:lang w:eastAsia="zh-CN"/>
        </w:rPr>
        <w:t>萧县</w:t>
      </w:r>
      <w:r>
        <w:rPr>
          <w:rFonts w:hint="eastAsia" w:ascii="黑体" w:hAnsi="黑体" w:eastAsia="黑体"/>
          <w:szCs w:val="32"/>
          <w:lang w:val="en-US" w:eastAsia="zh-CN"/>
        </w:rPr>
        <w:t>城市管理局</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w:t>
      </w:r>
      <w:r>
        <w:rPr>
          <w:rFonts w:hint="eastAsia" w:ascii="黑体" w:hAnsi="黑体" w:eastAsia="黑体"/>
          <w:szCs w:val="32"/>
          <w:lang w:val="en-US" w:eastAsia="zh-CN"/>
        </w:rPr>
        <w:t>部门</w:t>
      </w:r>
      <w:r>
        <w:rPr>
          <w:rFonts w:hint="eastAsia" w:ascii="黑体" w:hAnsi="黑体" w:eastAsia="黑体"/>
          <w:szCs w:val="32"/>
        </w:rPr>
        <w:t>一般公共预算财政拨款</w:t>
      </w:r>
      <w:r>
        <w:rPr>
          <w:rFonts w:ascii="黑体" w:hAnsi="黑体" w:eastAsia="黑体"/>
          <w:szCs w:val="32"/>
        </w:rPr>
        <w:t>“三公</w:t>
      </w:r>
      <w:r>
        <w:rPr>
          <w:rFonts w:hint="eastAsia" w:ascii="黑体" w:hAnsi="黑体" w:eastAsia="黑体"/>
          <w:szCs w:val="32"/>
        </w:rPr>
        <w:t>”</w:t>
      </w:r>
      <w:r>
        <w:rPr>
          <w:rFonts w:ascii="黑体" w:hAnsi="黑体" w:eastAsia="黑体"/>
          <w:szCs w:val="32"/>
        </w:rPr>
        <w:t>经费</w:t>
      </w:r>
      <w:r>
        <w:rPr>
          <w:rFonts w:hint="eastAsia" w:ascii="黑体" w:hAnsi="黑体" w:eastAsia="黑体"/>
          <w:szCs w:val="32"/>
        </w:rPr>
        <w:t>支出决算</w:t>
      </w:r>
    </w:p>
    <w:bookmarkEnd w:id="0"/>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一、2022年度一般公共预算财政拨款“三公”经费支出决算表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right"/>
              <w:rPr>
                <w:rFonts w:ascii="宋体" w:hAnsi="宋体" w:cs="宋体"/>
                <w:b/>
                <w:bCs/>
                <w:kern w:val="0"/>
                <w:szCs w:val="21"/>
              </w:rPr>
            </w:pPr>
            <w:r>
              <w:rPr>
                <w:rFonts w:hint="eastAsia" w:ascii="宋体" w:hAnsi="宋体" w:cs="宋体"/>
                <w:b/>
                <w:bCs/>
                <w:kern w:val="0"/>
                <w:szCs w:val="21"/>
                <w:lang w:val="en-US" w:eastAsia="zh-CN"/>
              </w:rPr>
              <w:t>36.3</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vAlign w:val="center"/>
          </w:tcPr>
          <w:p>
            <w:pPr>
              <w:widowControl/>
              <w:jc w:val="right"/>
              <w:rPr>
                <w:rFonts w:ascii="宋体" w:hAnsi="宋体" w:cs="宋体"/>
                <w:b/>
                <w:bCs/>
                <w:kern w:val="0"/>
                <w:szCs w:val="21"/>
              </w:rPr>
            </w:pPr>
            <w:r>
              <w:rPr>
                <w:rFonts w:hint="eastAsia" w:ascii="宋体" w:hAnsi="宋体" w:cs="宋体"/>
                <w:b/>
                <w:bCs/>
                <w:kern w:val="0"/>
                <w:szCs w:val="21"/>
                <w:lang w:val="en-US" w:eastAsia="zh-CN"/>
              </w:rPr>
              <w:t>56.17</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rPr>
              <w:t>　0.00</w:t>
            </w:r>
          </w:p>
        </w:tc>
        <w:tc>
          <w:tcPr>
            <w:tcW w:w="2220"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5.82</w:t>
            </w: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26.3</w:t>
            </w: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50.36</w:t>
            </w: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26.3</w:t>
            </w: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lang w:val="en-US" w:eastAsia="zh-CN"/>
              </w:rPr>
              <w:t>50.36</w:t>
            </w: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rPr>
              <w:t>　0.00　</w:t>
            </w:r>
          </w:p>
        </w:tc>
        <w:tc>
          <w:tcPr>
            <w:tcW w:w="2220" w:type="dxa"/>
            <w:tcBorders>
              <w:top w:val="nil"/>
              <w:left w:val="nil"/>
              <w:bottom w:val="single" w:color="auto" w:sz="4" w:space="0"/>
              <w:right w:val="single" w:color="auto" w:sz="4" w:space="0"/>
            </w:tcBorders>
            <w:vAlign w:val="bottom"/>
          </w:tcPr>
          <w:p>
            <w:pPr>
              <w:widowControl/>
              <w:jc w:val="right"/>
              <w:rPr>
                <w:rFonts w:ascii="宋体" w:hAnsi="宋体" w:cs="宋体"/>
                <w:kern w:val="0"/>
                <w:szCs w:val="21"/>
              </w:rPr>
            </w:pPr>
            <w:r>
              <w:rPr>
                <w:rFonts w:hint="eastAsia" w:ascii="宋体" w:hAnsi="宋体" w:cs="宋体"/>
                <w:kern w:val="0"/>
                <w:szCs w:val="21"/>
              </w:rPr>
              <w:t>　0.00　</w:t>
            </w:r>
          </w:p>
        </w:tc>
      </w:tr>
    </w:tbl>
    <w:p>
      <w:pPr>
        <w:spacing w:line="300" w:lineRule="exact"/>
        <w:rPr>
          <w:rFonts w:ascii="仿宋_GB2312" w:hAnsi="仿宋"/>
          <w:sz w:val="21"/>
          <w:szCs w:val="21"/>
        </w:rPr>
      </w:pPr>
    </w:p>
    <w:p>
      <w:pPr>
        <w:spacing w:line="300" w:lineRule="exact"/>
        <w:rPr>
          <w:rFonts w:ascii="黑体" w:hAnsi="黑体" w:eastAsia="黑体"/>
          <w:szCs w:val="32"/>
        </w:rPr>
      </w:pPr>
      <w:r>
        <w:rPr>
          <w:rFonts w:hint="eastAsia" w:ascii="仿宋_GB2312" w:hAnsi="仿宋"/>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楷体_GB2312" w:hAnsi="仿宋" w:eastAsia="楷体_GB2312"/>
          <w:szCs w:val="32"/>
        </w:rPr>
      </w:pPr>
      <w:r>
        <w:rPr>
          <w:rFonts w:hint="eastAsia" w:ascii="仿宋_GB2312" w:hAnsi="仿宋"/>
          <w:szCs w:val="32"/>
        </w:rPr>
        <w:t>宿州市</w:t>
      </w:r>
      <w:r>
        <w:rPr>
          <w:rFonts w:hint="eastAsia" w:ascii="仿宋_GB2312" w:hAnsi="仿宋"/>
          <w:szCs w:val="32"/>
          <w:lang w:eastAsia="zh-CN"/>
        </w:rPr>
        <w:t>萧县</w:t>
      </w:r>
      <w:r>
        <w:rPr>
          <w:rFonts w:hint="eastAsia" w:ascii="仿宋_GB2312" w:hAnsi="仿宋"/>
          <w:szCs w:val="32"/>
          <w:lang w:val="en-US" w:eastAsia="zh-CN"/>
        </w:rPr>
        <w:t>城市管理局</w:t>
      </w:r>
      <w:r>
        <w:rPr>
          <w:rFonts w:hint="eastAsia" w:ascii="仿宋_GB2312" w:hAnsi="仿宋"/>
          <w:szCs w:val="32"/>
        </w:rPr>
        <w:t>2022年度</w:t>
      </w:r>
      <w:r>
        <w:rPr>
          <w:rFonts w:hint="eastAsia" w:ascii="仿宋_GB2312" w:hAnsi="仿宋"/>
          <w:szCs w:val="32"/>
          <w:lang w:val="en-US" w:eastAsia="zh-CN"/>
        </w:rPr>
        <w:t>部门</w:t>
      </w:r>
      <w:r>
        <w:rPr>
          <w:rFonts w:hint="eastAsia" w:ascii="仿宋_GB2312" w:hAnsi="仿宋"/>
          <w:szCs w:val="32"/>
        </w:rPr>
        <w:t>一般公共预算财政拨款“三公”经费支出预算为</w:t>
      </w:r>
      <w:r>
        <w:rPr>
          <w:rFonts w:hint="eastAsia" w:ascii="仿宋_GB2312" w:hAnsi="仿宋"/>
          <w:szCs w:val="32"/>
          <w:lang w:val="en-US" w:eastAsia="zh-CN"/>
        </w:rPr>
        <w:t>36.3</w:t>
      </w:r>
      <w:r>
        <w:rPr>
          <w:rFonts w:hint="eastAsia" w:ascii="仿宋_GB2312" w:hAnsi="仿宋"/>
          <w:szCs w:val="32"/>
        </w:rPr>
        <w:t>万元，支出决算为</w:t>
      </w:r>
      <w:r>
        <w:rPr>
          <w:rFonts w:hint="eastAsia" w:ascii="仿宋_GB2312" w:hAnsi="仿宋"/>
          <w:szCs w:val="32"/>
          <w:lang w:val="en-US" w:eastAsia="zh-CN"/>
        </w:rPr>
        <w:t>56.17</w:t>
      </w:r>
      <w:r>
        <w:rPr>
          <w:rFonts w:hint="eastAsia" w:ascii="仿宋_GB2312" w:hAnsi="仿宋"/>
          <w:szCs w:val="32"/>
        </w:rPr>
        <w:t>万元，完成预算的</w:t>
      </w:r>
      <w:r>
        <w:rPr>
          <w:rFonts w:hint="eastAsia" w:ascii="仿宋_GB2312" w:hAnsi="仿宋"/>
          <w:szCs w:val="32"/>
          <w:lang w:val="en-US" w:eastAsia="zh-CN"/>
        </w:rPr>
        <w:t>155</w:t>
      </w:r>
      <w:r>
        <w:rPr>
          <w:rFonts w:hint="eastAsia" w:ascii="仿宋_GB2312" w:hAnsi="仿宋"/>
          <w:szCs w:val="32"/>
        </w:rPr>
        <w:t>%；较上年增加</w:t>
      </w:r>
      <w:r>
        <w:rPr>
          <w:rFonts w:hint="eastAsia" w:ascii="仿宋_GB2312" w:hAnsi="仿宋"/>
          <w:szCs w:val="32"/>
          <w:lang w:val="en-US" w:eastAsia="zh-CN"/>
        </w:rPr>
        <w:t>19.39</w:t>
      </w:r>
      <w:r>
        <w:rPr>
          <w:rFonts w:hint="eastAsia" w:ascii="仿宋_GB2312" w:hAnsi="仿宋"/>
          <w:szCs w:val="32"/>
        </w:rPr>
        <w:t>万元，增长</w:t>
      </w:r>
      <w:r>
        <w:rPr>
          <w:rFonts w:hint="eastAsia" w:ascii="仿宋_GB2312" w:hAnsi="仿宋"/>
          <w:szCs w:val="32"/>
          <w:lang w:val="en-US" w:eastAsia="zh-CN"/>
        </w:rPr>
        <w:t>52.72</w:t>
      </w:r>
      <w:r>
        <w:rPr>
          <w:rFonts w:hint="eastAsia" w:ascii="仿宋_GB2312" w:hAnsi="仿宋"/>
          <w:szCs w:val="32"/>
        </w:rPr>
        <w:t>%。决算数大于预算数的主要原因是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。决算数较上年增加的主要原因是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宿州市</w:t>
      </w:r>
      <w:r>
        <w:rPr>
          <w:rFonts w:hint="eastAsia" w:ascii="仿宋_GB2312" w:hAnsi="仿宋"/>
          <w:szCs w:val="32"/>
          <w:lang w:eastAsia="zh-CN"/>
        </w:rPr>
        <w:t>萧县</w:t>
      </w:r>
      <w:r>
        <w:rPr>
          <w:rFonts w:hint="eastAsia" w:ascii="仿宋_GB2312" w:hAnsi="仿宋"/>
          <w:szCs w:val="32"/>
          <w:lang w:val="en-US" w:eastAsia="zh-CN"/>
        </w:rPr>
        <w:t>城市管理局</w:t>
      </w:r>
      <w:r>
        <w:rPr>
          <w:rFonts w:hint="eastAsia" w:ascii="仿宋_GB2312" w:hAnsi="仿宋"/>
          <w:szCs w:val="32"/>
        </w:rPr>
        <w:t>2022年度</w:t>
      </w:r>
      <w:r>
        <w:rPr>
          <w:rFonts w:hint="eastAsia" w:ascii="仿宋_GB2312" w:hAnsi="仿宋"/>
          <w:szCs w:val="32"/>
          <w:lang w:val="en-US" w:eastAsia="zh-CN"/>
        </w:rPr>
        <w:t>部门</w:t>
      </w:r>
      <w:r>
        <w:rPr>
          <w:rFonts w:hint="eastAsia" w:ascii="仿宋_GB2312" w:hAnsi="仿宋"/>
          <w:szCs w:val="32"/>
        </w:rPr>
        <w:t>一般公共预算财政拨款“三公”经费支出决算中，因公出国（境）费支出决算0万元，占0%;公务接待费支出决算</w:t>
      </w:r>
      <w:r>
        <w:rPr>
          <w:rFonts w:hint="eastAsia" w:ascii="仿宋_GB2312" w:hAnsi="仿宋"/>
          <w:szCs w:val="32"/>
          <w:lang w:val="en-US" w:eastAsia="zh-CN"/>
        </w:rPr>
        <w:t>5.82</w:t>
      </w:r>
      <w:r>
        <w:rPr>
          <w:rFonts w:hint="eastAsia" w:ascii="仿宋_GB2312" w:hAnsi="仿宋"/>
          <w:szCs w:val="32"/>
        </w:rPr>
        <w:t>万元，占</w:t>
      </w:r>
      <w:r>
        <w:rPr>
          <w:rFonts w:hint="eastAsia" w:ascii="仿宋_GB2312" w:hAnsi="仿宋"/>
          <w:szCs w:val="32"/>
          <w:lang w:val="en-US" w:eastAsia="zh-CN"/>
        </w:rPr>
        <w:t>10</w:t>
      </w:r>
      <w:r>
        <w:rPr>
          <w:rFonts w:hint="eastAsia" w:ascii="仿宋_GB2312" w:hAnsi="仿宋"/>
          <w:szCs w:val="32"/>
        </w:rPr>
        <w:t>%；公务用车购置及运行维护费支出决算</w:t>
      </w:r>
      <w:r>
        <w:rPr>
          <w:rFonts w:hint="eastAsia" w:ascii="仿宋_GB2312" w:hAnsi="仿宋"/>
          <w:szCs w:val="32"/>
          <w:lang w:val="en-US" w:eastAsia="zh-CN"/>
        </w:rPr>
        <w:t>50.36</w:t>
      </w:r>
      <w:r>
        <w:rPr>
          <w:rFonts w:hint="eastAsia" w:ascii="仿宋_GB2312" w:hAnsi="仿宋"/>
          <w:szCs w:val="32"/>
        </w:rPr>
        <w:t>万元，占</w:t>
      </w:r>
      <w:r>
        <w:rPr>
          <w:rFonts w:hint="eastAsia" w:ascii="仿宋_GB2312" w:hAnsi="仿宋"/>
          <w:szCs w:val="32"/>
          <w:lang w:val="en-US" w:eastAsia="zh-CN"/>
        </w:rPr>
        <w:t>90</w:t>
      </w:r>
      <w:r>
        <w:rPr>
          <w:rFonts w:hint="eastAsia" w:ascii="仿宋_GB2312" w:hAnsi="仿宋"/>
          <w:szCs w:val="32"/>
        </w:rPr>
        <w:t>%。具体情况如下：</w:t>
      </w:r>
    </w:p>
    <w:p>
      <w:pPr>
        <w:ind w:firstLine="628"/>
        <w:rPr>
          <w:rFonts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预算为0万元，支出决算为0万元，完成预算的0%；较上年减少0万元，下降0%。原因是2021年度、2022年度均未安排因公出国（境）计划。2022年宿州市</w:t>
      </w:r>
      <w:r>
        <w:rPr>
          <w:rFonts w:hint="eastAsia" w:ascii="仿宋_GB2312" w:hAnsi="仿宋"/>
          <w:szCs w:val="32"/>
          <w:lang w:eastAsia="zh-CN"/>
        </w:rPr>
        <w:t>萧县</w:t>
      </w:r>
      <w:r>
        <w:rPr>
          <w:rFonts w:hint="eastAsia" w:ascii="仿宋_GB2312" w:hAnsi="仿宋"/>
          <w:szCs w:val="32"/>
          <w:lang w:val="en-US" w:eastAsia="zh-CN"/>
        </w:rPr>
        <w:t>城市管理局</w:t>
      </w:r>
      <w:r>
        <w:rPr>
          <w:rFonts w:hint="eastAsia" w:ascii="仿宋_GB2312" w:hAnsi="仿宋"/>
          <w:szCs w:val="32"/>
        </w:rPr>
        <w:t>因公出国（境）团组0次，累计出国（境）0人次。经费使用严格按照《安徽省省直党政机关因公临时出国经费管理办法》（财行〔2014〕104号）、《安徽省省直党政机关因公短期出国培训费用管理办法》（财行〔2014〕527号）、《宿州市规范因公出国境管理办法》（宿外事组办〔</w:t>
      </w:r>
      <w:r>
        <w:rPr>
          <w:rFonts w:ascii="仿宋_GB2312" w:hAnsi="仿宋"/>
          <w:szCs w:val="32"/>
        </w:rPr>
        <w:t>2014</w:t>
      </w:r>
      <w:r>
        <w:rPr>
          <w:rFonts w:hint="eastAsia" w:ascii="仿宋_GB2312" w:hAnsi="仿宋"/>
          <w:szCs w:val="32"/>
        </w:rPr>
        <w:t>〕</w:t>
      </w:r>
      <w:r>
        <w:rPr>
          <w:rFonts w:ascii="仿宋_GB2312" w:hAnsi="仿宋"/>
          <w:szCs w:val="32"/>
        </w:rPr>
        <w:t>1</w:t>
      </w:r>
      <w:r>
        <w:rPr>
          <w:rFonts w:hint="eastAsia" w:ascii="仿宋_GB2312" w:hAnsi="仿宋"/>
          <w:szCs w:val="32"/>
        </w:rPr>
        <w:t>号）等相关规定执行。</w:t>
      </w:r>
    </w:p>
    <w:p>
      <w:pPr>
        <w:ind w:firstLine="643" w:firstLineChars="200"/>
        <w:rPr>
          <w:rFonts w:ascii="仿宋_GB2312" w:hAnsi="仿宋"/>
          <w:szCs w:val="32"/>
        </w:rPr>
      </w:pPr>
      <w:r>
        <w:rPr>
          <w:rFonts w:hint="eastAsia" w:ascii="仿宋_GB2312" w:hAnsi="仿宋"/>
          <w:b/>
          <w:bCs/>
          <w:szCs w:val="32"/>
        </w:rPr>
        <w:t>2.公务接待费</w:t>
      </w:r>
      <w:r>
        <w:rPr>
          <w:rFonts w:hint="eastAsia" w:ascii="仿宋_GB2312" w:hAnsi="仿宋"/>
          <w:szCs w:val="32"/>
        </w:rPr>
        <w:t>预算为</w:t>
      </w:r>
      <w:r>
        <w:rPr>
          <w:rFonts w:hint="eastAsia" w:ascii="仿宋_GB2312" w:hAnsi="仿宋"/>
          <w:szCs w:val="32"/>
          <w:lang w:val="en-US" w:eastAsia="zh-CN"/>
        </w:rPr>
        <w:t>10</w:t>
      </w:r>
      <w:r>
        <w:rPr>
          <w:rFonts w:hint="eastAsia" w:ascii="仿宋_GB2312" w:hAnsi="仿宋"/>
          <w:szCs w:val="32"/>
        </w:rPr>
        <w:t>万元，支出决算为</w:t>
      </w:r>
      <w:r>
        <w:rPr>
          <w:rFonts w:hint="eastAsia" w:ascii="仿宋_GB2312" w:hAnsi="仿宋"/>
          <w:szCs w:val="32"/>
          <w:lang w:val="en-US" w:eastAsia="zh-CN"/>
        </w:rPr>
        <w:t>5.82</w:t>
      </w:r>
      <w:r>
        <w:rPr>
          <w:rFonts w:hint="eastAsia" w:ascii="仿宋_GB2312" w:hAnsi="仿宋"/>
          <w:szCs w:val="32"/>
        </w:rPr>
        <w:t>万元，完成预算的</w:t>
      </w:r>
      <w:r>
        <w:rPr>
          <w:rFonts w:hint="eastAsia" w:ascii="仿宋_GB2312" w:hAnsi="仿宋"/>
          <w:szCs w:val="32"/>
          <w:lang w:val="en-US" w:eastAsia="zh-CN"/>
        </w:rPr>
        <w:t>58</w:t>
      </w:r>
      <w:r>
        <w:rPr>
          <w:rFonts w:hint="eastAsia" w:ascii="仿宋_GB2312" w:hAnsi="仿宋"/>
          <w:szCs w:val="32"/>
        </w:rPr>
        <w:t>%；较上年增加</w:t>
      </w:r>
      <w:r>
        <w:rPr>
          <w:rFonts w:hint="eastAsia" w:ascii="仿宋_GB2312" w:hAnsi="仿宋"/>
          <w:szCs w:val="32"/>
          <w:lang w:val="en-US" w:eastAsia="zh-CN"/>
        </w:rPr>
        <w:t>5.44</w:t>
      </w:r>
      <w:r>
        <w:rPr>
          <w:rFonts w:hint="eastAsia" w:ascii="仿宋_GB2312" w:hAnsi="仿宋"/>
          <w:szCs w:val="32"/>
        </w:rPr>
        <w:t>万元，增长</w:t>
      </w:r>
      <w:r>
        <w:rPr>
          <w:rFonts w:hint="eastAsia" w:ascii="仿宋_GB2312" w:hAnsi="仿宋"/>
          <w:szCs w:val="32"/>
          <w:lang w:val="en-US" w:eastAsia="zh-CN"/>
        </w:rPr>
        <w:t>1432</w:t>
      </w:r>
      <w:r>
        <w:rPr>
          <w:rFonts w:hint="eastAsia" w:ascii="仿宋_GB2312" w:hAnsi="仿宋"/>
          <w:szCs w:val="32"/>
        </w:rPr>
        <w:t>%。决算数小于预算数的主要原因是</w:t>
      </w:r>
      <w:r>
        <w:rPr>
          <w:rFonts w:hint="eastAsia" w:ascii="仿宋_GB2312" w:hAnsi="仿宋"/>
          <w:szCs w:val="32"/>
          <w:lang w:eastAsia="zh-CN"/>
        </w:rPr>
        <w:t>减少公务接待支出，基本安排食堂用餐</w:t>
      </w:r>
      <w:r>
        <w:rPr>
          <w:rFonts w:hint="eastAsia" w:ascii="仿宋_GB2312" w:hAnsi="仿宋"/>
          <w:szCs w:val="32"/>
        </w:rPr>
        <w:t>。决算数较上年增加的主要原因是</w:t>
      </w:r>
      <w:r>
        <w:rPr>
          <w:rFonts w:hint="eastAsia" w:ascii="仿宋_GB2312" w:hAnsi="仿宋"/>
          <w:szCs w:val="32"/>
          <w:lang w:val="en-US" w:eastAsia="zh-CN"/>
        </w:rPr>
        <w:t>公务接待次数增加</w:t>
      </w:r>
      <w:r>
        <w:rPr>
          <w:rFonts w:hint="eastAsia" w:ascii="仿宋_GB2312" w:hAnsi="仿宋"/>
          <w:szCs w:val="32"/>
        </w:rPr>
        <w:t>。2022年宿州市</w:t>
      </w:r>
      <w:r>
        <w:rPr>
          <w:rFonts w:hint="eastAsia" w:ascii="仿宋_GB2312" w:hAnsi="仿宋"/>
          <w:szCs w:val="32"/>
          <w:lang w:eastAsia="zh-CN"/>
        </w:rPr>
        <w:t>萧县</w:t>
      </w:r>
      <w:r>
        <w:rPr>
          <w:rFonts w:hint="eastAsia" w:ascii="仿宋_GB2312" w:hAnsi="仿宋"/>
          <w:szCs w:val="32"/>
          <w:lang w:val="en-US" w:eastAsia="zh-CN"/>
        </w:rPr>
        <w:t>城市管理</w:t>
      </w:r>
      <w:r>
        <w:rPr>
          <w:rFonts w:hint="eastAsia" w:ascii="仿宋_GB2312" w:hAnsi="仿宋"/>
          <w:szCs w:val="32"/>
        </w:rPr>
        <w:t>国内公务接待共</w:t>
      </w:r>
      <w:r>
        <w:rPr>
          <w:rFonts w:hint="eastAsia" w:ascii="仿宋_GB2312" w:hAnsi="仿宋"/>
          <w:szCs w:val="32"/>
          <w:lang w:val="en-US" w:eastAsia="zh-CN"/>
        </w:rPr>
        <w:t>48</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620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w:t>
      </w:r>
      <w:r>
        <w:rPr>
          <w:rFonts w:hint="eastAsia" w:ascii="仿宋_GB2312" w:hAnsi="仿宋"/>
          <w:sz w:val="30"/>
          <w:szCs w:val="30"/>
        </w:rPr>
        <w:t>是用于外县区相关单位业务指导和工作调研等公务往来</w:t>
      </w:r>
      <w:r>
        <w:rPr>
          <w:rFonts w:hint="eastAsia" w:ascii="仿宋_GB2312" w:hAnsi="仿宋"/>
          <w:szCs w:val="32"/>
        </w:rPr>
        <w:t>。经费使用贯彻中央八项规定和省委实施细则，严格执行《党政机关厉行节约反对浪费条例》、《</w:t>
      </w:r>
      <w:r>
        <w:rPr>
          <w:rFonts w:hint="eastAsia" w:ascii="仿宋_GB2312" w:hAnsi="仿宋"/>
          <w:szCs w:val="32"/>
          <w:lang w:eastAsia="zh-CN"/>
        </w:rPr>
        <w:t>萧县</w:t>
      </w:r>
      <w:r>
        <w:rPr>
          <w:rFonts w:hint="eastAsia" w:ascii="仿宋_GB2312" w:hAnsi="仿宋"/>
          <w:szCs w:val="32"/>
        </w:rPr>
        <w:t>机关单位公务接待费管理暂行办法》（区财行〔</w:t>
      </w:r>
      <w:r>
        <w:rPr>
          <w:rFonts w:ascii="仿宋_GB2312" w:hAnsi="仿宋"/>
          <w:szCs w:val="32"/>
        </w:rPr>
        <w:t>201</w:t>
      </w:r>
      <w:r>
        <w:rPr>
          <w:rFonts w:hint="eastAsia" w:ascii="仿宋_GB2312" w:hAnsi="仿宋"/>
          <w:szCs w:val="32"/>
        </w:rPr>
        <w:t>6〕106号）、《</w:t>
      </w:r>
      <w:r>
        <w:rPr>
          <w:rFonts w:hint="eastAsia" w:ascii="仿宋_GB2312" w:hAnsi="仿宋"/>
          <w:szCs w:val="32"/>
          <w:lang w:eastAsia="zh-CN"/>
        </w:rPr>
        <w:t>萧县</w:t>
      </w:r>
      <w:r>
        <w:rPr>
          <w:rFonts w:hint="eastAsia" w:ascii="仿宋_GB2312" w:hAnsi="仿宋"/>
          <w:szCs w:val="32"/>
        </w:rPr>
        <w:t>关于进一步规范“公务接待”管理办法》（区财行〔2018〕185号）、《</w:t>
      </w:r>
      <w:r>
        <w:rPr>
          <w:rFonts w:hint="eastAsia" w:ascii="仿宋_GB2312" w:hAnsi="仿宋"/>
          <w:szCs w:val="32"/>
          <w:lang w:eastAsia="zh-CN"/>
        </w:rPr>
        <w:t>萧县</w:t>
      </w:r>
      <w:r>
        <w:rPr>
          <w:rFonts w:hint="eastAsia" w:ascii="仿宋_GB2312" w:hAnsi="仿宋"/>
          <w:szCs w:val="32"/>
        </w:rPr>
        <w:t>区直机关外宾接待费管理办法》（区财行〔</w:t>
      </w:r>
      <w:r>
        <w:rPr>
          <w:rFonts w:ascii="仿宋_GB2312" w:hAnsi="仿宋"/>
          <w:szCs w:val="32"/>
        </w:rPr>
        <w:t>201</w:t>
      </w:r>
      <w:r>
        <w:rPr>
          <w:rFonts w:hint="eastAsia" w:ascii="仿宋_GB2312" w:hAnsi="仿宋"/>
          <w:szCs w:val="32"/>
        </w:rPr>
        <w:t>5〕</w:t>
      </w:r>
      <w:r>
        <w:rPr>
          <w:rFonts w:ascii="仿宋_GB2312" w:hAnsi="仿宋"/>
          <w:szCs w:val="32"/>
        </w:rPr>
        <w:t>90</w:t>
      </w:r>
      <w:r>
        <w:rPr>
          <w:rFonts w:hint="eastAsia" w:ascii="仿宋_GB2312" w:hAnsi="仿宋"/>
          <w:szCs w:val="32"/>
        </w:rPr>
        <w:t>号）相关规定。</w:t>
      </w:r>
    </w:p>
    <w:p>
      <w:pPr>
        <w:ind w:firstLine="643" w:firstLineChars="200"/>
      </w:pPr>
      <w:r>
        <w:rPr>
          <w:rFonts w:hint="eastAsia" w:ascii="仿宋_GB2312" w:hAnsi="仿宋"/>
          <w:b/>
          <w:bCs/>
          <w:szCs w:val="32"/>
        </w:rPr>
        <w:t>3.公务用车购置及运行维护费</w:t>
      </w:r>
      <w:r>
        <w:rPr>
          <w:rFonts w:hint="eastAsia" w:ascii="仿宋_GB2312" w:hAnsi="仿宋"/>
          <w:szCs w:val="32"/>
        </w:rPr>
        <w:t>预算为</w:t>
      </w:r>
      <w:r>
        <w:rPr>
          <w:rFonts w:hint="eastAsia" w:ascii="仿宋_GB2312" w:hAnsi="仿宋"/>
          <w:szCs w:val="32"/>
          <w:lang w:val="en-US" w:eastAsia="zh-CN"/>
        </w:rPr>
        <w:t>26.3</w:t>
      </w:r>
      <w:r>
        <w:rPr>
          <w:rFonts w:hint="eastAsia" w:ascii="仿宋_GB2312" w:hAnsi="仿宋"/>
          <w:szCs w:val="32"/>
        </w:rPr>
        <w:t>万元，支出决算为</w:t>
      </w:r>
      <w:r>
        <w:rPr>
          <w:rFonts w:hint="eastAsia" w:ascii="仿宋_GB2312" w:hAnsi="仿宋"/>
          <w:szCs w:val="32"/>
          <w:lang w:val="en-US" w:eastAsia="zh-CN"/>
        </w:rPr>
        <w:t>50.36</w:t>
      </w:r>
      <w:r>
        <w:rPr>
          <w:rFonts w:hint="eastAsia" w:ascii="仿宋_GB2312" w:hAnsi="仿宋"/>
          <w:szCs w:val="32"/>
        </w:rPr>
        <w:t>万元，完成预算的</w:t>
      </w:r>
      <w:r>
        <w:rPr>
          <w:rFonts w:hint="eastAsia" w:ascii="仿宋_GB2312" w:hAnsi="仿宋"/>
          <w:szCs w:val="32"/>
          <w:lang w:val="en-US" w:eastAsia="zh-CN"/>
        </w:rPr>
        <w:t>191</w:t>
      </w:r>
      <w:r>
        <w:rPr>
          <w:rFonts w:hint="eastAsia" w:ascii="仿宋_GB2312" w:hAnsi="仿宋"/>
          <w:szCs w:val="32"/>
        </w:rPr>
        <w:t>%；较上年增加</w:t>
      </w:r>
      <w:r>
        <w:rPr>
          <w:rFonts w:hint="eastAsia" w:ascii="仿宋_GB2312" w:hAnsi="仿宋"/>
          <w:szCs w:val="32"/>
          <w:lang w:val="en-US" w:eastAsia="zh-CN"/>
        </w:rPr>
        <w:t>13.96</w:t>
      </w:r>
      <w:r>
        <w:rPr>
          <w:rFonts w:hint="eastAsia" w:ascii="仿宋_GB2312" w:hAnsi="仿宋"/>
          <w:szCs w:val="32"/>
        </w:rPr>
        <w:t>万元，增长</w:t>
      </w:r>
      <w:r>
        <w:rPr>
          <w:rFonts w:hint="eastAsia" w:ascii="仿宋_GB2312" w:hAnsi="仿宋"/>
          <w:szCs w:val="32"/>
          <w:lang w:val="en-US" w:eastAsia="zh-CN"/>
        </w:rPr>
        <w:t>38%</w:t>
      </w:r>
      <w:r>
        <w:rPr>
          <w:rFonts w:hint="eastAsia" w:ascii="仿宋_GB2312" w:hAnsi="仿宋"/>
          <w:szCs w:val="32"/>
        </w:rPr>
        <w:t>。决算数大于预算数的主要原因是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。决算数较上年增加的主要原因是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。其中，公务用车购置费预算为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0</w:t>
      </w:r>
      <w:r>
        <w:rPr>
          <w:rFonts w:hint="eastAsia" w:ascii="仿宋_GB2312" w:hAnsi="仿宋"/>
          <w:szCs w:val="32"/>
        </w:rPr>
        <w:t>%；较上年减少</w:t>
      </w:r>
      <w:r>
        <w:rPr>
          <w:rFonts w:hint="eastAsia" w:ascii="仿宋_GB2312" w:hAnsi="仿宋"/>
          <w:szCs w:val="32"/>
          <w:lang w:val="en-US" w:eastAsia="zh-CN"/>
        </w:rPr>
        <w:t>0</w:t>
      </w:r>
      <w:r>
        <w:rPr>
          <w:rFonts w:hint="eastAsia" w:ascii="仿宋_GB2312" w:hAnsi="仿宋"/>
          <w:szCs w:val="32"/>
        </w:rPr>
        <w:t>万元，下降</w:t>
      </w:r>
      <w:r>
        <w:rPr>
          <w:rFonts w:hint="eastAsia" w:ascii="仿宋_GB2312" w:hAnsi="仿宋"/>
          <w:szCs w:val="32"/>
          <w:lang w:val="en-US" w:eastAsia="zh-CN"/>
        </w:rPr>
        <w:t>0</w:t>
      </w:r>
      <w:r>
        <w:rPr>
          <w:rFonts w:hint="eastAsia" w:ascii="仿宋_GB2312" w:hAnsi="仿宋"/>
          <w:szCs w:val="32"/>
        </w:rPr>
        <w:t>%。</w:t>
      </w:r>
      <w:r>
        <w:rPr>
          <w:rFonts w:hint="eastAsia" w:ascii="楷体_GB2312" w:hAnsi="楷体_GB2312" w:eastAsia="楷体_GB2312" w:cs="楷体_GB2312"/>
          <w:szCs w:val="32"/>
        </w:rPr>
        <w:t>2022年没有安排公务用车购置费</w:t>
      </w:r>
      <w:r>
        <w:rPr>
          <w:rFonts w:hint="eastAsia" w:ascii="楷体_GB2312" w:hAnsi="仿宋" w:eastAsia="楷体_GB2312"/>
          <w:szCs w:val="32"/>
        </w:rPr>
        <w:t>。</w:t>
      </w:r>
      <w:r>
        <w:rPr>
          <w:rFonts w:hint="eastAsia" w:ascii="仿宋_GB2312" w:hAnsi="仿宋"/>
          <w:szCs w:val="32"/>
        </w:rPr>
        <w:t>公务用车运行维护费预算为</w:t>
      </w:r>
      <w:r>
        <w:rPr>
          <w:rFonts w:hint="eastAsia" w:ascii="仿宋_GB2312" w:hAnsi="仿宋"/>
          <w:szCs w:val="32"/>
          <w:lang w:val="en-US" w:eastAsia="zh-CN"/>
        </w:rPr>
        <w:t>26.3</w:t>
      </w:r>
      <w:r>
        <w:rPr>
          <w:rFonts w:hint="eastAsia" w:ascii="仿宋_GB2312" w:hAnsi="仿宋"/>
          <w:szCs w:val="32"/>
        </w:rPr>
        <w:t>万元，支出决算为</w:t>
      </w:r>
      <w:r>
        <w:rPr>
          <w:rFonts w:hint="eastAsia" w:ascii="仿宋_GB2312" w:hAnsi="仿宋"/>
          <w:szCs w:val="32"/>
          <w:lang w:val="en-US" w:eastAsia="zh-CN"/>
        </w:rPr>
        <w:t>50.36</w:t>
      </w:r>
      <w:r>
        <w:rPr>
          <w:rFonts w:hint="eastAsia" w:ascii="仿宋_GB2312" w:hAnsi="仿宋"/>
          <w:szCs w:val="32"/>
        </w:rPr>
        <w:t>万元，完成预算的</w:t>
      </w:r>
      <w:r>
        <w:rPr>
          <w:rFonts w:hint="eastAsia" w:ascii="仿宋_GB2312" w:hAnsi="仿宋"/>
          <w:szCs w:val="32"/>
          <w:lang w:val="en-US" w:eastAsia="zh-CN"/>
        </w:rPr>
        <w:t>191</w:t>
      </w:r>
      <w:r>
        <w:rPr>
          <w:rFonts w:hint="eastAsia" w:ascii="仿宋_GB2312" w:hAnsi="仿宋"/>
          <w:szCs w:val="32"/>
        </w:rPr>
        <w:t>%；较上年增加</w:t>
      </w:r>
      <w:r>
        <w:rPr>
          <w:rFonts w:hint="eastAsia" w:ascii="仿宋_GB2312" w:hAnsi="仿宋"/>
          <w:szCs w:val="32"/>
          <w:lang w:val="en-US" w:eastAsia="zh-CN"/>
        </w:rPr>
        <w:t>13.96</w:t>
      </w:r>
      <w:r>
        <w:rPr>
          <w:rFonts w:hint="eastAsia" w:ascii="仿宋_GB2312" w:hAnsi="仿宋"/>
          <w:szCs w:val="32"/>
        </w:rPr>
        <w:t>万元，增长</w:t>
      </w:r>
      <w:r>
        <w:rPr>
          <w:rFonts w:hint="eastAsia" w:ascii="仿宋_GB2312" w:hAnsi="仿宋"/>
          <w:szCs w:val="32"/>
          <w:lang w:val="en-US" w:eastAsia="zh-CN"/>
        </w:rPr>
        <w:t>38</w:t>
      </w:r>
      <w:r>
        <w:rPr>
          <w:rFonts w:hint="eastAsia" w:ascii="仿宋_GB2312" w:hAnsi="仿宋"/>
          <w:szCs w:val="32"/>
        </w:rPr>
        <w:t>%。决算数大于预算数的主要原因是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。决算数较上年增加的主要原因是</w:t>
      </w:r>
      <w:r>
        <w:rPr>
          <w:rFonts w:hint="eastAsia" w:ascii="仿宋_GB2312" w:hAnsi="仿宋"/>
          <w:szCs w:val="32"/>
          <w:lang w:val="en-US" w:eastAsia="zh-CN"/>
        </w:rPr>
        <w:t>公务用车运行维护费增加执法执勤用车增加</w:t>
      </w:r>
      <w:r>
        <w:rPr>
          <w:rFonts w:hint="eastAsia" w:ascii="仿宋_GB2312" w:hAnsi="仿宋"/>
          <w:szCs w:val="32"/>
        </w:rPr>
        <w:t>。公务用车运行维护费，包括车辆燃料费、维修费、过路过桥费、保险费等支出，主要用于</w:t>
      </w:r>
      <w:r>
        <w:rPr>
          <w:rFonts w:hint="eastAsia" w:ascii="仿宋_GB2312" w:hAnsi="仿宋"/>
          <w:szCs w:val="32"/>
          <w:lang w:val="en-US" w:eastAsia="zh-CN"/>
        </w:rPr>
        <w:t>执法执勤，城市管理。</w:t>
      </w:r>
      <w:r>
        <w:rPr>
          <w:rFonts w:hint="eastAsia" w:ascii="仿宋_GB2312" w:hAnsi="仿宋"/>
          <w:szCs w:val="32"/>
        </w:rPr>
        <w:t>截至2022年12月31日，宿州市</w:t>
      </w:r>
      <w:r>
        <w:rPr>
          <w:rFonts w:hint="eastAsia" w:ascii="仿宋_GB2312" w:hAnsi="仿宋"/>
          <w:szCs w:val="32"/>
          <w:lang w:eastAsia="zh-CN"/>
        </w:rPr>
        <w:t>萧县</w:t>
      </w:r>
      <w:r>
        <w:rPr>
          <w:rFonts w:hint="eastAsia" w:ascii="仿宋_GB2312" w:hAnsi="仿宋"/>
          <w:szCs w:val="32"/>
          <w:lang w:val="en-US" w:eastAsia="zh-CN"/>
        </w:rPr>
        <w:t>城市管理局</w:t>
      </w:r>
      <w:r>
        <w:rPr>
          <w:rFonts w:hint="eastAsia" w:ascii="仿宋_GB2312" w:hAnsi="仿宋"/>
          <w:szCs w:val="32"/>
        </w:rPr>
        <w:t>机关开支财政拨款的公务用车保有量为</w:t>
      </w:r>
      <w:r>
        <w:rPr>
          <w:rFonts w:hint="eastAsia" w:ascii="仿宋_GB2312" w:hAnsi="仿宋"/>
          <w:szCs w:val="32"/>
          <w:lang w:val="en-US" w:eastAsia="zh-CN"/>
        </w:rPr>
        <w:t>45</w:t>
      </w:r>
      <w:r>
        <w:rPr>
          <w:rFonts w:hint="eastAsia" w:ascii="仿宋_GB2312" w:hAnsi="仿宋"/>
          <w:szCs w:val="32"/>
        </w:rPr>
        <w:t>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jI4ZmJmMTNjZjJiZWU3MWRkNmViMjE1NWEzNzUifQ=="/>
  </w:docVars>
  <w:rsids>
    <w:rsidRoot w:val="00907296"/>
    <w:rsid w:val="000B3DF4"/>
    <w:rsid w:val="000D2711"/>
    <w:rsid w:val="000D6D9A"/>
    <w:rsid w:val="000F19AD"/>
    <w:rsid w:val="00141BE7"/>
    <w:rsid w:val="0038253C"/>
    <w:rsid w:val="00530D36"/>
    <w:rsid w:val="00541B09"/>
    <w:rsid w:val="005C7BCB"/>
    <w:rsid w:val="006F50DA"/>
    <w:rsid w:val="007F6316"/>
    <w:rsid w:val="00843419"/>
    <w:rsid w:val="00907296"/>
    <w:rsid w:val="00920BB1"/>
    <w:rsid w:val="009A28B8"/>
    <w:rsid w:val="00A01A28"/>
    <w:rsid w:val="00AD3E25"/>
    <w:rsid w:val="00C815B9"/>
    <w:rsid w:val="00D37526"/>
    <w:rsid w:val="00DA625C"/>
    <w:rsid w:val="00E37395"/>
    <w:rsid w:val="00EF46FB"/>
    <w:rsid w:val="00FC5446"/>
    <w:rsid w:val="56D2461D"/>
    <w:rsid w:val="616F4117"/>
    <w:rsid w:val="61E5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Intense Reference"/>
    <w:basedOn w:val="6"/>
    <w:qFormat/>
    <w:uiPriority w:val="32"/>
    <w:rPr>
      <w:b/>
      <w:bCs/>
      <w:smallCaps/>
      <w:color w:val="C0504D" w:themeColor="accent2"/>
      <w:spacing w:val="5"/>
      <w:u w:val="single"/>
      <w14:textFill>
        <w14:solidFill>
          <w14:schemeClr w14:val="accent2"/>
        </w14:solidFill>
      </w14:textFill>
    </w:rPr>
  </w:style>
  <w:style w:type="character" w:customStyle="1" w:styleId="8">
    <w:name w:val="正文文本 Char"/>
    <w:basedOn w:val="6"/>
    <w:link w:val="2"/>
    <w:semiHidden/>
    <w:qFormat/>
    <w:uiPriority w:val="99"/>
    <w:rPr>
      <w:rFonts w:ascii="Times New Roman" w:hAnsi="Times New Roman" w:eastAsia="仿宋_GB2312" w:cs="Times New Roman"/>
      <w:sz w:val="32"/>
      <w:szCs w:val="20"/>
    </w:rPr>
  </w:style>
  <w:style w:type="character" w:customStyle="1" w:styleId="9">
    <w:name w:val="页眉 Char"/>
    <w:basedOn w:val="6"/>
    <w:link w:val="4"/>
    <w:semiHidden/>
    <w:uiPriority w:val="99"/>
    <w:rPr>
      <w:rFonts w:ascii="Times New Roman" w:hAnsi="Times New Roman" w:eastAsia="仿宋_GB2312" w:cs="Times New Roman"/>
      <w:sz w:val="18"/>
      <w:szCs w:val="18"/>
    </w:rPr>
  </w:style>
  <w:style w:type="character" w:customStyle="1" w:styleId="10">
    <w:name w:val="页脚 Char"/>
    <w:basedOn w:val="6"/>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1462</Words>
  <Characters>1649</Characters>
  <Lines>13</Lines>
  <Paragraphs>3</Paragraphs>
  <TotalTime>2</TotalTime>
  <ScaleCrop>false</ScaleCrop>
  <LinksUpToDate>false</LinksUpToDate>
  <CharactersWithSpaces>1730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2023-08-09T00:01:00Z</dcterms:created>
  <dc:creator>Administrator</dc:creator>
  <cp:lastModifiedBy>许昊冉</cp:lastModifiedBy>
  <dcterms:modified xsi:type="dcterms:W3CDTF">2023-09-05T03:51:06Z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DCCB1E5E1E224394AE7323C2099B4E39_13</vt:lpwstr>
  </property>
</Properties>
</file>