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2" w:beforeLines="350"/>
        <w:ind w:firstLine="0" w:firstLineChars="0"/>
        <w:jc w:val="center"/>
        <w:rPr>
          <w:rFonts w:eastAsia="方正小标宋简体"/>
          <w:sz w:val="52"/>
          <w:szCs w:val="52"/>
        </w:rPr>
      </w:pPr>
      <w:r>
        <w:rPr>
          <w:rFonts w:hint="eastAsia" w:eastAsia="方正小标宋简体"/>
          <w:sz w:val="52"/>
          <w:szCs w:val="52"/>
        </w:rPr>
        <w:t>“数字萧县”建设总体规划</w:t>
      </w:r>
    </w:p>
    <w:p>
      <w:pPr>
        <w:ind w:firstLine="0" w:firstLineChars="0"/>
        <w:jc w:val="center"/>
        <w:rPr>
          <w:rFonts w:eastAsia="方正小标宋简体"/>
          <w:sz w:val="52"/>
          <w:szCs w:val="52"/>
        </w:rPr>
      </w:pPr>
      <w:r>
        <w:rPr>
          <w:rFonts w:hint="eastAsia" w:eastAsia="方正小标宋简体"/>
          <w:sz w:val="52"/>
          <w:szCs w:val="52"/>
        </w:rPr>
        <w:t>（2</w:t>
      </w:r>
      <w:r>
        <w:rPr>
          <w:rFonts w:eastAsia="方正小标宋简体"/>
          <w:sz w:val="52"/>
          <w:szCs w:val="52"/>
        </w:rPr>
        <w:t>023-2025</w:t>
      </w:r>
      <w:r>
        <w:rPr>
          <w:rFonts w:hint="eastAsia" w:eastAsia="方正小标宋简体"/>
          <w:sz w:val="52"/>
          <w:szCs w:val="52"/>
        </w:rPr>
        <w:t>年）</w:t>
      </w:r>
    </w:p>
    <w:p>
      <w:pPr>
        <w:ind w:firstLine="880"/>
        <w:jc w:val="center"/>
        <w:rPr>
          <w:rFonts w:hint="eastAsia" w:eastAsia="方正小标宋简体"/>
          <w:sz w:val="44"/>
          <w:szCs w:val="44"/>
          <w:lang w:eastAsia="zh-CN"/>
        </w:rPr>
      </w:pPr>
      <w:r>
        <w:rPr>
          <w:rFonts w:hint="eastAsia" w:eastAsia="方正小标宋简体"/>
          <w:sz w:val="44"/>
          <w:szCs w:val="44"/>
          <w:lang w:eastAsia="zh-CN"/>
        </w:rPr>
        <w:t>（</w:t>
      </w:r>
      <w:r>
        <w:rPr>
          <w:rFonts w:hint="eastAsia" w:eastAsia="方正小标宋简体"/>
          <w:sz w:val="44"/>
          <w:szCs w:val="44"/>
          <w:lang w:val="en-US" w:eastAsia="zh-CN"/>
        </w:rPr>
        <w:t>审议稿</w:t>
      </w:r>
      <w:r>
        <w:rPr>
          <w:rFonts w:hint="eastAsia" w:eastAsia="方正小标宋简体"/>
          <w:sz w:val="44"/>
          <w:szCs w:val="44"/>
          <w:lang w:eastAsia="zh-CN"/>
        </w:rPr>
        <w:t>）</w:t>
      </w: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880"/>
        <w:jc w:val="center"/>
        <w:rPr>
          <w:rFonts w:eastAsia="方正小标宋简体"/>
          <w:sz w:val="44"/>
          <w:szCs w:val="44"/>
        </w:rPr>
      </w:pPr>
    </w:p>
    <w:p>
      <w:pPr>
        <w:ind w:firstLine="0" w:firstLineChars="0"/>
        <w:jc w:val="center"/>
        <w:rPr>
          <w:szCs w:val="32"/>
        </w:rPr>
      </w:pPr>
    </w:p>
    <w:p>
      <w:pPr>
        <w:ind w:firstLine="0" w:firstLineChars="0"/>
        <w:jc w:val="center"/>
        <w:rPr>
          <w:szCs w:val="32"/>
        </w:rPr>
      </w:pPr>
      <w:r>
        <w:rPr>
          <w:rFonts w:hint="eastAsia"/>
          <w:szCs w:val="32"/>
        </w:rPr>
        <w:t>萧县数据资源管理局（政务服务管理局）</w:t>
      </w:r>
    </w:p>
    <w:p>
      <w:pPr>
        <w:ind w:firstLine="0" w:firstLineChars="0"/>
        <w:jc w:val="center"/>
        <w:rPr>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szCs w:val="32"/>
        </w:rPr>
        <w:t>2</w:t>
      </w:r>
      <w:r>
        <w:rPr>
          <w:szCs w:val="32"/>
        </w:rPr>
        <w:t>022</w:t>
      </w:r>
      <w:r>
        <w:rPr>
          <w:rFonts w:hint="eastAsia"/>
          <w:szCs w:val="32"/>
        </w:rPr>
        <w:t>年1</w:t>
      </w:r>
      <w:r>
        <w:rPr>
          <w:szCs w:val="32"/>
        </w:rPr>
        <w:t>2</w:t>
      </w:r>
      <w:r>
        <w:rPr>
          <w:rFonts w:hint="eastAsia"/>
          <w:szCs w:val="32"/>
        </w:rPr>
        <w:t>月</w:t>
      </w:r>
    </w:p>
    <w:p>
      <w:pPr>
        <w:spacing w:before="312" w:beforeLines="100" w:after="312" w:afterLines="100" w:line="360" w:lineRule="auto"/>
        <w:ind w:firstLine="0" w:firstLineChars="0"/>
        <w:jc w:val="center"/>
        <w:rPr>
          <w:rFonts w:eastAsia="黑体"/>
          <w:b/>
          <w:bCs/>
          <w:szCs w:val="32"/>
        </w:rPr>
      </w:pPr>
      <w:r>
        <w:rPr>
          <w:rFonts w:hint="eastAsia" w:eastAsia="黑体"/>
          <w:b/>
          <w:bCs/>
          <w:szCs w:val="32"/>
        </w:rPr>
        <w:t xml:space="preserve">前 </w:t>
      </w:r>
      <w:r>
        <w:rPr>
          <w:rFonts w:eastAsia="黑体"/>
          <w:b/>
          <w:bCs/>
          <w:szCs w:val="32"/>
        </w:rPr>
        <w:t xml:space="preserve"> </w:t>
      </w:r>
      <w:r>
        <w:rPr>
          <w:rFonts w:hint="eastAsia" w:eastAsia="黑体"/>
          <w:b/>
          <w:bCs/>
          <w:szCs w:val="32"/>
        </w:rPr>
        <w:t>言</w:t>
      </w:r>
    </w:p>
    <w:p>
      <w:pPr>
        <w:ind w:firstLine="640"/>
        <w:rPr>
          <w:szCs w:val="32"/>
        </w:rPr>
      </w:pPr>
      <w:r>
        <w:rPr>
          <w:szCs w:val="32"/>
        </w:rPr>
        <w:t>建设网络强国、数字中国、智慧社会，是党的十九大作出的重要战略部署，</w:t>
      </w:r>
      <w:r>
        <w:rPr>
          <w:rFonts w:hint="eastAsia"/>
          <w:szCs w:val="32"/>
        </w:rPr>
        <w:t>“</w:t>
      </w:r>
      <w:r>
        <w:rPr>
          <w:szCs w:val="32"/>
        </w:rPr>
        <w:t>加快数字发展建设数字中国</w:t>
      </w:r>
      <w:r>
        <w:rPr>
          <w:rFonts w:hint="eastAsia"/>
          <w:szCs w:val="32"/>
        </w:rPr>
        <w:t>”</w:t>
      </w:r>
      <w:r>
        <w:rPr>
          <w:szCs w:val="32"/>
        </w:rPr>
        <w:t>是国民经济和社会发展第十四个五年规划和2035年远景目标纲要的重要篇章</w:t>
      </w:r>
      <w:r>
        <w:rPr>
          <w:rFonts w:hint="eastAsia"/>
          <w:szCs w:val="32"/>
        </w:rPr>
        <w:t>。</w:t>
      </w:r>
      <w:r>
        <w:rPr>
          <w:szCs w:val="32"/>
        </w:rPr>
        <w:t>数字城市建设是顺应时代</w:t>
      </w:r>
      <w:r>
        <w:rPr>
          <w:rFonts w:hint="eastAsia"/>
          <w:szCs w:val="32"/>
        </w:rPr>
        <w:t>潮流，</w:t>
      </w:r>
      <w:r>
        <w:rPr>
          <w:szCs w:val="32"/>
        </w:rPr>
        <w:t>落实数字中国</w:t>
      </w:r>
      <w:r>
        <w:rPr>
          <w:rFonts w:hint="eastAsia"/>
          <w:szCs w:val="32"/>
        </w:rPr>
        <w:t>、数字江淮、数字宿州</w:t>
      </w:r>
      <w:r>
        <w:rPr>
          <w:szCs w:val="32"/>
        </w:rPr>
        <w:t>战略</w:t>
      </w:r>
      <w:r>
        <w:rPr>
          <w:rFonts w:hint="eastAsia"/>
          <w:szCs w:val="32"/>
        </w:rPr>
        <w:t>，</w:t>
      </w:r>
      <w:r>
        <w:rPr>
          <w:szCs w:val="32"/>
        </w:rPr>
        <w:t>抢抓新一轮科技革命和产业变革的必然要求，是推进政府治理体系和治理能力现代化的重要途径，是优化营商环境、实现社会经济高质量发展、提升</w:t>
      </w:r>
      <w:r>
        <w:rPr>
          <w:rFonts w:hint="eastAsia"/>
          <w:szCs w:val="32"/>
        </w:rPr>
        <w:t>人民群众幸福</w:t>
      </w:r>
      <w:r>
        <w:rPr>
          <w:szCs w:val="32"/>
        </w:rPr>
        <w:t>感的有力抓手</w:t>
      </w:r>
      <w:r>
        <w:rPr>
          <w:rFonts w:hint="eastAsia"/>
          <w:szCs w:val="32"/>
        </w:rPr>
        <w:t>。</w:t>
      </w:r>
    </w:p>
    <w:p>
      <w:pPr>
        <w:ind w:firstLine="640"/>
        <w:rPr>
          <w:szCs w:val="32"/>
        </w:rPr>
      </w:pPr>
      <w:r>
        <w:rPr>
          <w:rFonts w:hint="eastAsia"/>
          <w:szCs w:val="32"/>
        </w:rPr>
        <w:t>数字萧县建设，以建设数字政府、构筑数字社会、发展数字经济为主线，以重点项目为抓手，筑牢数字基础底座、融入区域协同格局、凝练萧县数字能力，全力将萧县建成宿州市乃至皖北地区数字政府新标杆、数字社会新样板、数字经济新高地，为建设新时期美好萧县提供强大动力和战略支撑。</w:t>
      </w:r>
    </w:p>
    <w:p>
      <w:pPr>
        <w:ind w:firstLine="640"/>
        <w:rPr>
          <w:szCs w:val="32"/>
        </w:rPr>
      </w:pPr>
      <w:r>
        <w:rPr>
          <w:rFonts w:hint="eastAsia"/>
          <w:szCs w:val="32"/>
        </w:rPr>
        <w:t>依据《安徽省“数字政府”建设规划（</w:t>
      </w:r>
      <w:r>
        <w:rPr>
          <w:szCs w:val="32"/>
        </w:rPr>
        <w:t>2020—2025年</w:t>
      </w:r>
      <w:r>
        <w:rPr>
          <w:rFonts w:hint="eastAsia"/>
          <w:szCs w:val="32"/>
        </w:rPr>
        <w:t>）</w:t>
      </w:r>
      <w:r>
        <w:rPr>
          <w:szCs w:val="32"/>
        </w:rPr>
        <w:t>》</w:t>
      </w:r>
      <w:r>
        <w:rPr>
          <w:rFonts w:hint="eastAsia"/>
          <w:szCs w:val="32"/>
        </w:rPr>
        <w:t>《“数字江淮”建设总体规划（</w:t>
      </w:r>
      <w:r>
        <w:rPr>
          <w:szCs w:val="32"/>
        </w:rPr>
        <w:t>2020-2025年）》</w:t>
      </w:r>
      <w:r>
        <w:rPr>
          <w:rFonts w:hint="eastAsia"/>
          <w:szCs w:val="32"/>
        </w:rPr>
        <w:t>《“数字宿州”建设总体规划（</w:t>
      </w:r>
      <w:r>
        <w:rPr>
          <w:szCs w:val="32"/>
        </w:rPr>
        <w:t>2021-2025年）》</w:t>
      </w:r>
      <w:r>
        <w:rPr>
          <w:rFonts w:hint="eastAsia"/>
          <w:szCs w:val="32"/>
        </w:rPr>
        <w:t>和《萧县国民经济和社会发展第十四个五年规划和二〇三五年远景目标纲要》等文件，萧县数据资源管理局（政务服务管理局）牵头组织编制数字萧县建设总体规划。规划基期为2</w:t>
      </w:r>
      <w:r>
        <w:rPr>
          <w:szCs w:val="32"/>
        </w:rPr>
        <w:t>022</w:t>
      </w:r>
      <w:r>
        <w:rPr>
          <w:rFonts w:hint="eastAsia"/>
          <w:szCs w:val="32"/>
        </w:rPr>
        <w:t>年，规划期为2</w:t>
      </w:r>
      <w:r>
        <w:rPr>
          <w:szCs w:val="32"/>
        </w:rPr>
        <w:t>023-2025</w:t>
      </w:r>
      <w:r>
        <w:rPr>
          <w:rFonts w:hint="eastAsia"/>
          <w:szCs w:val="32"/>
        </w:rPr>
        <w:t>年，远景展望至2</w:t>
      </w:r>
      <w:r>
        <w:rPr>
          <w:szCs w:val="32"/>
        </w:rPr>
        <w:t>035</w:t>
      </w:r>
      <w:r>
        <w:rPr>
          <w:rFonts w:hint="eastAsia"/>
          <w:szCs w:val="32"/>
        </w:rPr>
        <w:t>年。</w:t>
      </w:r>
    </w:p>
    <w:p>
      <w:pPr>
        <w:spacing w:before="312" w:beforeLines="100" w:after="312" w:afterLines="100" w:line="360" w:lineRule="auto"/>
        <w:ind w:firstLine="643"/>
        <w:jc w:val="center"/>
        <w:rPr>
          <w:rFonts w:eastAsia="黑体"/>
          <w:b/>
          <w:bCs/>
          <w:szCs w:val="32"/>
        </w:rPr>
        <w:sectPr>
          <w:footerReference r:id="rId11" w:type="default"/>
          <w:pgSz w:w="11906" w:h="16838"/>
          <w:pgMar w:top="1440" w:right="1800" w:bottom="1440" w:left="1800" w:header="851" w:footer="992" w:gutter="0"/>
          <w:cols w:space="425" w:num="1"/>
          <w:docGrid w:type="lines" w:linePitch="312" w:charSpace="0"/>
        </w:sectPr>
      </w:pPr>
    </w:p>
    <w:sdt>
      <w:sdtPr>
        <w:rPr>
          <w:rFonts w:ascii="Times New Roman" w:hAnsi="Times New Roman" w:eastAsia="仿宋" w:cstheme="minorBidi"/>
          <w:color w:val="auto"/>
          <w:kern w:val="2"/>
          <w:szCs w:val="22"/>
          <w:lang w:val="zh-CN"/>
        </w:rPr>
        <w:id w:val="-1618206274"/>
        <w:docPartObj>
          <w:docPartGallery w:val="Table of Contents"/>
          <w:docPartUnique/>
        </w:docPartObj>
      </w:sdtPr>
      <w:sdtEndPr>
        <w:rPr>
          <w:rFonts w:ascii="Times New Roman" w:hAnsi="Times New Roman" w:eastAsia="仿宋" w:cstheme="minorBidi"/>
          <w:b/>
          <w:bCs/>
          <w:color w:val="auto"/>
          <w:kern w:val="2"/>
          <w:szCs w:val="22"/>
          <w:lang w:val="zh-CN"/>
        </w:rPr>
      </w:sdtEndPr>
      <w:sdtContent>
        <w:p>
          <w:pPr>
            <w:pStyle w:val="20"/>
            <w:jc w:val="center"/>
            <w:rPr>
              <w:rFonts w:ascii="黑体" w:hAnsi="黑体" w:eastAsia="黑体"/>
              <w:color w:val="000000" w:themeColor="text1"/>
              <w:sz w:val="36"/>
              <w:szCs w:val="36"/>
              <w14:textFill>
                <w14:solidFill>
                  <w14:schemeClr w14:val="tx1"/>
                </w14:solidFill>
              </w14:textFill>
            </w:rPr>
          </w:pPr>
          <w:r>
            <w:rPr>
              <w:rFonts w:ascii="黑体" w:hAnsi="黑体" w:eastAsia="黑体"/>
              <w:color w:val="000000" w:themeColor="text1"/>
              <w:sz w:val="36"/>
              <w:szCs w:val="36"/>
              <w:lang w:val="zh-CN"/>
              <w14:textFill>
                <w14:solidFill>
                  <w14:schemeClr w14:val="tx1"/>
                </w14:solidFill>
              </w14:textFill>
            </w:rPr>
            <w:t>目</w:t>
          </w:r>
          <w:r>
            <w:rPr>
              <w:rFonts w:hint="eastAsia" w:ascii="黑体" w:hAnsi="黑体" w:eastAsia="黑体"/>
              <w:color w:val="000000" w:themeColor="text1"/>
              <w:sz w:val="36"/>
              <w:szCs w:val="36"/>
              <w:lang w:val="zh-CN"/>
              <w14:textFill>
                <w14:solidFill>
                  <w14:schemeClr w14:val="tx1"/>
                </w14:solidFill>
              </w14:textFill>
            </w:rPr>
            <w:t xml:space="preserve"> </w:t>
          </w:r>
          <w:r>
            <w:rPr>
              <w:rFonts w:ascii="黑体" w:hAnsi="黑体" w:eastAsia="黑体"/>
              <w:color w:val="000000" w:themeColor="text1"/>
              <w:sz w:val="36"/>
              <w:szCs w:val="36"/>
              <w:lang w:val="zh-CN"/>
              <w14:textFill>
                <w14:solidFill>
                  <w14:schemeClr w14:val="tx1"/>
                </w14:solidFill>
              </w14:textFill>
            </w:rPr>
            <w:t xml:space="preserve"> 录</w:t>
          </w:r>
        </w:p>
        <w:p>
          <w:pPr>
            <w:pStyle w:val="8"/>
            <w:rPr>
              <w:rFonts w:ascii="Times New Roman" w:hAnsi="Times New Roman" w:eastAsiaTheme="minorEastAsia"/>
              <w:sz w:val="30"/>
              <w:szCs w:val="30"/>
              <w14:ligatures w14:val="standardContextual"/>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"_Toc146484262" </w:instrText>
          </w:r>
          <w:r>
            <w:fldChar w:fldCharType="separate"/>
          </w:r>
          <w:r>
            <w:rPr>
              <w:rStyle w:val="13"/>
              <w:rFonts w:ascii="Times New Roman" w:hAnsi="Times New Roman"/>
              <w:sz w:val="30"/>
              <w:szCs w:val="30"/>
            </w:rPr>
            <w:t>第一章 数字萧县总体规划概述</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_Toc146484262 \h </w:instrText>
          </w:r>
          <w:r>
            <w:rPr>
              <w:rFonts w:ascii="Times New Roman" w:hAnsi="Times New Roman"/>
              <w:sz w:val="30"/>
              <w:szCs w:val="30"/>
            </w:rPr>
            <w:fldChar w:fldCharType="separate"/>
          </w:r>
          <w:r>
            <w:rPr>
              <w:rFonts w:ascii="Times New Roman" w:hAnsi="Times New Roman"/>
              <w:sz w:val="30"/>
              <w:szCs w:val="30"/>
            </w:rPr>
            <w:t>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"_Toc146484263" </w:instrText>
          </w:r>
          <w:r>
            <w:fldChar w:fldCharType="separate"/>
          </w:r>
          <w:r>
            <w:rPr>
              <w:rStyle w:val="13"/>
              <w:rFonts w:ascii="Times New Roman" w:hAnsi="Times New Roman"/>
              <w:sz w:val="30"/>
              <w:szCs w:val="30"/>
            </w:rPr>
            <w:t>第一节 规划编制背景</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_Toc146484263 \h </w:instrText>
          </w:r>
          <w:r>
            <w:rPr>
              <w:rFonts w:ascii="Times New Roman" w:hAnsi="Times New Roman"/>
              <w:sz w:val="30"/>
              <w:szCs w:val="30"/>
            </w:rPr>
            <w:fldChar w:fldCharType="separate"/>
          </w:r>
          <w:r>
            <w:rPr>
              <w:rFonts w:ascii="Times New Roman" w:hAnsi="Times New Roman"/>
              <w:sz w:val="30"/>
              <w:szCs w:val="30"/>
            </w:rPr>
            <w:t>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"_Toc146484264" </w:instrText>
          </w:r>
          <w:r>
            <w:fldChar w:fldCharType="separate"/>
          </w:r>
          <w:r>
            <w:rPr>
              <w:rStyle w:val="13"/>
              <w:rFonts w:ascii="Times New Roman" w:hAnsi="Times New Roman"/>
              <w:sz w:val="30"/>
              <w:szCs w:val="30"/>
            </w:rPr>
            <w:t>第二节 规划编制依据</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_Toc146484264 \h </w:instrText>
          </w:r>
          <w:r>
            <w:rPr>
              <w:rFonts w:ascii="Times New Roman" w:hAnsi="Times New Roman"/>
              <w:sz w:val="30"/>
              <w:szCs w:val="30"/>
            </w:rPr>
            <w:fldChar w:fldCharType="separate"/>
          </w:r>
          <w:r>
            <w:rPr>
              <w:rFonts w:ascii="Times New Roman" w:hAnsi="Times New Roman"/>
              <w:sz w:val="30"/>
              <w:szCs w:val="30"/>
            </w:rPr>
            <w:t>2</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"_Toc146484265" </w:instrText>
          </w:r>
          <w:r>
            <w:fldChar w:fldCharType="separate"/>
          </w:r>
          <w:r>
            <w:rPr>
              <w:rStyle w:val="13"/>
              <w:rFonts w:ascii="Times New Roman" w:hAnsi="Times New Roman"/>
              <w:sz w:val="30"/>
              <w:szCs w:val="30"/>
            </w:rPr>
            <w:t>第三节 规划适用区域</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_Toc146484265 \h </w:instrText>
          </w:r>
          <w:r>
            <w:rPr>
              <w:rFonts w:ascii="Times New Roman" w:hAnsi="Times New Roman"/>
              <w:sz w:val="30"/>
              <w:szCs w:val="30"/>
            </w:rPr>
            <w:fldChar w:fldCharType="separate"/>
          </w:r>
          <w:r>
            <w:rPr>
              <w:rFonts w:ascii="Times New Roman" w:hAnsi="Times New Roman"/>
              <w:sz w:val="30"/>
              <w:szCs w:val="30"/>
            </w:rPr>
            <w:t>4</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"_Toc146484266" </w:instrText>
          </w:r>
          <w:r>
            <w:fldChar w:fldCharType="separate"/>
          </w:r>
          <w:r>
            <w:rPr>
              <w:rStyle w:val="13"/>
              <w:rFonts w:ascii="Times New Roman" w:hAnsi="Times New Roman"/>
              <w:sz w:val="30"/>
              <w:szCs w:val="30"/>
            </w:rPr>
            <w:t>第四节 规划编制期限</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_Toc146484266 \h </w:instrText>
          </w:r>
          <w:r>
            <w:rPr>
              <w:rFonts w:ascii="Times New Roman" w:hAnsi="Times New Roman"/>
              <w:sz w:val="30"/>
              <w:szCs w:val="30"/>
            </w:rPr>
            <w:fldChar w:fldCharType="separate"/>
          </w:r>
          <w:r>
            <w:rPr>
              <w:rFonts w:ascii="Times New Roman" w:hAnsi="Times New Roman"/>
              <w:sz w:val="30"/>
              <w:szCs w:val="30"/>
            </w:rPr>
            <w:t>4</w:t>
          </w:r>
          <w:r>
            <w:rPr>
              <w:rFonts w:ascii="Times New Roman" w:hAnsi="Times New Roman"/>
              <w:sz w:val="30"/>
              <w:szCs w:val="30"/>
            </w:rPr>
            <w:fldChar w:fldCharType="end"/>
          </w:r>
          <w:r>
            <w:rPr>
              <w:rFonts w:ascii="Times New Roman" w:hAnsi="Times New Roman"/>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"_Toc146484267" </w:instrText>
          </w:r>
          <w:r>
            <w:fldChar w:fldCharType="separate"/>
          </w:r>
          <w:r>
            <w:rPr>
              <w:rStyle w:val="13"/>
              <w:rFonts w:ascii="Times New Roman" w:hAnsi="Times New Roman"/>
              <w:sz w:val="30"/>
              <w:szCs w:val="30"/>
            </w:rPr>
            <w:t>第二章 数字萧县基础形势</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_Toc146484267 \h </w:instrText>
          </w:r>
          <w:r>
            <w:rPr>
              <w:rFonts w:ascii="Times New Roman" w:hAnsi="Times New Roman"/>
              <w:sz w:val="30"/>
              <w:szCs w:val="30"/>
            </w:rPr>
            <w:fldChar w:fldCharType="separate"/>
          </w:r>
          <w:r>
            <w:rPr>
              <w:rFonts w:ascii="Times New Roman" w:hAnsi="Times New Roman"/>
              <w:sz w:val="30"/>
              <w:szCs w:val="30"/>
            </w:rPr>
            <w:t>5</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"_Toc146484268" </w:instrText>
          </w:r>
          <w:r>
            <w:fldChar w:fldCharType="separate"/>
          </w:r>
          <w:r>
            <w:rPr>
              <w:rStyle w:val="13"/>
              <w:rFonts w:ascii="Times New Roman" w:hAnsi="Times New Roman"/>
              <w:sz w:val="30"/>
              <w:szCs w:val="30"/>
            </w:rPr>
            <w:t>第一节 发展成就</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_Toc146484268 \h </w:instrText>
          </w:r>
          <w:r>
            <w:rPr>
              <w:rFonts w:ascii="Times New Roman" w:hAnsi="Times New Roman"/>
              <w:sz w:val="30"/>
              <w:szCs w:val="30"/>
            </w:rPr>
            <w:fldChar w:fldCharType="separate"/>
          </w:r>
          <w:r>
            <w:rPr>
              <w:rFonts w:ascii="Times New Roman" w:hAnsi="Times New Roman"/>
              <w:sz w:val="30"/>
              <w:szCs w:val="30"/>
            </w:rPr>
            <w:t>5</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"_Toc146484269" </w:instrText>
          </w:r>
          <w:r>
            <w:fldChar w:fldCharType="separate"/>
          </w:r>
          <w:r>
            <w:rPr>
              <w:rStyle w:val="13"/>
              <w:sz w:val="30"/>
              <w:szCs w:val="30"/>
            </w:rPr>
            <w:t>一、数字基础设施不断完善</w:t>
          </w:r>
          <w:r>
            <w:rPr>
              <w:sz w:val="30"/>
              <w:szCs w:val="30"/>
            </w:rPr>
            <w:tab/>
          </w:r>
          <w:r>
            <w:rPr>
              <w:sz w:val="30"/>
              <w:szCs w:val="30"/>
            </w:rPr>
            <w:fldChar w:fldCharType="begin"/>
          </w:r>
          <w:r>
            <w:rPr>
              <w:sz w:val="30"/>
              <w:szCs w:val="30"/>
            </w:rPr>
            <w:instrText xml:space="preserve"> PAGEREF _Toc146484269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"_Toc146484270" </w:instrText>
          </w:r>
          <w:r>
            <w:fldChar w:fldCharType="separate"/>
          </w:r>
          <w:r>
            <w:rPr>
              <w:rStyle w:val="13"/>
              <w:sz w:val="30"/>
              <w:szCs w:val="30"/>
            </w:rPr>
            <w:t>二、数据资源采归成效显著</w:t>
          </w:r>
          <w:r>
            <w:rPr>
              <w:sz w:val="30"/>
              <w:szCs w:val="30"/>
            </w:rPr>
            <w:tab/>
          </w:r>
          <w:r>
            <w:rPr>
              <w:sz w:val="30"/>
              <w:szCs w:val="30"/>
            </w:rPr>
            <w:fldChar w:fldCharType="begin"/>
          </w:r>
          <w:r>
            <w:rPr>
              <w:sz w:val="30"/>
              <w:szCs w:val="30"/>
            </w:rPr>
            <w:instrText xml:space="preserve"> PAGEREF _Toc146484270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"_Toc146484271" </w:instrText>
          </w:r>
          <w:r>
            <w:fldChar w:fldCharType="separate"/>
          </w:r>
          <w:r>
            <w:rPr>
              <w:rStyle w:val="13"/>
              <w:sz w:val="30"/>
              <w:szCs w:val="30"/>
            </w:rPr>
            <w:t>三、数据资源治用提质升级</w:t>
          </w:r>
          <w:r>
            <w:rPr>
              <w:sz w:val="30"/>
              <w:szCs w:val="30"/>
            </w:rPr>
            <w:tab/>
          </w:r>
          <w:r>
            <w:rPr>
              <w:sz w:val="30"/>
              <w:szCs w:val="30"/>
            </w:rPr>
            <w:fldChar w:fldCharType="begin"/>
          </w:r>
          <w:r>
            <w:rPr>
              <w:sz w:val="30"/>
              <w:szCs w:val="30"/>
            </w:rPr>
            <w:instrText xml:space="preserve"> PAGEREF _Toc146484271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"_Toc146484272" </w:instrText>
          </w:r>
          <w:r>
            <w:fldChar w:fldCharType="separate"/>
          </w:r>
          <w:r>
            <w:rPr>
              <w:rStyle w:val="13"/>
              <w:sz w:val="30"/>
              <w:szCs w:val="30"/>
            </w:rPr>
            <w:t>四、萧县“智慧+”成效显著</w:t>
          </w:r>
          <w:r>
            <w:rPr>
              <w:sz w:val="30"/>
              <w:szCs w:val="30"/>
            </w:rPr>
            <w:tab/>
          </w:r>
          <w:r>
            <w:rPr>
              <w:sz w:val="30"/>
              <w:szCs w:val="30"/>
            </w:rPr>
            <w:fldChar w:fldCharType="begin"/>
          </w:r>
          <w:r>
            <w:rPr>
              <w:sz w:val="30"/>
              <w:szCs w:val="30"/>
            </w:rPr>
            <w:instrText xml:space="preserve"> PAGEREF _Toc146484272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"_Toc146484273" </w:instrText>
          </w:r>
          <w:r>
            <w:fldChar w:fldCharType="separate"/>
          </w:r>
          <w:r>
            <w:rPr>
              <w:rStyle w:val="13"/>
              <w:sz w:val="30"/>
              <w:szCs w:val="30"/>
            </w:rPr>
            <w:t>五、数字经济规模持续扩大</w:t>
          </w:r>
          <w:r>
            <w:rPr>
              <w:sz w:val="30"/>
              <w:szCs w:val="30"/>
            </w:rPr>
            <w:tab/>
          </w:r>
          <w:r>
            <w:rPr>
              <w:sz w:val="30"/>
              <w:szCs w:val="30"/>
            </w:rPr>
            <w:fldChar w:fldCharType="begin"/>
          </w:r>
          <w:r>
            <w:rPr>
              <w:sz w:val="30"/>
              <w:szCs w:val="30"/>
            </w:rPr>
            <w:instrText xml:space="preserve"> PAGEREF _Toc146484273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"_Toc146484274" </w:instrText>
          </w:r>
          <w:r>
            <w:fldChar w:fldCharType="separate"/>
          </w:r>
          <w:r>
            <w:rPr>
              <w:rStyle w:val="13"/>
              <w:sz w:val="30"/>
              <w:szCs w:val="30"/>
            </w:rPr>
            <w:t>六、区域协同发展深入推进</w:t>
          </w:r>
          <w:r>
            <w:rPr>
              <w:sz w:val="30"/>
              <w:szCs w:val="30"/>
            </w:rPr>
            <w:tab/>
          </w:r>
          <w:r>
            <w:rPr>
              <w:sz w:val="30"/>
              <w:szCs w:val="30"/>
            </w:rPr>
            <w:fldChar w:fldCharType="begin"/>
          </w:r>
          <w:r>
            <w:rPr>
              <w:sz w:val="30"/>
              <w:szCs w:val="30"/>
            </w:rPr>
            <w:instrText xml:space="preserve"> PAGEREF _Toc146484274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"_Toc146484275" </w:instrText>
          </w:r>
          <w:r>
            <w:fldChar w:fldCharType="separate"/>
          </w:r>
          <w:r>
            <w:rPr>
              <w:rStyle w:val="13"/>
              <w:rFonts w:ascii="Times New Roman" w:hAnsi="Times New Roman"/>
              <w:sz w:val="30"/>
              <w:szCs w:val="30"/>
            </w:rPr>
            <w:t>第二节 存在问题</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_Toc146484275 \h </w:instrText>
          </w:r>
          <w:r>
            <w:rPr>
              <w:rFonts w:ascii="Times New Roman" w:hAnsi="Times New Roman"/>
              <w:sz w:val="30"/>
              <w:szCs w:val="30"/>
            </w:rPr>
            <w:fldChar w:fldCharType="separate"/>
          </w:r>
          <w:r>
            <w:rPr>
              <w:rFonts w:ascii="Times New Roman" w:hAnsi="Times New Roman"/>
              <w:sz w:val="30"/>
              <w:szCs w:val="30"/>
            </w:rPr>
            <w:t>9</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"_Toc146484276" </w:instrText>
          </w:r>
          <w:r>
            <w:fldChar w:fldCharType="separate"/>
          </w:r>
          <w:r>
            <w:rPr>
              <w:rStyle w:val="13"/>
              <w:rFonts w:ascii="Times New Roman" w:hAnsi="Times New Roman"/>
              <w:sz w:val="30"/>
              <w:szCs w:val="30"/>
            </w:rPr>
            <w:t>第三节 机遇与挑战</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_Toc146484276 \h </w:instrText>
          </w:r>
          <w:r>
            <w:rPr>
              <w:rFonts w:ascii="Times New Roman" w:hAnsi="Times New Roman"/>
              <w:sz w:val="30"/>
              <w:szCs w:val="30"/>
            </w:rPr>
            <w:fldChar w:fldCharType="separate"/>
          </w:r>
          <w:r>
            <w:rPr>
              <w:rFonts w:ascii="Times New Roman" w:hAnsi="Times New Roman"/>
              <w:sz w:val="30"/>
              <w:szCs w:val="30"/>
            </w:rPr>
            <w:t>10</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"_Toc146484277" </w:instrText>
          </w:r>
          <w:r>
            <w:fldChar w:fldCharType="separate"/>
          </w:r>
          <w:r>
            <w:rPr>
              <w:rStyle w:val="13"/>
              <w:sz w:val="30"/>
              <w:szCs w:val="30"/>
            </w:rPr>
            <w:t>一、国家和省市发展规划引领新格局</w:t>
          </w:r>
          <w:r>
            <w:rPr>
              <w:sz w:val="30"/>
              <w:szCs w:val="30"/>
            </w:rPr>
            <w:tab/>
          </w:r>
          <w:r>
            <w:rPr>
              <w:sz w:val="30"/>
              <w:szCs w:val="30"/>
            </w:rPr>
            <w:fldChar w:fldCharType="begin"/>
          </w:r>
          <w:r>
            <w:rPr>
              <w:sz w:val="30"/>
              <w:szCs w:val="30"/>
            </w:rPr>
            <w:instrText xml:space="preserve"> PAGEREF _Toc146484277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"_Toc146484278" </w:instrText>
          </w:r>
          <w:r>
            <w:fldChar w:fldCharType="separate"/>
          </w:r>
          <w:r>
            <w:rPr>
              <w:rStyle w:val="13"/>
              <w:sz w:val="30"/>
              <w:szCs w:val="30"/>
            </w:rPr>
            <w:t>二、区域一体化战略创新开拓新局面</w:t>
          </w:r>
          <w:r>
            <w:rPr>
              <w:sz w:val="30"/>
              <w:szCs w:val="30"/>
            </w:rPr>
            <w:tab/>
          </w:r>
          <w:r>
            <w:rPr>
              <w:sz w:val="30"/>
              <w:szCs w:val="30"/>
            </w:rPr>
            <w:fldChar w:fldCharType="begin"/>
          </w:r>
          <w:r>
            <w:rPr>
              <w:sz w:val="30"/>
              <w:szCs w:val="30"/>
            </w:rPr>
            <w:instrText xml:space="preserve"> PAGEREF _Toc146484278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"_Toc146484279" </w:instrText>
          </w:r>
          <w:r>
            <w:fldChar w:fldCharType="separate"/>
          </w:r>
          <w:r>
            <w:rPr>
              <w:rStyle w:val="13"/>
              <w:sz w:val="30"/>
              <w:szCs w:val="30"/>
            </w:rPr>
            <w:t>三、新一轮科技变革赋能数字经济开新篇</w:t>
          </w:r>
          <w:r>
            <w:rPr>
              <w:sz w:val="30"/>
              <w:szCs w:val="30"/>
            </w:rPr>
            <w:tab/>
          </w:r>
          <w:r>
            <w:rPr>
              <w:sz w:val="30"/>
              <w:szCs w:val="30"/>
            </w:rPr>
            <w:fldChar w:fldCharType="begin"/>
          </w:r>
          <w:r>
            <w:rPr>
              <w:sz w:val="30"/>
              <w:szCs w:val="30"/>
            </w:rPr>
            <w:instrText xml:space="preserve"> PAGEREF _Toc146484279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"_Toc146484280" </w:instrText>
          </w:r>
          <w:r>
            <w:fldChar w:fldCharType="separate"/>
          </w:r>
          <w:r>
            <w:rPr>
              <w:rStyle w:val="13"/>
              <w:rFonts w:ascii="Times New Roman" w:hAnsi="Times New Roman"/>
              <w:sz w:val="30"/>
              <w:szCs w:val="30"/>
            </w:rPr>
            <w:t>第三章 数字萧县发展思路与总体要求</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_Toc146484280 \h </w:instrText>
          </w:r>
          <w:r>
            <w:rPr>
              <w:rFonts w:ascii="Times New Roman" w:hAnsi="Times New Roman"/>
              <w:sz w:val="30"/>
              <w:szCs w:val="30"/>
            </w:rPr>
            <w:fldChar w:fldCharType="separate"/>
          </w:r>
          <w:r>
            <w:rPr>
              <w:rFonts w:ascii="Times New Roman" w:hAnsi="Times New Roman"/>
              <w:sz w:val="30"/>
              <w:szCs w:val="30"/>
            </w:rPr>
            <w:t>13</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"_Toc146484281" </w:instrText>
          </w:r>
          <w:r>
            <w:fldChar w:fldCharType="separate"/>
          </w:r>
          <w:r>
            <w:rPr>
              <w:rStyle w:val="13"/>
              <w:rFonts w:ascii="Times New Roman" w:hAnsi="Times New Roman"/>
              <w:sz w:val="30"/>
              <w:szCs w:val="30"/>
            </w:rPr>
            <w:t>第一节 指导思想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_Toc146484281 \h </w:instrText>
          </w:r>
          <w:r>
            <w:rPr>
              <w:rFonts w:ascii="Times New Roman" w:hAnsi="Times New Roman"/>
              <w:sz w:val="30"/>
              <w:szCs w:val="30"/>
            </w:rPr>
            <w:fldChar w:fldCharType="separate"/>
          </w:r>
          <w:r>
            <w:rPr>
              <w:rFonts w:ascii="Times New Roman" w:hAnsi="Times New Roman"/>
              <w:sz w:val="30"/>
              <w:szCs w:val="30"/>
            </w:rPr>
            <w:t>13</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"_Toc146484282" </w:instrText>
          </w:r>
          <w:r>
            <w:fldChar w:fldCharType="separate"/>
          </w:r>
          <w:r>
            <w:rPr>
              <w:rStyle w:val="13"/>
              <w:rFonts w:ascii="Times New Roman" w:hAnsi="Times New Roman"/>
              <w:sz w:val="30"/>
              <w:szCs w:val="30"/>
            </w:rPr>
            <w:t>第二节 基本原则</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_Toc146484282 \h </w:instrText>
          </w:r>
          <w:r>
            <w:rPr>
              <w:rFonts w:ascii="Times New Roman" w:hAnsi="Times New Roman"/>
              <w:sz w:val="30"/>
              <w:szCs w:val="30"/>
            </w:rPr>
            <w:fldChar w:fldCharType="separate"/>
          </w:r>
          <w:r>
            <w:rPr>
              <w:rFonts w:ascii="Times New Roman" w:hAnsi="Times New Roman"/>
              <w:sz w:val="30"/>
              <w:szCs w:val="30"/>
            </w:rPr>
            <w:t>13</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"_Toc146484283" </w:instrText>
          </w:r>
          <w:r>
            <w:fldChar w:fldCharType="separate"/>
          </w:r>
          <w:r>
            <w:rPr>
              <w:rStyle w:val="13"/>
              <w:sz w:val="30"/>
              <w:szCs w:val="30"/>
            </w:rPr>
            <w:t>一、创新引领，数据赋能</w:t>
          </w:r>
          <w:r>
            <w:rPr>
              <w:sz w:val="30"/>
              <w:szCs w:val="30"/>
            </w:rPr>
            <w:tab/>
          </w:r>
          <w:r>
            <w:rPr>
              <w:sz w:val="30"/>
              <w:szCs w:val="30"/>
            </w:rPr>
            <w:fldChar w:fldCharType="begin"/>
          </w:r>
          <w:r>
            <w:rPr>
              <w:sz w:val="30"/>
              <w:szCs w:val="30"/>
            </w:rPr>
            <w:instrText xml:space="preserve"> PAGEREF _Toc146484283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"_Toc146484284" </w:instrText>
          </w:r>
          <w:r>
            <w:fldChar w:fldCharType="separate"/>
          </w:r>
          <w:r>
            <w:rPr>
              <w:rStyle w:val="13"/>
              <w:sz w:val="30"/>
              <w:szCs w:val="30"/>
            </w:rPr>
            <w:t>二、政府引导，协同联动</w:t>
          </w:r>
          <w:r>
            <w:rPr>
              <w:sz w:val="30"/>
              <w:szCs w:val="30"/>
            </w:rPr>
            <w:tab/>
          </w:r>
          <w:r>
            <w:rPr>
              <w:sz w:val="30"/>
              <w:szCs w:val="30"/>
            </w:rPr>
            <w:fldChar w:fldCharType="begin"/>
          </w:r>
          <w:r>
            <w:rPr>
              <w:sz w:val="30"/>
              <w:szCs w:val="30"/>
            </w:rPr>
            <w:instrText xml:space="preserve"> PAGEREF _Toc146484284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"_Toc146484285" </w:instrText>
          </w:r>
          <w:r>
            <w:fldChar w:fldCharType="separate"/>
          </w:r>
          <w:r>
            <w:rPr>
              <w:rStyle w:val="13"/>
              <w:sz w:val="30"/>
              <w:szCs w:val="30"/>
            </w:rPr>
            <w:t>三、应用牵引，惠及民生</w:t>
          </w:r>
          <w:r>
            <w:rPr>
              <w:sz w:val="30"/>
              <w:szCs w:val="30"/>
            </w:rPr>
            <w:tab/>
          </w:r>
          <w:r>
            <w:rPr>
              <w:sz w:val="30"/>
              <w:szCs w:val="30"/>
            </w:rPr>
            <w:fldChar w:fldCharType="begin"/>
          </w:r>
          <w:r>
            <w:rPr>
              <w:sz w:val="30"/>
              <w:szCs w:val="30"/>
            </w:rPr>
            <w:instrText xml:space="preserve"> PAGEREF _Toc146484285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"_Toc146484286" </w:instrText>
          </w:r>
          <w:r>
            <w:fldChar w:fldCharType="separate"/>
          </w:r>
          <w:r>
            <w:rPr>
              <w:rStyle w:val="13"/>
              <w:sz w:val="30"/>
              <w:szCs w:val="30"/>
            </w:rPr>
            <w:t>四、系统推进，安全有序</w:t>
          </w:r>
          <w:r>
            <w:rPr>
              <w:sz w:val="30"/>
              <w:szCs w:val="30"/>
            </w:rPr>
            <w:tab/>
          </w:r>
          <w:r>
            <w:rPr>
              <w:sz w:val="30"/>
              <w:szCs w:val="30"/>
            </w:rPr>
            <w:fldChar w:fldCharType="begin"/>
          </w:r>
          <w:r>
            <w:rPr>
              <w:sz w:val="30"/>
              <w:szCs w:val="30"/>
            </w:rPr>
            <w:instrText xml:space="preserve"> PAGEREF _Toc146484286 \h </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"_Toc146484287" </w:instrText>
          </w:r>
          <w:r>
            <w:fldChar w:fldCharType="separate"/>
          </w:r>
          <w:r>
            <w:rPr>
              <w:rStyle w:val="13"/>
              <w:rFonts w:ascii="Times New Roman" w:hAnsi="Times New Roman"/>
              <w:sz w:val="30"/>
              <w:szCs w:val="30"/>
            </w:rPr>
            <w:t>第三节 战略思路</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_Toc146484287 \h </w:instrText>
          </w:r>
          <w:r>
            <w:rPr>
              <w:rFonts w:ascii="Times New Roman" w:hAnsi="Times New Roman"/>
              <w:sz w:val="30"/>
              <w:szCs w:val="30"/>
            </w:rPr>
            <w:fldChar w:fldCharType="separate"/>
          </w:r>
          <w:r>
            <w:rPr>
              <w:rFonts w:ascii="Times New Roman" w:hAnsi="Times New Roman"/>
              <w:sz w:val="30"/>
              <w:szCs w:val="30"/>
            </w:rPr>
            <w:t>14</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"_Toc146484288" </w:instrText>
          </w:r>
          <w:r>
            <w:fldChar w:fldCharType="separate"/>
          </w:r>
          <w:r>
            <w:rPr>
              <w:rStyle w:val="13"/>
              <w:rFonts w:ascii="Times New Roman" w:hAnsi="Times New Roman"/>
              <w:sz w:val="30"/>
              <w:szCs w:val="30"/>
            </w:rPr>
            <w:t>第四节 发展目标</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_Toc146484288 \h </w:instrText>
          </w:r>
          <w:r>
            <w:rPr>
              <w:rFonts w:ascii="Times New Roman" w:hAnsi="Times New Roman"/>
              <w:sz w:val="30"/>
              <w:szCs w:val="30"/>
            </w:rPr>
            <w:fldChar w:fldCharType="separate"/>
          </w:r>
          <w:r>
            <w:rPr>
              <w:rFonts w:ascii="Times New Roman" w:hAnsi="Times New Roman"/>
              <w:sz w:val="30"/>
              <w:szCs w:val="30"/>
            </w:rPr>
            <w:t>16</w:t>
          </w:r>
          <w:r>
            <w:rPr>
              <w:rFonts w:ascii="Times New Roman" w:hAnsi="Times New Roman"/>
              <w:sz w:val="30"/>
              <w:szCs w:val="30"/>
            </w:rPr>
            <w:fldChar w:fldCharType="end"/>
          </w:r>
          <w:r>
            <w:rPr>
              <w:rFonts w:ascii="Times New Roman" w:hAnsi="Times New Roman"/>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"_Toc146484289" </w:instrText>
          </w:r>
          <w:r>
            <w:fldChar w:fldCharType="separate"/>
          </w:r>
          <w:r>
            <w:rPr>
              <w:rStyle w:val="13"/>
              <w:rFonts w:ascii="Times New Roman" w:hAnsi="Times New Roman"/>
              <w:sz w:val="30"/>
              <w:szCs w:val="30"/>
            </w:rPr>
            <w:t>第四章 筑牢数字基础底座</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_Toc146484289 \h </w:instrText>
          </w:r>
          <w:r>
            <w:rPr>
              <w:rFonts w:ascii="Times New Roman" w:hAnsi="Times New Roman"/>
              <w:sz w:val="30"/>
              <w:szCs w:val="30"/>
            </w:rPr>
            <w:fldChar w:fldCharType="separate"/>
          </w:r>
          <w:r>
            <w:rPr>
              <w:rFonts w:ascii="Times New Roman" w:hAnsi="Times New Roman"/>
              <w:sz w:val="30"/>
              <w:szCs w:val="30"/>
            </w:rPr>
            <w:t>20</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"_Toc146484290" </w:instrText>
          </w:r>
          <w:r>
            <w:fldChar w:fldCharType="separate"/>
          </w:r>
          <w:r>
            <w:rPr>
              <w:rStyle w:val="13"/>
              <w:rFonts w:ascii="Times New Roman" w:hAnsi="Times New Roman"/>
              <w:sz w:val="30"/>
              <w:szCs w:val="30"/>
            </w:rPr>
            <w:t>第一节 推动数字基础设施建设</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_Toc146484290 \h </w:instrText>
          </w:r>
          <w:r>
            <w:rPr>
              <w:rFonts w:ascii="Times New Roman" w:hAnsi="Times New Roman"/>
              <w:sz w:val="30"/>
              <w:szCs w:val="30"/>
            </w:rPr>
            <w:fldChar w:fldCharType="separate"/>
          </w:r>
          <w:r>
            <w:rPr>
              <w:rFonts w:ascii="Times New Roman" w:hAnsi="Times New Roman"/>
              <w:sz w:val="30"/>
              <w:szCs w:val="30"/>
            </w:rPr>
            <w:t>20</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"_Toc146484291" </w:instrText>
          </w:r>
          <w:r>
            <w:fldChar w:fldCharType="separate"/>
          </w:r>
          <w:r>
            <w:rPr>
              <w:rStyle w:val="13"/>
              <w:sz w:val="30"/>
              <w:szCs w:val="30"/>
            </w:rPr>
            <w:t>一、建设泛在通信网络</w:t>
          </w:r>
          <w:r>
            <w:rPr>
              <w:sz w:val="30"/>
              <w:szCs w:val="30"/>
            </w:rPr>
            <w:tab/>
          </w:r>
          <w:r>
            <w:rPr>
              <w:sz w:val="30"/>
              <w:szCs w:val="30"/>
            </w:rPr>
            <w:fldChar w:fldCharType="begin"/>
          </w:r>
          <w:r>
            <w:rPr>
              <w:sz w:val="30"/>
              <w:szCs w:val="30"/>
            </w:rPr>
            <w:instrText xml:space="preserve"> PAGEREF _Toc146484291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"_Toc146484292" </w:instrText>
          </w:r>
          <w:r>
            <w:fldChar w:fldCharType="separate"/>
          </w:r>
          <w:r>
            <w:rPr>
              <w:rStyle w:val="13"/>
              <w:sz w:val="30"/>
              <w:szCs w:val="30"/>
            </w:rPr>
            <w:t>二、部署区域感知设施</w:t>
          </w:r>
          <w:r>
            <w:rPr>
              <w:sz w:val="30"/>
              <w:szCs w:val="30"/>
            </w:rPr>
            <w:tab/>
          </w:r>
          <w:r>
            <w:rPr>
              <w:sz w:val="30"/>
              <w:szCs w:val="30"/>
            </w:rPr>
            <w:fldChar w:fldCharType="begin"/>
          </w:r>
          <w:r>
            <w:rPr>
              <w:sz w:val="30"/>
              <w:szCs w:val="30"/>
            </w:rPr>
            <w:instrText xml:space="preserve"> PAGEREF _Toc146484292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"_Toc146484293" </w:instrText>
          </w:r>
          <w:r>
            <w:fldChar w:fldCharType="separate"/>
          </w:r>
          <w:r>
            <w:rPr>
              <w:rStyle w:val="13"/>
              <w:sz w:val="30"/>
              <w:szCs w:val="30"/>
            </w:rPr>
            <w:t>三、强化数据存算能力</w:t>
          </w:r>
          <w:r>
            <w:rPr>
              <w:sz w:val="30"/>
              <w:szCs w:val="30"/>
            </w:rPr>
            <w:tab/>
          </w:r>
          <w:r>
            <w:rPr>
              <w:sz w:val="30"/>
              <w:szCs w:val="30"/>
            </w:rPr>
            <w:fldChar w:fldCharType="begin"/>
          </w:r>
          <w:r>
            <w:rPr>
              <w:sz w:val="30"/>
              <w:szCs w:val="30"/>
            </w:rPr>
            <w:instrText xml:space="preserve"> PAGEREF _Toc146484293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"_Toc146484294" </w:instrText>
          </w:r>
          <w:r>
            <w:fldChar w:fldCharType="separate"/>
          </w:r>
          <w:r>
            <w:rPr>
              <w:rStyle w:val="13"/>
              <w:rFonts w:ascii="Times New Roman" w:hAnsi="Times New Roman"/>
              <w:sz w:val="30"/>
              <w:szCs w:val="30"/>
            </w:rPr>
            <w:t>第二节 提升数据赋能发展水平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_Toc146484294 \h </w:instrText>
          </w:r>
          <w:r>
            <w:rPr>
              <w:rFonts w:ascii="Times New Roman" w:hAnsi="Times New Roman"/>
              <w:sz w:val="30"/>
              <w:szCs w:val="30"/>
            </w:rPr>
            <w:fldChar w:fldCharType="separate"/>
          </w:r>
          <w:r>
            <w:rPr>
              <w:rFonts w:ascii="Times New Roman" w:hAnsi="Times New Roman"/>
              <w:sz w:val="30"/>
              <w:szCs w:val="30"/>
            </w:rPr>
            <w:t>24</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"_Toc146484295" </w:instrText>
          </w:r>
          <w:r>
            <w:fldChar w:fldCharType="separate"/>
          </w:r>
          <w:r>
            <w:rPr>
              <w:rStyle w:val="13"/>
              <w:sz w:val="30"/>
              <w:szCs w:val="30"/>
            </w:rPr>
            <w:t>一、完善数据管理体系与机制</w:t>
          </w:r>
          <w:r>
            <w:rPr>
              <w:sz w:val="30"/>
              <w:szCs w:val="30"/>
            </w:rPr>
            <w:tab/>
          </w:r>
          <w:r>
            <w:rPr>
              <w:sz w:val="30"/>
              <w:szCs w:val="30"/>
            </w:rPr>
            <w:fldChar w:fldCharType="begin"/>
          </w:r>
          <w:r>
            <w:rPr>
              <w:sz w:val="30"/>
              <w:szCs w:val="30"/>
            </w:rPr>
            <w:instrText xml:space="preserve"> PAGEREF _Toc146484295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"_Toc146484296" </w:instrText>
          </w:r>
          <w:r>
            <w:fldChar w:fldCharType="separate"/>
          </w:r>
          <w:r>
            <w:rPr>
              <w:rStyle w:val="13"/>
              <w:sz w:val="30"/>
              <w:szCs w:val="30"/>
            </w:rPr>
            <w:t>二、加强数据资源采集与归集</w:t>
          </w:r>
          <w:r>
            <w:rPr>
              <w:sz w:val="30"/>
              <w:szCs w:val="30"/>
            </w:rPr>
            <w:tab/>
          </w:r>
          <w:r>
            <w:rPr>
              <w:sz w:val="30"/>
              <w:szCs w:val="30"/>
            </w:rPr>
            <w:fldChar w:fldCharType="begin"/>
          </w:r>
          <w:r>
            <w:rPr>
              <w:sz w:val="30"/>
              <w:szCs w:val="30"/>
            </w:rPr>
            <w:instrText xml:space="preserve"> PAGEREF _Toc146484296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"_Toc146484297" </w:instrText>
          </w:r>
          <w:r>
            <w:fldChar w:fldCharType="separate"/>
          </w:r>
          <w:r>
            <w:rPr>
              <w:rStyle w:val="13"/>
              <w:sz w:val="30"/>
              <w:szCs w:val="30"/>
            </w:rPr>
            <w:t>三、强化数据挖掘与应用服务</w:t>
          </w:r>
          <w:r>
            <w:rPr>
              <w:sz w:val="30"/>
              <w:szCs w:val="30"/>
            </w:rPr>
            <w:tab/>
          </w:r>
          <w:r>
            <w:rPr>
              <w:sz w:val="30"/>
              <w:szCs w:val="30"/>
            </w:rPr>
            <w:fldChar w:fldCharType="begin"/>
          </w:r>
          <w:r>
            <w:rPr>
              <w:sz w:val="30"/>
              <w:szCs w:val="30"/>
            </w:rPr>
            <w:instrText xml:space="preserve"> PAGEREF _Toc146484297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"_Toc146484298" </w:instrText>
          </w:r>
          <w:r>
            <w:fldChar w:fldCharType="separate"/>
          </w:r>
          <w:r>
            <w:rPr>
              <w:rStyle w:val="13"/>
              <w:sz w:val="30"/>
              <w:szCs w:val="30"/>
            </w:rPr>
            <w:t>四、推进数据资源共享与流通</w:t>
          </w:r>
          <w:r>
            <w:rPr>
              <w:sz w:val="30"/>
              <w:szCs w:val="30"/>
            </w:rPr>
            <w:tab/>
          </w:r>
          <w:r>
            <w:rPr>
              <w:sz w:val="30"/>
              <w:szCs w:val="30"/>
            </w:rPr>
            <w:fldChar w:fldCharType="begin"/>
          </w:r>
          <w:r>
            <w:rPr>
              <w:sz w:val="30"/>
              <w:szCs w:val="30"/>
            </w:rPr>
            <w:instrText xml:space="preserve"> PAGEREF _Toc146484298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"_Toc146484299" </w:instrText>
          </w:r>
          <w:r>
            <w:fldChar w:fldCharType="separate"/>
          </w:r>
          <w:r>
            <w:rPr>
              <w:rStyle w:val="13"/>
              <w:rFonts w:ascii="Times New Roman" w:hAnsi="Times New Roman"/>
              <w:sz w:val="30"/>
              <w:szCs w:val="30"/>
            </w:rPr>
            <w:t>第三节 推进智慧城市提质升级</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_Toc146484299 \h </w:instrText>
          </w:r>
          <w:r>
            <w:rPr>
              <w:rFonts w:ascii="Times New Roman" w:hAnsi="Times New Roman"/>
              <w:sz w:val="30"/>
              <w:szCs w:val="30"/>
            </w:rPr>
            <w:fldChar w:fldCharType="separate"/>
          </w:r>
          <w:r>
            <w:rPr>
              <w:rFonts w:ascii="Times New Roman" w:hAnsi="Times New Roman"/>
              <w:sz w:val="30"/>
              <w:szCs w:val="30"/>
            </w:rPr>
            <w:t>27</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"_Toc146484300" </w:instrText>
          </w:r>
          <w:r>
            <w:fldChar w:fldCharType="separate"/>
          </w:r>
          <w:r>
            <w:rPr>
              <w:rStyle w:val="13"/>
              <w:sz w:val="30"/>
              <w:szCs w:val="30"/>
            </w:rPr>
            <w:t>一、建设城市数据中台</w:t>
          </w:r>
          <w:r>
            <w:rPr>
              <w:sz w:val="30"/>
              <w:szCs w:val="30"/>
            </w:rPr>
            <w:tab/>
          </w:r>
          <w:r>
            <w:rPr>
              <w:sz w:val="30"/>
              <w:szCs w:val="30"/>
            </w:rPr>
            <w:fldChar w:fldCharType="begin"/>
          </w:r>
          <w:r>
            <w:rPr>
              <w:sz w:val="30"/>
              <w:szCs w:val="30"/>
            </w:rPr>
            <w:instrText xml:space="preserve"> PAGEREF _Toc146484300 \h </w:instrText>
          </w:r>
          <w:r>
            <w:rPr>
              <w:sz w:val="30"/>
              <w:szCs w:val="30"/>
            </w:rPr>
            <w:fldChar w:fldCharType="separate"/>
          </w:r>
          <w:r>
            <w:rPr>
              <w:sz w:val="30"/>
              <w:szCs w:val="30"/>
            </w:rPr>
            <w:t>27</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"_Toc146484301" </w:instrText>
          </w:r>
          <w:r>
            <w:fldChar w:fldCharType="separate"/>
          </w:r>
          <w:r>
            <w:rPr>
              <w:rStyle w:val="13"/>
              <w:sz w:val="30"/>
              <w:szCs w:val="30"/>
            </w:rPr>
            <w:t>二、完善城市服务中台</w:t>
          </w:r>
          <w:r>
            <w:rPr>
              <w:sz w:val="30"/>
              <w:szCs w:val="30"/>
            </w:rPr>
            <w:tab/>
          </w:r>
          <w:r>
            <w:rPr>
              <w:sz w:val="30"/>
              <w:szCs w:val="30"/>
            </w:rPr>
            <w:fldChar w:fldCharType="begin"/>
          </w:r>
          <w:r>
            <w:rPr>
              <w:sz w:val="30"/>
              <w:szCs w:val="30"/>
            </w:rPr>
            <w:instrText xml:space="preserve"> PAGEREF _Toc146484301 \h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"_Toc146484302" </w:instrText>
          </w:r>
          <w:r>
            <w:fldChar w:fldCharType="separate"/>
          </w:r>
          <w:r>
            <w:rPr>
              <w:rStyle w:val="13"/>
              <w:sz w:val="30"/>
              <w:szCs w:val="30"/>
            </w:rPr>
            <w:t>三、探索人工智能平台</w:t>
          </w:r>
          <w:r>
            <w:rPr>
              <w:sz w:val="30"/>
              <w:szCs w:val="30"/>
            </w:rPr>
            <w:tab/>
          </w:r>
          <w:r>
            <w:rPr>
              <w:sz w:val="30"/>
              <w:szCs w:val="30"/>
            </w:rPr>
            <w:fldChar w:fldCharType="begin"/>
          </w:r>
          <w:r>
            <w:rPr>
              <w:sz w:val="30"/>
              <w:szCs w:val="30"/>
            </w:rPr>
            <w:instrText xml:space="preserve"> PAGEREF _Toc146484302 \h </w:instrText>
          </w:r>
          <w:r>
            <w:rPr>
              <w:sz w:val="30"/>
              <w:szCs w:val="30"/>
            </w:rPr>
            <w:fldChar w:fldCharType="separate"/>
          </w:r>
          <w:r>
            <w:rPr>
              <w:sz w:val="30"/>
              <w:szCs w:val="30"/>
            </w:rPr>
            <w:t>29</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"_Toc146484303" </w:instrText>
          </w:r>
          <w:r>
            <w:fldChar w:fldCharType="separate"/>
          </w:r>
          <w:r>
            <w:rPr>
              <w:rStyle w:val="13"/>
              <w:sz w:val="30"/>
              <w:szCs w:val="30"/>
            </w:rPr>
            <w:t>四、探索数字孪生平台</w:t>
          </w:r>
          <w:r>
            <w:rPr>
              <w:sz w:val="30"/>
              <w:szCs w:val="30"/>
            </w:rPr>
            <w:tab/>
          </w:r>
          <w:r>
            <w:rPr>
              <w:sz w:val="30"/>
              <w:szCs w:val="30"/>
            </w:rPr>
            <w:fldChar w:fldCharType="begin"/>
          </w:r>
          <w:r>
            <w:rPr>
              <w:sz w:val="30"/>
              <w:szCs w:val="30"/>
            </w:rPr>
            <w:instrText xml:space="preserve"> PAGEREF _Toc146484303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"_Toc146484304" </w:instrText>
          </w:r>
          <w:r>
            <w:fldChar w:fldCharType="separate"/>
          </w:r>
          <w:r>
            <w:rPr>
              <w:rStyle w:val="13"/>
              <w:rFonts w:ascii="Times New Roman" w:hAnsi="Times New Roman"/>
              <w:sz w:val="30"/>
              <w:szCs w:val="30"/>
            </w:rPr>
            <w:t>第五章 聚焦重点发展任务</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_Toc146484304 \h </w:instrText>
          </w:r>
          <w:r>
            <w:rPr>
              <w:rFonts w:ascii="Times New Roman" w:hAnsi="Times New Roman"/>
              <w:sz w:val="30"/>
              <w:szCs w:val="30"/>
            </w:rPr>
            <w:fldChar w:fldCharType="separate"/>
          </w:r>
          <w:r>
            <w:rPr>
              <w:rFonts w:ascii="Times New Roman" w:hAnsi="Times New Roman"/>
              <w:sz w:val="30"/>
              <w:szCs w:val="30"/>
            </w:rPr>
            <w:t>32</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"_Toc146484305" </w:instrText>
          </w:r>
          <w:r>
            <w:fldChar w:fldCharType="separate"/>
          </w:r>
          <w:r>
            <w:rPr>
              <w:rStyle w:val="13"/>
              <w:rFonts w:ascii="Times New Roman" w:hAnsi="Times New Roman"/>
              <w:sz w:val="30"/>
              <w:szCs w:val="30"/>
            </w:rPr>
            <w:t>第一节 强化数字科技创新，凝练数字萧县能力</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_Toc146484305 \h </w:instrText>
          </w:r>
          <w:r>
            <w:rPr>
              <w:rFonts w:ascii="Times New Roman" w:hAnsi="Times New Roman"/>
              <w:sz w:val="30"/>
              <w:szCs w:val="30"/>
            </w:rPr>
            <w:fldChar w:fldCharType="separate"/>
          </w:r>
          <w:r>
            <w:rPr>
              <w:rFonts w:ascii="Times New Roman" w:hAnsi="Times New Roman"/>
              <w:sz w:val="30"/>
              <w:szCs w:val="30"/>
            </w:rPr>
            <w:t>32</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"_Toc146484306" </w:instrText>
          </w:r>
          <w:r>
            <w:fldChar w:fldCharType="separate"/>
          </w:r>
          <w:r>
            <w:rPr>
              <w:rStyle w:val="13"/>
              <w:rFonts w:ascii="Times New Roman" w:hAnsi="Times New Roman"/>
              <w:sz w:val="30"/>
              <w:szCs w:val="30"/>
            </w:rPr>
            <w:t>第二节 推动数字产业协作，强化数字经济赋能</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_Toc146484306 \h </w:instrText>
          </w:r>
          <w:r>
            <w:rPr>
              <w:rFonts w:ascii="Times New Roman" w:hAnsi="Times New Roman"/>
              <w:sz w:val="30"/>
              <w:szCs w:val="30"/>
            </w:rPr>
            <w:fldChar w:fldCharType="separate"/>
          </w:r>
          <w:r>
            <w:rPr>
              <w:rFonts w:ascii="Times New Roman" w:hAnsi="Times New Roman"/>
              <w:sz w:val="30"/>
              <w:szCs w:val="30"/>
            </w:rPr>
            <w:t>34</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"_Toc146484307" </w:instrText>
          </w:r>
          <w:r>
            <w:fldChar w:fldCharType="separate"/>
          </w:r>
          <w:r>
            <w:rPr>
              <w:rStyle w:val="13"/>
              <w:rFonts w:ascii="Times New Roman" w:hAnsi="Times New Roman"/>
              <w:sz w:val="30"/>
              <w:szCs w:val="30"/>
            </w:rPr>
            <w:t>第三节 助力两化两业融合，推进数字应用引领</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_Toc146484307 \h </w:instrText>
          </w:r>
          <w:r>
            <w:rPr>
              <w:rFonts w:ascii="Times New Roman" w:hAnsi="Times New Roman"/>
              <w:sz w:val="30"/>
              <w:szCs w:val="30"/>
            </w:rPr>
            <w:fldChar w:fldCharType="separate"/>
          </w:r>
          <w:r>
            <w:rPr>
              <w:rFonts w:ascii="Times New Roman" w:hAnsi="Times New Roman"/>
              <w:sz w:val="30"/>
              <w:szCs w:val="30"/>
            </w:rPr>
            <w:t>36</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"_Toc146484308" </w:instrText>
          </w:r>
          <w:r>
            <w:fldChar w:fldCharType="separate"/>
          </w:r>
          <w:r>
            <w:rPr>
              <w:rStyle w:val="13"/>
              <w:rFonts w:ascii="Times New Roman" w:hAnsi="Times New Roman"/>
              <w:sz w:val="30"/>
              <w:szCs w:val="30"/>
            </w:rPr>
            <w:t>第四节 坚持点线面协同，做活一二三产融合</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_Toc146484308 \h </w:instrText>
          </w:r>
          <w:r>
            <w:rPr>
              <w:rFonts w:ascii="Times New Roman" w:hAnsi="Times New Roman"/>
              <w:sz w:val="30"/>
              <w:szCs w:val="30"/>
            </w:rPr>
            <w:fldChar w:fldCharType="separate"/>
          </w:r>
          <w:r>
            <w:rPr>
              <w:rFonts w:ascii="Times New Roman" w:hAnsi="Times New Roman"/>
              <w:sz w:val="30"/>
              <w:szCs w:val="30"/>
            </w:rPr>
            <w:t>42</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"_Toc146484309" </w:instrText>
          </w:r>
          <w:r>
            <w:fldChar w:fldCharType="separate"/>
          </w:r>
          <w:r>
            <w:rPr>
              <w:rStyle w:val="13"/>
              <w:rFonts w:ascii="Times New Roman" w:hAnsi="Times New Roman"/>
              <w:sz w:val="30"/>
              <w:szCs w:val="30"/>
            </w:rPr>
            <w:t>第五节 加强网络安全保障，大力建设平安萧县</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_Toc146484309 \h </w:instrText>
          </w:r>
          <w:r>
            <w:rPr>
              <w:rFonts w:ascii="Times New Roman" w:hAnsi="Times New Roman"/>
              <w:sz w:val="30"/>
              <w:szCs w:val="30"/>
            </w:rPr>
            <w:fldChar w:fldCharType="separate"/>
          </w:r>
          <w:r>
            <w:rPr>
              <w:rFonts w:ascii="Times New Roman" w:hAnsi="Times New Roman"/>
              <w:sz w:val="30"/>
              <w:szCs w:val="30"/>
            </w:rPr>
            <w:t>47</w:t>
          </w:r>
          <w:r>
            <w:rPr>
              <w:rFonts w:ascii="Times New Roman" w:hAnsi="Times New Roman"/>
              <w:sz w:val="30"/>
              <w:szCs w:val="30"/>
            </w:rPr>
            <w:fldChar w:fldCharType="end"/>
          </w:r>
          <w:r>
            <w:rPr>
              <w:rFonts w:ascii="Times New Roman" w:hAnsi="Times New Roman"/>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"_Toc146484310" </w:instrText>
          </w:r>
          <w:r>
            <w:fldChar w:fldCharType="separate"/>
          </w:r>
          <w:r>
            <w:rPr>
              <w:rStyle w:val="13"/>
              <w:rFonts w:ascii="Times New Roman" w:hAnsi="Times New Roman"/>
              <w:sz w:val="30"/>
              <w:szCs w:val="30"/>
            </w:rPr>
            <w:t>第六章 融入区域数字协同</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_Toc146484310 \h </w:instrText>
          </w:r>
          <w:r>
            <w:rPr>
              <w:rFonts w:ascii="Times New Roman" w:hAnsi="Times New Roman"/>
              <w:sz w:val="30"/>
              <w:szCs w:val="30"/>
            </w:rPr>
            <w:fldChar w:fldCharType="separate"/>
          </w:r>
          <w:r>
            <w:rPr>
              <w:rFonts w:ascii="Times New Roman" w:hAnsi="Times New Roman"/>
              <w:sz w:val="30"/>
              <w:szCs w:val="30"/>
            </w:rPr>
            <w:t>51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"_Toc146484311" </w:instrText>
          </w:r>
          <w:r>
            <w:fldChar w:fldCharType="separate"/>
          </w:r>
          <w:r>
            <w:rPr>
              <w:rStyle w:val="13"/>
              <w:rFonts w:ascii="Times New Roman" w:hAnsi="Times New Roman"/>
              <w:sz w:val="30"/>
              <w:szCs w:val="30"/>
            </w:rPr>
            <w:t>第一节 落实区域数字设施互联互通</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_Toc146484311 \h </w:instrText>
          </w:r>
          <w:r>
            <w:rPr>
              <w:rFonts w:ascii="Times New Roman" w:hAnsi="Times New Roman"/>
              <w:sz w:val="30"/>
              <w:szCs w:val="30"/>
            </w:rPr>
            <w:fldChar w:fldCharType="separate"/>
          </w:r>
          <w:r>
            <w:rPr>
              <w:rFonts w:ascii="Times New Roman" w:hAnsi="Times New Roman"/>
              <w:sz w:val="30"/>
              <w:szCs w:val="30"/>
            </w:rPr>
            <w:t>51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"_Toc146484312" </w:instrText>
          </w:r>
          <w:r>
            <w:fldChar w:fldCharType="separate"/>
          </w:r>
          <w:r>
            <w:rPr>
              <w:rStyle w:val="13"/>
              <w:rFonts w:ascii="Times New Roman" w:hAnsi="Times New Roman"/>
              <w:sz w:val="30"/>
              <w:szCs w:val="30"/>
            </w:rPr>
            <w:t>第二节 加快融入区域数字经济布局</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_Toc146484312 \h </w:instrText>
          </w:r>
          <w:r>
            <w:rPr>
              <w:rFonts w:ascii="Times New Roman" w:hAnsi="Times New Roman"/>
              <w:sz w:val="30"/>
              <w:szCs w:val="30"/>
            </w:rPr>
            <w:fldChar w:fldCharType="separate"/>
          </w:r>
          <w:r>
            <w:rPr>
              <w:rFonts w:ascii="Times New Roman" w:hAnsi="Times New Roman"/>
              <w:sz w:val="30"/>
              <w:szCs w:val="30"/>
            </w:rPr>
            <w:t>53</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"_Toc146484313" </w:instrText>
          </w:r>
          <w:r>
            <w:fldChar w:fldCharType="separate"/>
          </w:r>
          <w:r>
            <w:rPr>
              <w:rStyle w:val="13"/>
              <w:rFonts w:ascii="Times New Roman" w:hAnsi="Times New Roman"/>
              <w:sz w:val="30"/>
              <w:szCs w:val="30"/>
            </w:rPr>
            <w:t>第三节 提升共建共享公共服务能力</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_Toc146484313 \h </w:instrText>
          </w:r>
          <w:r>
            <w:rPr>
              <w:rFonts w:ascii="Times New Roman" w:hAnsi="Times New Roman"/>
              <w:sz w:val="30"/>
              <w:szCs w:val="30"/>
            </w:rPr>
            <w:fldChar w:fldCharType="separate"/>
          </w:r>
          <w:r>
            <w:rPr>
              <w:rFonts w:ascii="Times New Roman" w:hAnsi="Times New Roman"/>
              <w:sz w:val="30"/>
              <w:szCs w:val="30"/>
            </w:rPr>
            <w:t>54</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"_Toc146484314" </w:instrText>
          </w:r>
          <w:r>
            <w:fldChar w:fldCharType="separate"/>
          </w:r>
          <w:r>
            <w:rPr>
              <w:rStyle w:val="13"/>
              <w:rFonts w:ascii="Times New Roman" w:hAnsi="Times New Roman"/>
              <w:sz w:val="30"/>
              <w:szCs w:val="30"/>
            </w:rPr>
            <w:t>第四节 强化区域开放创新协同联动</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_Toc146484314 \h </w:instrText>
          </w:r>
          <w:r>
            <w:rPr>
              <w:rFonts w:ascii="Times New Roman" w:hAnsi="Times New Roman"/>
              <w:sz w:val="30"/>
              <w:szCs w:val="30"/>
            </w:rPr>
            <w:fldChar w:fldCharType="separate"/>
          </w:r>
          <w:r>
            <w:rPr>
              <w:rFonts w:ascii="Times New Roman" w:hAnsi="Times New Roman"/>
              <w:sz w:val="30"/>
              <w:szCs w:val="30"/>
            </w:rPr>
            <w:t>55</w:t>
          </w:r>
          <w:r>
            <w:rPr>
              <w:rFonts w:ascii="Times New Roman" w:hAnsi="Times New Roman"/>
              <w:sz w:val="30"/>
              <w:szCs w:val="30"/>
            </w:rPr>
            <w:fldChar w:fldCharType="end"/>
          </w:r>
          <w:r>
            <w:rPr>
              <w:rFonts w:ascii="Times New Roman" w:hAnsi="Times New Roman"/>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"_Toc146484315" </w:instrText>
          </w:r>
          <w:r>
            <w:fldChar w:fldCharType="separate"/>
          </w:r>
          <w:r>
            <w:rPr>
              <w:rStyle w:val="13"/>
              <w:rFonts w:ascii="Times New Roman" w:hAnsi="Times New Roman"/>
              <w:sz w:val="30"/>
              <w:szCs w:val="30"/>
            </w:rPr>
            <w:t>第七章 提升数字治理与服务水平</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_Toc146484315 \h </w:instrText>
          </w:r>
          <w:r>
            <w:rPr>
              <w:rFonts w:ascii="Times New Roman" w:hAnsi="Times New Roman"/>
              <w:sz w:val="30"/>
              <w:szCs w:val="30"/>
            </w:rPr>
            <w:fldChar w:fldCharType="separate"/>
          </w:r>
          <w:r>
            <w:rPr>
              <w:rFonts w:ascii="Times New Roman" w:hAnsi="Times New Roman"/>
              <w:sz w:val="30"/>
              <w:szCs w:val="30"/>
            </w:rPr>
            <w:t>59</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"_Toc146484316" </w:instrText>
          </w:r>
          <w:r>
            <w:fldChar w:fldCharType="separate"/>
          </w:r>
          <w:r>
            <w:rPr>
              <w:rStyle w:val="13"/>
              <w:rFonts w:ascii="Times New Roman" w:hAnsi="Times New Roman"/>
              <w:sz w:val="30"/>
              <w:szCs w:val="30"/>
            </w:rPr>
            <w:t>第一节 数字治理</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_Toc146484316 \h </w:instrText>
          </w:r>
          <w:r>
            <w:rPr>
              <w:rFonts w:ascii="Times New Roman" w:hAnsi="Times New Roman"/>
              <w:sz w:val="30"/>
              <w:szCs w:val="30"/>
            </w:rPr>
            <w:fldChar w:fldCharType="separate"/>
          </w:r>
          <w:r>
            <w:rPr>
              <w:rFonts w:ascii="Times New Roman" w:hAnsi="Times New Roman"/>
              <w:sz w:val="30"/>
              <w:szCs w:val="30"/>
            </w:rPr>
            <w:t>59</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"_Toc146484317" </w:instrText>
          </w:r>
          <w:r>
            <w:fldChar w:fldCharType="separate"/>
          </w:r>
          <w:r>
            <w:rPr>
              <w:rStyle w:val="13"/>
              <w:sz w:val="30"/>
              <w:szCs w:val="30"/>
            </w:rPr>
            <w:t>一、完善数字政府管理</w:t>
          </w:r>
          <w:r>
            <w:rPr>
              <w:sz w:val="30"/>
              <w:szCs w:val="30"/>
            </w:rPr>
            <w:tab/>
          </w:r>
          <w:r>
            <w:rPr>
              <w:sz w:val="30"/>
              <w:szCs w:val="30"/>
            </w:rPr>
            <w:fldChar w:fldCharType="begin"/>
          </w:r>
          <w:r>
            <w:rPr>
              <w:sz w:val="30"/>
              <w:szCs w:val="30"/>
            </w:rPr>
            <w:instrText xml:space="preserve"> PAGEREF _Toc146484317 \h </w:instrText>
          </w:r>
          <w:r>
            <w:rPr>
              <w:sz w:val="30"/>
              <w:szCs w:val="30"/>
            </w:rPr>
            <w:fldChar w:fldCharType="separate"/>
          </w:r>
          <w:r>
            <w:rPr>
              <w:sz w:val="30"/>
              <w:szCs w:val="30"/>
            </w:rPr>
            <w:t>59</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"_Toc146484318" </w:instrText>
          </w:r>
          <w:r>
            <w:fldChar w:fldCharType="separate"/>
          </w:r>
          <w:r>
            <w:rPr>
              <w:rStyle w:val="13"/>
              <w:sz w:val="30"/>
              <w:szCs w:val="30"/>
            </w:rPr>
            <w:t>二、强化智慧园区建设</w:t>
          </w:r>
          <w:r>
            <w:rPr>
              <w:sz w:val="30"/>
              <w:szCs w:val="30"/>
            </w:rPr>
            <w:tab/>
          </w:r>
          <w:r>
            <w:rPr>
              <w:sz w:val="30"/>
              <w:szCs w:val="30"/>
            </w:rPr>
            <w:fldChar w:fldCharType="begin"/>
          </w:r>
          <w:r>
            <w:rPr>
              <w:sz w:val="30"/>
              <w:szCs w:val="30"/>
            </w:rPr>
            <w:instrText xml:space="preserve"> PAGEREF _Toc146484318 \h </w:instrText>
          </w:r>
          <w:r>
            <w:rPr>
              <w:sz w:val="30"/>
              <w:szCs w:val="30"/>
            </w:rPr>
            <w:fldChar w:fldCharType="separate"/>
          </w:r>
          <w:r>
            <w:rPr>
              <w:sz w:val="30"/>
              <w:szCs w:val="30"/>
            </w:rPr>
            <w:t>59</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"_Toc146484319" </w:instrText>
          </w:r>
          <w:r>
            <w:fldChar w:fldCharType="separate"/>
          </w:r>
          <w:r>
            <w:rPr>
              <w:rStyle w:val="13"/>
              <w:sz w:val="30"/>
              <w:szCs w:val="30"/>
            </w:rPr>
            <w:t>三、加强数字乡村治理</w:t>
          </w:r>
          <w:r>
            <w:rPr>
              <w:sz w:val="30"/>
              <w:szCs w:val="30"/>
            </w:rPr>
            <w:tab/>
          </w:r>
          <w:r>
            <w:rPr>
              <w:sz w:val="30"/>
              <w:szCs w:val="30"/>
            </w:rPr>
            <w:fldChar w:fldCharType="begin"/>
          </w:r>
          <w:r>
            <w:rPr>
              <w:sz w:val="30"/>
              <w:szCs w:val="30"/>
            </w:rPr>
            <w:instrText xml:space="preserve"> PAGEREF _Toc146484319 \h </w:instrText>
          </w:r>
          <w:r>
            <w:rPr>
              <w:sz w:val="30"/>
              <w:szCs w:val="30"/>
            </w:rPr>
            <w:fldChar w:fldCharType="separate"/>
          </w:r>
          <w:r>
            <w:rPr>
              <w:sz w:val="30"/>
              <w:szCs w:val="30"/>
            </w:rPr>
            <w:t>60</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"_Toc146484320" </w:instrText>
          </w:r>
          <w:r>
            <w:fldChar w:fldCharType="separate"/>
          </w:r>
          <w:r>
            <w:rPr>
              <w:rStyle w:val="13"/>
              <w:sz w:val="30"/>
              <w:szCs w:val="30"/>
            </w:rPr>
            <w:t>四、推进智慧社区治理</w:t>
          </w:r>
          <w:r>
            <w:rPr>
              <w:sz w:val="30"/>
              <w:szCs w:val="30"/>
            </w:rPr>
            <w:tab/>
          </w:r>
          <w:r>
            <w:rPr>
              <w:sz w:val="30"/>
              <w:szCs w:val="30"/>
            </w:rPr>
            <w:fldChar w:fldCharType="begin"/>
          </w:r>
          <w:r>
            <w:rPr>
              <w:sz w:val="30"/>
              <w:szCs w:val="30"/>
            </w:rPr>
            <w:instrText xml:space="preserve"> PAGEREF _Toc146484320 \h </w:instrText>
          </w:r>
          <w:r>
            <w:rPr>
              <w:sz w:val="30"/>
              <w:szCs w:val="30"/>
            </w:rPr>
            <w:fldChar w:fldCharType="separate"/>
          </w:r>
          <w:r>
            <w:rPr>
              <w:sz w:val="30"/>
              <w:szCs w:val="30"/>
            </w:rPr>
            <w:t>60</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"_Toc146484321" </w:instrText>
          </w:r>
          <w:r>
            <w:fldChar w:fldCharType="separate"/>
          </w:r>
          <w:r>
            <w:rPr>
              <w:rStyle w:val="13"/>
              <w:sz w:val="30"/>
              <w:szCs w:val="30"/>
            </w:rPr>
            <w:t>五、赋能应急联动管理</w:t>
          </w:r>
          <w:r>
            <w:rPr>
              <w:sz w:val="30"/>
              <w:szCs w:val="30"/>
            </w:rPr>
            <w:tab/>
          </w:r>
          <w:r>
            <w:rPr>
              <w:sz w:val="30"/>
              <w:szCs w:val="30"/>
            </w:rPr>
            <w:fldChar w:fldCharType="begin"/>
          </w:r>
          <w:r>
            <w:rPr>
              <w:sz w:val="30"/>
              <w:szCs w:val="30"/>
            </w:rPr>
            <w:instrText xml:space="preserve"> PAGEREF _Toc146484321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"_Toc146484322" </w:instrText>
          </w:r>
          <w:r>
            <w:fldChar w:fldCharType="separate"/>
          </w:r>
          <w:r>
            <w:rPr>
              <w:rStyle w:val="13"/>
              <w:sz w:val="30"/>
              <w:szCs w:val="30"/>
            </w:rPr>
            <w:t>六、提升公共安全管理</w:t>
          </w:r>
          <w:r>
            <w:rPr>
              <w:sz w:val="30"/>
              <w:szCs w:val="30"/>
            </w:rPr>
            <w:tab/>
          </w:r>
          <w:r>
            <w:rPr>
              <w:sz w:val="30"/>
              <w:szCs w:val="30"/>
            </w:rPr>
            <w:fldChar w:fldCharType="begin"/>
          </w:r>
          <w:r>
            <w:rPr>
              <w:sz w:val="30"/>
              <w:szCs w:val="30"/>
            </w:rPr>
            <w:instrText xml:space="preserve"> PAGEREF _Toc146484322 \h </w:instrText>
          </w:r>
          <w:r>
            <w:rPr>
              <w:sz w:val="30"/>
              <w:szCs w:val="30"/>
            </w:rPr>
            <w:fldChar w:fldCharType="separate"/>
          </w:r>
          <w:r>
            <w:rPr>
              <w:sz w:val="30"/>
              <w:szCs w:val="30"/>
            </w:rPr>
            <w:t>62</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"_Toc146484323" </w:instrText>
          </w:r>
          <w:r>
            <w:fldChar w:fldCharType="separate"/>
          </w:r>
          <w:r>
            <w:rPr>
              <w:rStyle w:val="13"/>
              <w:sz w:val="30"/>
              <w:szCs w:val="30"/>
            </w:rPr>
            <w:t>七、落实互联网+监管</w:t>
          </w:r>
          <w:r>
            <w:rPr>
              <w:sz w:val="30"/>
              <w:szCs w:val="30"/>
            </w:rPr>
            <w:tab/>
          </w:r>
          <w:r>
            <w:rPr>
              <w:sz w:val="30"/>
              <w:szCs w:val="30"/>
            </w:rPr>
            <w:fldChar w:fldCharType="begin"/>
          </w:r>
          <w:r>
            <w:rPr>
              <w:sz w:val="30"/>
              <w:szCs w:val="30"/>
            </w:rPr>
            <w:instrText xml:space="preserve"> PAGEREF _Toc146484323 \h </w:instrText>
          </w:r>
          <w:r>
            <w:rPr>
              <w:sz w:val="30"/>
              <w:szCs w:val="30"/>
            </w:rPr>
            <w:fldChar w:fldCharType="separate"/>
          </w:r>
          <w:r>
            <w:rPr>
              <w:sz w:val="30"/>
              <w:szCs w:val="30"/>
            </w:rPr>
            <w:t>63</w:t>
          </w:r>
          <w:r>
            <w:rPr>
              <w:sz w:val="30"/>
              <w:szCs w:val="30"/>
            </w:rPr>
            <w:fldChar w:fldCharType="end"/>
          </w:r>
          <w:r>
            <w:rPr>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"_Toc146484324" </w:instrText>
          </w:r>
          <w:r>
            <w:fldChar w:fldCharType="separate"/>
          </w:r>
          <w:r>
            <w:rPr>
              <w:rStyle w:val="13"/>
              <w:rFonts w:ascii="Times New Roman" w:hAnsi="Times New Roman"/>
              <w:sz w:val="30"/>
              <w:szCs w:val="30"/>
            </w:rPr>
            <w:t>第二节 数字服务</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_Toc146484324 \h </w:instrText>
          </w:r>
          <w:r>
            <w:rPr>
              <w:rFonts w:ascii="Times New Roman" w:hAnsi="Times New Roman"/>
              <w:sz w:val="30"/>
              <w:szCs w:val="30"/>
            </w:rPr>
            <w:fldChar w:fldCharType="separate"/>
          </w:r>
          <w:r>
            <w:rPr>
              <w:rFonts w:ascii="Times New Roman" w:hAnsi="Times New Roman"/>
              <w:sz w:val="30"/>
              <w:szCs w:val="30"/>
            </w:rPr>
            <w:t>63</w:t>
          </w:r>
          <w:r>
            <w:rPr>
              <w:rFonts w:ascii="Times New Roman" w:hAnsi="Times New Roman"/>
              <w:sz w:val="30"/>
              <w:szCs w:val="30"/>
            </w:rPr>
            <w:fldChar w:fldCharType="end"/>
          </w:r>
          <w:r>
            <w:rPr>
              <w:rFonts w:ascii="Times New Roman" w:hAnsi="Times New Roman"/>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"_Toc146484325" </w:instrText>
          </w:r>
          <w:r>
            <w:fldChar w:fldCharType="separate"/>
          </w:r>
          <w:r>
            <w:rPr>
              <w:rStyle w:val="13"/>
              <w:sz w:val="30"/>
              <w:szCs w:val="30"/>
            </w:rPr>
            <w:t>一、加大智慧教育投入</w:t>
          </w:r>
          <w:r>
            <w:rPr>
              <w:sz w:val="30"/>
              <w:szCs w:val="30"/>
            </w:rPr>
            <w:tab/>
          </w:r>
          <w:r>
            <w:rPr>
              <w:sz w:val="30"/>
              <w:szCs w:val="30"/>
            </w:rPr>
            <w:fldChar w:fldCharType="begin"/>
          </w:r>
          <w:r>
            <w:rPr>
              <w:sz w:val="30"/>
              <w:szCs w:val="30"/>
            </w:rPr>
            <w:instrText xml:space="preserve"> PAGEREF _Toc146484325 \h </w:instrText>
          </w:r>
          <w:r>
            <w:rPr>
              <w:sz w:val="30"/>
              <w:szCs w:val="30"/>
            </w:rPr>
            <w:fldChar w:fldCharType="separate"/>
          </w:r>
          <w:r>
            <w:rPr>
              <w:sz w:val="30"/>
              <w:szCs w:val="30"/>
            </w:rPr>
            <w:t>63</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"_Toc146484326" </w:instrText>
          </w:r>
          <w:r>
            <w:fldChar w:fldCharType="separate"/>
          </w:r>
          <w:r>
            <w:rPr>
              <w:rStyle w:val="13"/>
              <w:sz w:val="30"/>
              <w:szCs w:val="30"/>
            </w:rPr>
            <w:t>二、推动智慧医疗应用</w:t>
          </w:r>
          <w:r>
            <w:rPr>
              <w:sz w:val="30"/>
              <w:szCs w:val="30"/>
            </w:rPr>
            <w:tab/>
          </w:r>
          <w:r>
            <w:rPr>
              <w:sz w:val="30"/>
              <w:szCs w:val="30"/>
            </w:rPr>
            <w:fldChar w:fldCharType="begin"/>
          </w:r>
          <w:r>
            <w:rPr>
              <w:sz w:val="30"/>
              <w:szCs w:val="30"/>
            </w:rPr>
            <w:instrText xml:space="preserve"> PAGEREF _Toc146484326 \h </w:instrText>
          </w:r>
          <w:r>
            <w:rPr>
              <w:sz w:val="30"/>
              <w:szCs w:val="30"/>
            </w:rPr>
            <w:fldChar w:fldCharType="separate"/>
          </w:r>
          <w:r>
            <w:rPr>
              <w:sz w:val="30"/>
              <w:szCs w:val="30"/>
            </w:rPr>
            <w:t>64</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"_Toc146484327" </w:instrText>
          </w:r>
          <w:r>
            <w:fldChar w:fldCharType="separate"/>
          </w:r>
          <w:r>
            <w:rPr>
              <w:rStyle w:val="13"/>
              <w:sz w:val="30"/>
              <w:szCs w:val="30"/>
            </w:rPr>
            <w:t>三、推广智慧养老模式</w:t>
          </w:r>
          <w:r>
            <w:rPr>
              <w:sz w:val="30"/>
              <w:szCs w:val="30"/>
            </w:rPr>
            <w:tab/>
          </w:r>
          <w:r>
            <w:rPr>
              <w:sz w:val="30"/>
              <w:szCs w:val="30"/>
            </w:rPr>
            <w:fldChar w:fldCharType="begin"/>
          </w:r>
          <w:r>
            <w:rPr>
              <w:sz w:val="30"/>
              <w:szCs w:val="30"/>
            </w:rPr>
            <w:instrText xml:space="preserve"> PAGEREF _Toc146484327 \h </w:instrText>
          </w:r>
          <w:r>
            <w:rPr>
              <w:sz w:val="30"/>
              <w:szCs w:val="30"/>
            </w:rPr>
            <w:fldChar w:fldCharType="separate"/>
          </w:r>
          <w:r>
            <w:rPr>
              <w:sz w:val="30"/>
              <w:szCs w:val="30"/>
            </w:rPr>
            <w:t>65</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"_Toc146484328" </w:instrText>
          </w:r>
          <w:r>
            <w:fldChar w:fldCharType="separate"/>
          </w:r>
          <w:r>
            <w:rPr>
              <w:rStyle w:val="13"/>
              <w:sz w:val="30"/>
              <w:szCs w:val="30"/>
            </w:rPr>
            <w:t>四、完善智慧人社服务</w:t>
          </w:r>
          <w:r>
            <w:rPr>
              <w:sz w:val="30"/>
              <w:szCs w:val="30"/>
            </w:rPr>
            <w:tab/>
          </w:r>
          <w:r>
            <w:rPr>
              <w:sz w:val="30"/>
              <w:szCs w:val="30"/>
            </w:rPr>
            <w:fldChar w:fldCharType="begin"/>
          </w:r>
          <w:r>
            <w:rPr>
              <w:sz w:val="30"/>
              <w:szCs w:val="30"/>
            </w:rPr>
            <w:instrText xml:space="preserve"> PAGEREF _Toc146484328 \h </w:instrText>
          </w:r>
          <w:r>
            <w:rPr>
              <w:sz w:val="30"/>
              <w:szCs w:val="30"/>
            </w:rPr>
            <w:fldChar w:fldCharType="separate"/>
          </w:r>
          <w:r>
            <w:rPr>
              <w:sz w:val="30"/>
              <w:szCs w:val="30"/>
            </w:rPr>
            <w:t>66</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"_Toc146484329" </w:instrText>
          </w:r>
          <w:r>
            <w:fldChar w:fldCharType="separate"/>
          </w:r>
          <w:r>
            <w:rPr>
              <w:rStyle w:val="13"/>
              <w:sz w:val="30"/>
              <w:szCs w:val="30"/>
            </w:rPr>
            <w:t>五、推进智慧人文建设</w:t>
          </w:r>
          <w:r>
            <w:rPr>
              <w:sz w:val="30"/>
              <w:szCs w:val="30"/>
            </w:rPr>
            <w:tab/>
          </w:r>
          <w:r>
            <w:rPr>
              <w:sz w:val="30"/>
              <w:szCs w:val="30"/>
            </w:rPr>
            <w:fldChar w:fldCharType="begin"/>
          </w:r>
          <w:r>
            <w:rPr>
              <w:sz w:val="30"/>
              <w:szCs w:val="30"/>
            </w:rPr>
            <w:instrText xml:space="preserve"> PAGEREF _Toc146484329 \h </w:instrText>
          </w:r>
          <w:r>
            <w:rPr>
              <w:sz w:val="30"/>
              <w:szCs w:val="30"/>
            </w:rPr>
            <w:fldChar w:fldCharType="separate"/>
          </w:r>
          <w:r>
            <w:rPr>
              <w:sz w:val="30"/>
              <w:szCs w:val="30"/>
            </w:rPr>
            <w:t>67</w:t>
          </w:r>
          <w:r>
            <w:rPr>
              <w:sz w:val="30"/>
              <w:szCs w:val="30"/>
            </w:rPr>
            <w:fldChar w:fldCharType="end"/>
          </w:r>
          <w:r>
            <w:rPr>
              <w:sz w:val="30"/>
              <w:szCs w:val="30"/>
            </w:rPr>
            <w:fldChar w:fldCharType="end"/>
          </w:r>
        </w:p>
        <w:p>
          <w:pPr>
            <w:pStyle w:val="5"/>
            <w:rPr>
              <w:rFonts w:eastAsiaTheme="minorEastAsia"/>
              <w:sz w:val="30"/>
              <w:szCs w:val="30"/>
              <w14:ligatures w14:val="standardContextual"/>
            </w:rPr>
          </w:pPr>
          <w:r>
            <w:fldChar w:fldCharType="begin"/>
          </w:r>
          <w:r>
            <w:instrText xml:space="preserve"> HYPERLINK \l "_Toc146484330" </w:instrText>
          </w:r>
          <w:r>
            <w:fldChar w:fldCharType="separate"/>
          </w:r>
          <w:r>
            <w:rPr>
              <w:rStyle w:val="13"/>
              <w:sz w:val="30"/>
              <w:szCs w:val="30"/>
            </w:rPr>
            <w:t>六、优化智慧交通出行</w:t>
          </w:r>
          <w:r>
            <w:rPr>
              <w:sz w:val="30"/>
              <w:szCs w:val="30"/>
            </w:rPr>
            <w:tab/>
          </w:r>
          <w:r>
            <w:rPr>
              <w:sz w:val="30"/>
              <w:szCs w:val="30"/>
            </w:rPr>
            <w:fldChar w:fldCharType="begin"/>
          </w:r>
          <w:r>
            <w:rPr>
              <w:sz w:val="30"/>
              <w:szCs w:val="30"/>
            </w:rPr>
            <w:instrText xml:space="preserve"> PAGEREF _Toc146484330 \h </w:instrText>
          </w:r>
          <w:r>
            <w:rPr>
              <w:sz w:val="30"/>
              <w:szCs w:val="30"/>
            </w:rPr>
            <w:fldChar w:fldCharType="separate"/>
          </w:r>
          <w:r>
            <w:rPr>
              <w:sz w:val="30"/>
              <w:szCs w:val="30"/>
            </w:rPr>
            <w:t>68</w:t>
          </w:r>
          <w:r>
            <w:rPr>
              <w:sz w:val="30"/>
              <w:szCs w:val="30"/>
            </w:rPr>
            <w:fldChar w:fldCharType="end"/>
          </w:r>
          <w:r>
            <w:rPr>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"_Toc146484331" </w:instrText>
          </w:r>
          <w:r>
            <w:fldChar w:fldCharType="separate"/>
          </w:r>
          <w:r>
            <w:rPr>
              <w:rStyle w:val="13"/>
              <w:rFonts w:ascii="Times New Roman" w:hAnsi="Times New Roman"/>
              <w:sz w:val="30"/>
              <w:szCs w:val="30"/>
            </w:rPr>
            <w:t>第八章 数字萧县建设保障</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_Toc146484331 \h </w:instrText>
          </w:r>
          <w:r>
            <w:rPr>
              <w:rFonts w:ascii="Times New Roman" w:hAnsi="Times New Roman"/>
              <w:sz w:val="30"/>
              <w:szCs w:val="30"/>
            </w:rPr>
            <w:fldChar w:fldCharType="separate"/>
          </w:r>
          <w:r>
            <w:rPr>
              <w:rFonts w:ascii="Times New Roman" w:hAnsi="Times New Roman"/>
              <w:sz w:val="30"/>
              <w:szCs w:val="30"/>
            </w:rPr>
            <w:t>71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"_Toc146484332" </w:instrText>
          </w:r>
          <w:r>
            <w:fldChar w:fldCharType="separate"/>
          </w:r>
          <w:r>
            <w:rPr>
              <w:rStyle w:val="13"/>
              <w:rFonts w:ascii="Times New Roman" w:hAnsi="Times New Roman"/>
              <w:sz w:val="30"/>
              <w:szCs w:val="30"/>
            </w:rPr>
            <w:t>第一节 强化组织领导</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_Toc146484332 \h </w:instrText>
          </w:r>
          <w:r>
            <w:rPr>
              <w:rFonts w:ascii="Times New Roman" w:hAnsi="Times New Roman"/>
              <w:sz w:val="30"/>
              <w:szCs w:val="30"/>
            </w:rPr>
            <w:fldChar w:fldCharType="separate"/>
          </w:r>
          <w:r>
            <w:rPr>
              <w:rFonts w:ascii="Times New Roman" w:hAnsi="Times New Roman"/>
              <w:sz w:val="30"/>
              <w:szCs w:val="30"/>
            </w:rPr>
            <w:t>71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"_Toc146484333" </w:instrText>
          </w:r>
          <w:r>
            <w:fldChar w:fldCharType="separate"/>
          </w:r>
          <w:r>
            <w:rPr>
              <w:rStyle w:val="13"/>
              <w:rFonts w:ascii="Times New Roman" w:hAnsi="Times New Roman"/>
              <w:sz w:val="30"/>
              <w:szCs w:val="30"/>
            </w:rPr>
            <w:t>第二节 完善政策保障</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_Toc146484333 \h </w:instrText>
          </w:r>
          <w:r>
            <w:rPr>
              <w:rFonts w:ascii="Times New Roman" w:hAnsi="Times New Roman"/>
              <w:sz w:val="30"/>
              <w:szCs w:val="30"/>
            </w:rPr>
            <w:fldChar w:fldCharType="separate"/>
          </w:r>
          <w:r>
            <w:rPr>
              <w:rFonts w:ascii="Times New Roman" w:hAnsi="Times New Roman"/>
              <w:sz w:val="30"/>
              <w:szCs w:val="30"/>
            </w:rPr>
            <w:t>71</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"_Toc146484334" </w:instrText>
          </w:r>
          <w:r>
            <w:fldChar w:fldCharType="separate"/>
          </w:r>
          <w:r>
            <w:rPr>
              <w:rStyle w:val="13"/>
              <w:rFonts w:ascii="Times New Roman" w:hAnsi="Times New Roman"/>
              <w:sz w:val="30"/>
              <w:szCs w:val="30"/>
            </w:rPr>
            <w:t>第三节 增加要素投入</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_Toc146484334 \h </w:instrText>
          </w:r>
          <w:r>
            <w:rPr>
              <w:rFonts w:ascii="Times New Roman" w:hAnsi="Times New Roman"/>
              <w:sz w:val="30"/>
              <w:szCs w:val="30"/>
            </w:rPr>
            <w:fldChar w:fldCharType="separate"/>
          </w:r>
          <w:r>
            <w:rPr>
              <w:rFonts w:ascii="Times New Roman" w:hAnsi="Times New Roman"/>
              <w:sz w:val="30"/>
              <w:szCs w:val="30"/>
            </w:rPr>
            <w:t>72</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"_Toc146484335" </w:instrText>
          </w:r>
          <w:r>
            <w:fldChar w:fldCharType="separate"/>
          </w:r>
          <w:r>
            <w:rPr>
              <w:rStyle w:val="13"/>
              <w:rFonts w:ascii="Times New Roman" w:hAnsi="Times New Roman"/>
              <w:sz w:val="30"/>
              <w:szCs w:val="30"/>
            </w:rPr>
            <w:t>第四节 创新双招双引</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_Toc146484335 \h </w:instrText>
          </w:r>
          <w:r>
            <w:rPr>
              <w:rFonts w:ascii="Times New Roman" w:hAnsi="Times New Roman"/>
              <w:sz w:val="30"/>
              <w:szCs w:val="30"/>
            </w:rPr>
            <w:fldChar w:fldCharType="separate"/>
          </w:r>
          <w:r>
            <w:rPr>
              <w:rFonts w:ascii="Times New Roman" w:hAnsi="Times New Roman"/>
              <w:sz w:val="30"/>
              <w:szCs w:val="30"/>
            </w:rPr>
            <w:t>73</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"_Toc146484336" </w:instrText>
          </w:r>
          <w:r>
            <w:fldChar w:fldCharType="separate"/>
          </w:r>
          <w:r>
            <w:rPr>
              <w:rStyle w:val="13"/>
              <w:rFonts w:ascii="Times New Roman" w:hAnsi="Times New Roman"/>
              <w:sz w:val="30"/>
              <w:szCs w:val="30"/>
            </w:rPr>
            <w:t>第五节 拓展数字产业</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_Toc146484336 \h </w:instrText>
          </w:r>
          <w:r>
            <w:rPr>
              <w:rFonts w:ascii="Times New Roman" w:hAnsi="Times New Roman"/>
              <w:sz w:val="30"/>
              <w:szCs w:val="30"/>
            </w:rPr>
            <w:fldChar w:fldCharType="separate"/>
          </w:r>
          <w:r>
            <w:rPr>
              <w:rFonts w:ascii="Times New Roman" w:hAnsi="Times New Roman"/>
              <w:sz w:val="30"/>
              <w:szCs w:val="30"/>
            </w:rPr>
            <w:t>74</w:t>
          </w:r>
          <w:r>
            <w:rPr>
              <w:rFonts w:ascii="Times New Roman" w:hAnsi="Times New Roman"/>
              <w:sz w:val="30"/>
              <w:szCs w:val="30"/>
            </w:rPr>
            <w:fldChar w:fldCharType="end"/>
          </w:r>
          <w:r>
            <w:rPr>
              <w:rFonts w:ascii="Times New Roman" w:hAnsi="Times New Roman"/>
              <w:sz w:val="30"/>
              <w:szCs w:val="30"/>
            </w:rPr>
            <w:fldChar w:fldCharType="end"/>
          </w:r>
        </w:p>
        <w:p>
          <w:pPr>
            <w:pStyle w:val="9"/>
            <w:rPr>
              <w:rFonts w:ascii="Times New Roman" w:hAnsi="Times New Roman" w:eastAsiaTheme="minorEastAsia"/>
              <w:sz w:val="30"/>
              <w:szCs w:val="30"/>
              <w14:ligatures w14:val="standardContextual"/>
            </w:rPr>
          </w:pPr>
          <w:r>
            <w:fldChar w:fldCharType="begin"/>
          </w:r>
          <w:r>
            <w:instrText xml:space="preserve"> HYPERLINK \l "_Toc146484337" </w:instrText>
          </w:r>
          <w:r>
            <w:fldChar w:fldCharType="separate"/>
          </w:r>
          <w:r>
            <w:rPr>
              <w:rStyle w:val="13"/>
              <w:rFonts w:ascii="Times New Roman" w:hAnsi="Times New Roman"/>
              <w:sz w:val="30"/>
              <w:szCs w:val="30"/>
            </w:rPr>
            <w:t>第六节 落实监督考核</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_Toc146484337 \h </w:instrText>
          </w:r>
          <w:r>
            <w:rPr>
              <w:rFonts w:ascii="Times New Roman" w:hAnsi="Times New Roman"/>
              <w:sz w:val="30"/>
              <w:szCs w:val="30"/>
            </w:rPr>
            <w:fldChar w:fldCharType="separate"/>
          </w:r>
          <w:r>
            <w:rPr>
              <w:rFonts w:ascii="Times New Roman" w:hAnsi="Times New Roman"/>
              <w:sz w:val="30"/>
              <w:szCs w:val="30"/>
            </w:rPr>
            <w:t>74</w:t>
          </w:r>
          <w:r>
            <w:rPr>
              <w:rFonts w:ascii="Times New Roman" w:hAnsi="Times New Roman"/>
              <w:sz w:val="30"/>
              <w:szCs w:val="30"/>
            </w:rPr>
            <w:fldChar w:fldCharType="end"/>
          </w:r>
          <w:r>
            <w:rPr>
              <w:rFonts w:ascii="Times New Roman" w:hAnsi="Times New Roman"/>
              <w:sz w:val="30"/>
              <w:szCs w:val="30"/>
            </w:rPr>
            <w:fldChar w:fldCharType="end"/>
          </w:r>
        </w:p>
        <w:p>
          <w:pPr>
            <w:pStyle w:val="8"/>
            <w:rPr>
              <w:rFonts w:ascii="Times New Roman" w:hAnsi="Times New Roman" w:eastAsiaTheme="minorEastAsia"/>
              <w:sz w:val="30"/>
              <w:szCs w:val="30"/>
              <w14:ligatures w14:val="standardContextual"/>
            </w:rPr>
          </w:pPr>
          <w:r>
            <w:fldChar w:fldCharType="begin"/>
          </w:r>
          <w:r>
            <w:instrText xml:space="preserve"> HYPERLINK \l "_Toc146484338" </w:instrText>
          </w:r>
          <w:r>
            <w:fldChar w:fldCharType="separate"/>
          </w:r>
          <w:r>
            <w:rPr>
              <w:rStyle w:val="13"/>
              <w:rFonts w:ascii="Times New Roman" w:hAnsi="Times New Roman"/>
              <w:sz w:val="30"/>
              <w:szCs w:val="30"/>
            </w:rPr>
            <w:t>附件一：“数字萧县”总体规划指标体系测算说明</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_Toc146484338 \h </w:instrText>
          </w:r>
          <w:r>
            <w:rPr>
              <w:rFonts w:ascii="Times New Roman" w:hAnsi="Times New Roman"/>
              <w:sz w:val="30"/>
              <w:szCs w:val="30"/>
            </w:rPr>
            <w:fldChar w:fldCharType="separate"/>
          </w:r>
          <w:r>
            <w:rPr>
              <w:rFonts w:ascii="Times New Roman" w:hAnsi="Times New Roman"/>
              <w:sz w:val="30"/>
              <w:szCs w:val="30"/>
            </w:rPr>
            <w:t>75</w:t>
          </w:r>
          <w:r>
            <w:rPr>
              <w:rFonts w:ascii="Times New Roman" w:hAnsi="Times New Roman"/>
              <w:sz w:val="30"/>
              <w:szCs w:val="30"/>
            </w:rPr>
            <w:fldChar w:fldCharType="end"/>
          </w:r>
          <w:r>
            <w:rPr>
              <w:rFonts w:ascii="Times New Roman" w:hAnsi="Times New Roman"/>
              <w:sz w:val="30"/>
              <w:szCs w:val="30"/>
            </w:rPr>
            <w:fldChar w:fldCharType="end"/>
          </w:r>
        </w:p>
        <w:p>
          <w:pPr>
            <w:pStyle w:val="8"/>
            <w:rPr>
              <w:rFonts w:asciiTheme="minorHAnsi" w:hAnsiTheme="minorHAnsi" w:eastAsiaTheme="minorEastAsia"/>
              <w:sz w:val="21"/>
              <w14:ligatures w14:val="standardContextual"/>
            </w:rPr>
          </w:pPr>
          <w:r>
            <w:fldChar w:fldCharType="begin"/>
          </w:r>
          <w:r>
            <w:instrText xml:space="preserve"> HYPERLINK \l "_Toc146484339" </w:instrText>
          </w:r>
          <w:r>
            <w:fldChar w:fldCharType="separate"/>
          </w:r>
          <w:r>
            <w:rPr>
              <w:rStyle w:val="13"/>
              <w:rFonts w:ascii="Times New Roman" w:hAnsi="Times New Roman"/>
              <w:sz w:val="30"/>
              <w:szCs w:val="30"/>
            </w:rPr>
            <w:t>附件二：名词解释</w:t>
          </w:r>
          <w:r>
            <w:rPr>
              <w:rFonts w:ascii="Times New Roman" w:hAnsi="Times New Roman"/>
              <w:sz w:val="30"/>
              <w:szCs w:val="30"/>
            </w:rPr>
            <w:tab/>
          </w:r>
          <w:r>
            <w:rPr>
              <w:rFonts w:ascii="Times New Roman" w:hAnsi="Times New Roman"/>
              <w:sz w:val="30"/>
              <w:szCs w:val="30"/>
            </w:rPr>
            <w:fldChar w:fldCharType="begin"/>
          </w:r>
          <w:r>
            <w:rPr>
              <w:rFonts w:ascii="Times New Roman" w:hAnsi="Times New Roman"/>
              <w:sz w:val="30"/>
              <w:szCs w:val="30"/>
            </w:rPr>
            <w:instrText xml:space="preserve"> PAGEREF _Toc146484339 \h </w:instrText>
          </w:r>
          <w:r>
            <w:rPr>
              <w:rFonts w:ascii="Times New Roman" w:hAnsi="Times New Roman"/>
              <w:sz w:val="30"/>
              <w:szCs w:val="30"/>
            </w:rPr>
            <w:fldChar w:fldCharType="separate"/>
          </w:r>
          <w:r>
            <w:rPr>
              <w:rFonts w:ascii="Times New Roman" w:hAnsi="Times New Roman"/>
              <w:sz w:val="30"/>
              <w:szCs w:val="30"/>
            </w:rPr>
            <w:t>76</w:t>
          </w:r>
          <w:r>
            <w:rPr>
              <w:rFonts w:ascii="Times New Roman" w:hAnsi="Times New Roman"/>
              <w:sz w:val="30"/>
              <w:szCs w:val="30"/>
            </w:rPr>
            <w:fldChar w:fldCharType="end"/>
          </w:r>
          <w:r>
            <w:rPr>
              <w:rFonts w:ascii="Times New Roman" w:hAnsi="Times New Roman"/>
              <w:sz w:val="30"/>
              <w:szCs w:val="30"/>
            </w:rPr>
            <w:fldChar w:fldCharType="end"/>
          </w:r>
        </w:p>
        <w:p>
          <w:pPr>
            <w:ind w:firstLine="0" w:firstLineChars="0"/>
          </w:pPr>
          <w:r>
            <w:rPr>
              <w:b/>
              <w:bCs/>
              <w:lang w:val="zh-CN"/>
            </w:rPr>
            <w:fldChar w:fldCharType="end"/>
          </w:r>
        </w:p>
      </w:sdtContent>
    </w:sdt>
    <w:p>
      <w:pPr>
        <w:spacing w:line="360" w:lineRule="auto"/>
        <w:ind w:firstLine="0" w:firstLineChars="0"/>
        <w:rPr>
          <w:rFonts w:eastAsia="黑体"/>
          <w:b/>
          <w:bCs/>
          <w:szCs w:val="32"/>
        </w:rPr>
        <w:sectPr>
          <w:footerReference r:id="rId12" w:type="default"/>
          <w:pgSz w:w="11906" w:h="16838"/>
          <w:pgMar w:top="1440" w:right="1800" w:bottom="1440" w:left="1800" w:header="851" w:footer="992" w:gutter="0"/>
          <w:pgNumType w:fmt="upperRoman" w:start="1"/>
          <w:cols w:space="425" w:num="1"/>
          <w:docGrid w:type="lines" w:linePitch="312" w:charSpace="0"/>
        </w:sectPr>
      </w:pPr>
    </w:p>
    <w:p>
      <w:pPr>
        <w:pStyle w:val="2"/>
      </w:pPr>
      <w:bookmarkStart w:id="0" w:name="_Toc146484262"/>
      <w:r>
        <w:t>第一章</w:t>
      </w:r>
      <w:r>
        <w:rPr>
          <w:rFonts w:hint="eastAsia"/>
        </w:rPr>
        <w:t xml:space="preserve"> </w:t>
      </w:r>
      <w:r>
        <w:t>数字萧县总体规划概述</w:t>
      </w:r>
      <w:bookmarkEnd w:id="0"/>
    </w:p>
    <w:p>
      <w:pPr>
        <w:pStyle w:val="3"/>
      </w:pPr>
      <w:bookmarkStart w:id="1" w:name="_Toc146484263"/>
      <w:r>
        <w:rPr>
          <w:rFonts w:hint="eastAsia"/>
        </w:rPr>
        <w:t>第一节 规划编制背景</w:t>
      </w:r>
      <w:bookmarkEnd w:id="1"/>
    </w:p>
    <w:p>
      <w:pPr>
        <w:ind w:firstLine="640"/>
      </w:pPr>
      <w:r>
        <w:rPr>
          <w:rFonts w:hint="eastAsia"/>
        </w:rPr>
        <w:t>“十四五”时期是我国全面建成小康社会、实现第一个百年奋斗目标之后，乘势而上开启全面建设社会主义现代化国家新征程、向第二个百年奋斗目标进军的第一个五年，也是加快建设数字中国的关键时期。在百年未有之大变局和世纪疫情叠加交织的大背景下，面对波谲云诡的国际形势、复杂敏感的周边环境、艰巨繁重的改革发展稳定任务，必须抢抓新一轮科技革命和产业变革的机遇、国家关于数字化发展和“数字中国”建设的战略部署，充分激发数据要素价值，系统谋划和统筹推进数字经济、数字社会、数字政府“三位一体”全方位协同发展。</w:t>
      </w:r>
    </w:p>
    <w:p>
      <w:pPr>
        <w:ind w:firstLine="640"/>
      </w:pPr>
      <w:r>
        <w:rPr>
          <w:rFonts w:hint="eastAsia"/>
        </w:rPr>
        <w:t>“十四五”已开局，萧县将坚持以习近平新时代中国特色社会主义思想为指引，全面贯彻落实党中央和省市决策部署，大力弘扬“忠诚担当、开明开放、大气包容、敢争一流”的新时代“萧县精神”，在新征程历史起点上抢抓长三角一体化、淮海经济区、徐州都市圈、沪苏浙城市结对合作帮扶、以及宿州“一城两区三基地”等多重战略叠加机遇，科学谋划产业数字化和数字产业化发展思路，深化数字创新驱动新变革，加快数字赋能融入新格局，营造良好数字生态，着力打造数字萧县基础性先导性工程，全力加快信息化发展，倾力构建数字萧县新格局，在加快建设新阶段现代化美好萧县上取得新的更大进展。</w:t>
      </w:r>
    </w:p>
    <w:p>
      <w:pPr>
        <w:pStyle w:val="3"/>
      </w:pPr>
      <w:bookmarkStart w:id="2" w:name="_Toc146484264"/>
      <w:r>
        <w:rPr>
          <w:rFonts w:hint="eastAsia"/>
        </w:rPr>
        <w:t>第二节 规划编制依据</w:t>
      </w:r>
      <w:bookmarkEnd w:id="2"/>
    </w:p>
    <w:p>
      <w:pPr>
        <w:ind w:firstLine="640"/>
      </w:pPr>
      <w:r>
        <w:rPr>
          <w:rFonts w:hint="eastAsia"/>
        </w:rPr>
        <w:t>根据国家和省市关于数字化发展和数字化转型规划的要求，特编制“数字萧县”建设总体规划，主要依据如下：</w:t>
      </w:r>
    </w:p>
    <w:p>
      <w:pPr>
        <w:ind w:firstLine="640"/>
      </w:pPr>
      <w:r>
        <w:rPr>
          <w:rFonts w:hint="eastAsia"/>
        </w:rPr>
        <w:t>（一）国家《中华人民共和国国民经济和社会发展第十四个五年规划和2035年远景目标纲要》（2</w:t>
      </w:r>
      <w:r>
        <w:t>021.03.12</w:t>
      </w:r>
      <w:r>
        <w:rPr>
          <w:rFonts w:hint="eastAsia"/>
        </w:rPr>
        <w:t>）；</w:t>
      </w:r>
    </w:p>
    <w:p>
      <w:pPr>
        <w:ind w:firstLine="640"/>
      </w:pPr>
      <w:r>
        <w:rPr>
          <w:rFonts w:hint="eastAsia"/>
        </w:rPr>
        <w:t>（二）国务院《“十四五”数字经济发展规划》（2</w:t>
      </w:r>
      <w:r>
        <w:t>021.12.12</w:t>
      </w:r>
      <w:r>
        <w:rPr>
          <w:rFonts w:hint="eastAsia"/>
        </w:rPr>
        <w:t>）；</w:t>
      </w:r>
    </w:p>
    <w:p>
      <w:pPr>
        <w:ind w:firstLine="640"/>
      </w:pPr>
      <w:r>
        <w:rPr>
          <w:rFonts w:hint="eastAsia"/>
        </w:rPr>
        <w:t>（三）中共中央、国务院印发《长江三角洲区域一体化发展规划纲要》（2</w:t>
      </w:r>
      <w:r>
        <w:t>019.12.01</w:t>
      </w:r>
      <w:r>
        <w:rPr>
          <w:rFonts w:hint="eastAsia"/>
        </w:rPr>
        <w:t>）；</w:t>
      </w:r>
    </w:p>
    <w:p>
      <w:pPr>
        <w:ind w:firstLine="640"/>
      </w:pPr>
      <w:r>
        <w:rPr>
          <w:rFonts w:hint="eastAsia"/>
        </w:rPr>
        <w:t>（四）中央网络安全和信息化委员会《“十四五”国家信息化规划》（2</w:t>
      </w:r>
      <w:r>
        <w:t>021.12.28</w:t>
      </w:r>
      <w:r>
        <w:rPr>
          <w:rFonts w:hint="eastAsia"/>
        </w:rPr>
        <w:t>）；</w:t>
      </w:r>
    </w:p>
    <w:p>
      <w:pPr>
        <w:ind w:firstLine="640"/>
      </w:pPr>
      <w:r>
        <w:rPr>
          <w:rFonts w:hint="eastAsia"/>
        </w:rPr>
        <w:t>（五）工业和信息化部《工业互联网创新发展行动计划（2021-2023年）》（2020.12.22）；</w:t>
      </w:r>
    </w:p>
    <w:p>
      <w:pPr>
        <w:ind w:firstLine="640"/>
      </w:pPr>
      <w:r>
        <w:rPr>
          <w:rFonts w:hint="eastAsia"/>
        </w:rPr>
        <w:t>（六）国家发展改革委《沪苏浙城市结对合作帮扶皖北城市实施方案》（2</w:t>
      </w:r>
      <w:r>
        <w:t>021.12.08</w:t>
      </w:r>
      <w:r>
        <w:rPr>
          <w:rFonts w:hint="eastAsia"/>
        </w:rPr>
        <w:t>）；</w:t>
      </w:r>
    </w:p>
    <w:p>
      <w:pPr>
        <w:ind w:firstLine="640"/>
      </w:pPr>
      <w:r>
        <w:rPr>
          <w:rFonts w:hint="eastAsia"/>
        </w:rPr>
        <w:t>（七）国家发展改革委、科技部、工业和信息化部、财政部《关于扩大战略性新兴产业投资培育壮大新增长点增长极的指导意见》（2</w:t>
      </w:r>
      <w:r>
        <w:t>020.09.08</w:t>
      </w:r>
      <w:r>
        <w:rPr>
          <w:rFonts w:hint="eastAsia"/>
        </w:rPr>
        <w:t>）；</w:t>
      </w:r>
    </w:p>
    <w:p>
      <w:pPr>
        <w:ind w:firstLine="640"/>
      </w:pPr>
      <w:r>
        <w:rPr>
          <w:rFonts w:hint="eastAsia"/>
        </w:rPr>
        <w:t>（八）国家发展和改革委员会《淮河生态经济带发展规划》（2</w:t>
      </w:r>
      <w:r>
        <w:t>018.11</w:t>
      </w:r>
      <w:r>
        <w:rPr>
          <w:rFonts w:hint="eastAsia"/>
        </w:rPr>
        <w:t>）；</w:t>
      </w:r>
    </w:p>
    <w:p>
      <w:pPr>
        <w:ind w:firstLine="640"/>
      </w:pPr>
      <w:r>
        <w:rPr>
          <w:rFonts w:hint="eastAsia"/>
        </w:rPr>
        <w:t>（九）推动长三角一体化发展领导小组办公室《长三角一体化发展规划“十四五”实施方案》（2</w:t>
      </w:r>
      <w:r>
        <w:t>021.06.16</w:t>
      </w:r>
      <w:r>
        <w:rPr>
          <w:rFonts w:hint="eastAsia"/>
        </w:rPr>
        <w:t>）；</w:t>
      </w:r>
    </w:p>
    <w:p>
      <w:pPr>
        <w:ind w:firstLine="640"/>
      </w:pPr>
      <w:r>
        <w:rPr>
          <w:rFonts w:hint="eastAsia"/>
        </w:rPr>
        <w:t>（十）安徽省《安徽省国民经济和社会发展第十四个五年规划和2035年远景目标纲要》（2</w:t>
      </w:r>
      <w:r>
        <w:t>021.02.20</w:t>
      </w:r>
      <w:r>
        <w:rPr>
          <w:rFonts w:hint="eastAsia"/>
        </w:rPr>
        <w:t>）；</w:t>
      </w:r>
    </w:p>
    <w:p>
      <w:pPr>
        <w:ind w:firstLine="640"/>
      </w:pPr>
      <w:r>
        <w:rPr>
          <w:rFonts w:hint="eastAsia"/>
        </w:rPr>
        <w:t>（十一）安徽省《安徽省实施长三角一体化发展规划“十四五”行动方案》（2</w:t>
      </w:r>
      <w:r>
        <w:t>021.12.26</w:t>
      </w:r>
      <w:r>
        <w:rPr>
          <w:rFonts w:hint="eastAsia"/>
        </w:rPr>
        <w:t>）；</w:t>
      </w:r>
    </w:p>
    <w:p>
      <w:pPr>
        <w:ind w:firstLine="640"/>
      </w:pPr>
      <w:r>
        <w:rPr>
          <w:rFonts w:hint="eastAsia"/>
        </w:rPr>
        <w:t>（十二）安徽省《“数字江淮”建设总体规划（2020-2025年）》（2</w:t>
      </w:r>
      <w:r>
        <w:t>020.06.03</w:t>
      </w:r>
      <w:r>
        <w:rPr>
          <w:rFonts w:hint="eastAsia"/>
        </w:rPr>
        <w:t>）；</w:t>
      </w:r>
    </w:p>
    <w:p>
      <w:pPr>
        <w:ind w:firstLine="640"/>
      </w:pPr>
      <w:r>
        <w:rPr>
          <w:rFonts w:hint="eastAsia"/>
        </w:rPr>
        <w:t>（十三）安徽省《安徽省“数字政府”建设规划（2020-2025年）》（2</w:t>
      </w:r>
      <w:r>
        <w:t>020.10.24</w:t>
      </w:r>
      <w:r>
        <w:rPr>
          <w:rFonts w:hint="eastAsia"/>
        </w:rPr>
        <w:t>）；</w:t>
      </w:r>
    </w:p>
    <w:p>
      <w:pPr>
        <w:ind w:firstLine="640"/>
      </w:pPr>
      <w:r>
        <w:rPr>
          <w:rFonts w:hint="eastAsia"/>
        </w:rPr>
        <w:t>（十四）安徽省《安徽省5G发展规划纲要（2019-2022年）》（2</w:t>
      </w:r>
      <w:r>
        <w:t>020.03.31</w:t>
      </w:r>
      <w:r>
        <w:rPr>
          <w:rFonts w:hint="eastAsia"/>
        </w:rPr>
        <w:t>）；</w:t>
      </w:r>
    </w:p>
    <w:p>
      <w:pPr>
        <w:ind w:firstLine="640"/>
      </w:pPr>
      <w:r>
        <w:rPr>
          <w:rFonts w:hint="eastAsia"/>
        </w:rPr>
        <w:t>（十五）安徽省发展和改革委员会《安徽省创新型智慧园区建设方案》（2020.</w:t>
      </w:r>
      <w:r>
        <w:t>06.23</w:t>
      </w:r>
      <w:r>
        <w:rPr>
          <w:rFonts w:hint="eastAsia"/>
        </w:rPr>
        <w:t>）；</w:t>
      </w:r>
    </w:p>
    <w:p>
      <w:pPr>
        <w:ind w:firstLine="640"/>
      </w:pPr>
      <w:r>
        <w:rPr>
          <w:rFonts w:hint="eastAsia"/>
        </w:rPr>
        <w:t>（十六）宿州市《宿州市国民经济和社会发展第十四个五年规划和2035年远景目标纲要》（2</w:t>
      </w:r>
      <w:r>
        <w:t>021</w:t>
      </w:r>
      <w:r>
        <w:rPr>
          <w:rFonts w:hint="eastAsia"/>
        </w:rPr>
        <w:t>.</w:t>
      </w:r>
      <w:r>
        <w:t>03.04</w:t>
      </w:r>
      <w:r>
        <w:rPr>
          <w:rFonts w:hint="eastAsia"/>
        </w:rPr>
        <w:t>）；</w:t>
      </w:r>
    </w:p>
    <w:p>
      <w:pPr>
        <w:ind w:firstLine="640"/>
      </w:pPr>
      <w:r>
        <w:rPr>
          <w:rFonts w:hint="eastAsia"/>
        </w:rPr>
        <w:t>（十七）宿州市《“数字宿州”建设总体规划》（2</w:t>
      </w:r>
      <w:r>
        <w:t>021.11.30</w:t>
      </w:r>
      <w:r>
        <w:rPr>
          <w:rFonts w:hint="eastAsia"/>
        </w:rPr>
        <w:t>）；</w:t>
      </w:r>
    </w:p>
    <w:p>
      <w:pPr>
        <w:ind w:firstLine="640"/>
      </w:pPr>
      <w:r>
        <w:rPr>
          <w:rFonts w:hint="eastAsia"/>
        </w:rPr>
        <w:t>（十八）徐州市《徐州市国民经济和社会发展第十四个五年规划和2035年远景目标纲要》（2</w:t>
      </w:r>
      <w:r>
        <w:t>021.04.13</w:t>
      </w:r>
      <w:r>
        <w:rPr>
          <w:rFonts w:hint="eastAsia"/>
        </w:rPr>
        <w:t>）；</w:t>
      </w:r>
    </w:p>
    <w:p>
      <w:pPr>
        <w:ind w:firstLine="640"/>
      </w:pPr>
      <w:r>
        <w:rPr>
          <w:rFonts w:hint="eastAsia"/>
        </w:rPr>
        <w:t>（十九）徐州市《徐州市“十四五”工业和信息化发展规划》（2</w:t>
      </w:r>
      <w:r>
        <w:t>021.07.29</w:t>
      </w:r>
      <w:r>
        <w:rPr>
          <w:rFonts w:hint="eastAsia"/>
        </w:rPr>
        <w:t>）；</w:t>
      </w:r>
    </w:p>
    <w:p>
      <w:pPr>
        <w:ind w:firstLine="640"/>
      </w:pPr>
      <w:r>
        <w:rPr>
          <w:rFonts w:hint="eastAsia"/>
        </w:rPr>
        <w:t>（二十）徐州市《徐州市“十四五”科技创新规划》（2</w:t>
      </w:r>
      <w:r>
        <w:t>021.07.29</w:t>
      </w:r>
      <w:r>
        <w:rPr>
          <w:rFonts w:hint="eastAsia"/>
        </w:rPr>
        <w:t>）；</w:t>
      </w:r>
    </w:p>
    <w:p>
      <w:pPr>
        <w:ind w:firstLine="640"/>
      </w:pPr>
      <w:r>
        <w:rPr>
          <w:rFonts w:hint="eastAsia"/>
        </w:rPr>
        <w:t>（二十一）萧县《萧县国民经济和社会发展第十四个五年规划和2035年远景目标纲要》（2</w:t>
      </w:r>
      <w:r>
        <w:t>021.07.26</w:t>
      </w:r>
      <w:r>
        <w:rPr>
          <w:rFonts w:hint="eastAsia"/>
        </w:rPr>
        <w:t>）；</w:t>
      </w:r>
    </w:p>
    <w:p>
      <w:pPr>
        <w:ind w:firstLine="640"/>
      </w:pPr>
      <w:r>
        <w:rPr>
          <w:rFonts w:hint="eastAsia"/>
        </w:rPr>
        <w:t>（二十二）萧县《萧县开发区“十四五”产业发展规划》（2</w:t>
      </w:r>
      <w:r>
        <w:t>021.07.16</w:t>
      </w:r>
      <w:r>
        <w:rPr>
          <w:rFonts w:hint="eastAsia"/>
        </w:rPr>
        <w:t>）。</w:t>
      </w:r>
    </w:p>
    <w:p>
      <w:pPr>
        <w:pStyle w:val="3"/>
      </w:pPr>
      <w:bookmarkStart w:id="3" w:name="_Toc146484265"/>
      <w:r>
        <w:rPr>
          <w:rFonts w:hint="eastAsia"/>
        </w:rPr>
        <w:t>第三节 规划适用区域</w:t>
      </w:r>
      <w:bookmarkEnd w:id="3"/>
    </w:p>
    <w:p>
      <w:pPr>
        <w:ind w:firstLine="640"/>
      </w:pPr>
      <w:r>
        <w:rPr>
          <w:rFonts w:hint="eastAsia"/>
        </w:rPr>
        <w:t>本规划适用区域范围包括萧县经济开发区、张江萧县高科技园以及萧县下辖乡镇（街道）等。</w:t>
      </w:r>
    </w:p>
    <w:p>
      <w:pPr>
        <w:pStyle w:val="3"/>
      </w:pPr>
      <w:bookmarkStart w:id="4" w:name="_Toc146484266"/>
      <w:r>
        <w:rPr>
          <w:rFonts w:hint="eastAsia"/>
        </w:rPr>
        <w:t>第四节 规划编制期限</w:t>
      </w:r>
      <w:bookmarkEnd w:id="4"/>
    </w:p>
    <w:p>
      <w:pPr>
        <w:ind w:firstLine="640"/>
        <w:sectPr>
          <w:footerReference r:id="rId13" w:type="default"/>
          <w:pgSz w:w="11906" w:h="16838"/>
          <w:pgMar w:top="1440" w:right="1800" w:bottom="1440" w:left="1800" w:header="851" w:footer="992" w:gutter="0"/>
          <w:pgNumType w:start="1"/>
          <w:cols w:space="425" w:num="1"/>
          <w:docGrid w:type="lines" w:linePitch="312" w:charSpace="0"/>
        </w:sectPr>
      </w:pPr>
      <w:r>
        <w:rPr>
          <w:rFonts w:hint="eastAsia"/>
        </w:rPr>
        <w:t>规划基期为202</w:t>
      </w:r>
      <w:r>
        <w:t>2</w:t>
      </w:r>
      <w:r>
        <w:rPr>
          <w:rFonts w:hint="eastAsia"/>
        </w:rPr>
        <w:t>年，规划期为202</w:t>
      </w:r>
      <w:r>
        <w:t>3</w:t>
      </w:r>
      <w:r>
        <w:rPr>
          <w:rFonts w:hint="eastAsia"/>
        </w:rPr>
        <w:t>-2025年，远景展望至2035年。</w:t>
      </w:r>
    </w:p>
    <w:p>
      <w:pPr>
        <w:pStyle w:val="2"/>
      </w:pPr>
      <w:bookmarkStart w:id="5" w:name="_Toc146484267"/>
      <w:r>
        <w:rPr>
          <w:rFonts w:hint="eastAsia"/>
        </w:rPr>
        <w:t>第二章 数字萧县基础形势</w:t>
      </w:r>
      <w:bookmarkEnd w:id="5"/>
    </w:p>
    <w:p>
      <w:pPr>
        <w:pStyle w:val="3"/>
      </w:pPr>
      <w:bookmarkStart w:id="6" w:name="_Toc146484268"/>
      <w:bookmarkStart w:id="7" w:name="_Toc146480416"/>
      <w:r>
        <w:rPr>
          <w:rFonts w:hint="eastAsia"/>
        </w:rPr>
        <w:t>第一节 发展成就</w:t>
      </w:r>
      <w:bookmarkEnd w:id="6"/>
      <w:bookmarkEnd w:id="7"/>
    </w:p>
    <w:p>
      <w:pPr>
        <w:pStyle w:val="4"/>
        <w:ind w:firstLine="640"/>
      </w:pPr>
      <w:bookmarkStart w:id="8" w:name="_Toc146484269"/>
      <w:bookmarkStart w:id="9" w:name="_Toc146480417"/>
      <w:r>
        <w:rPr>
          <w:rFonts w:hint="eastAsia"/>
        </w:rPr>
        <w:t>一、数字基础设施不断完善</w:t>
      </w:r>
      <w:bookmarkEnd w:id="8"/>
      <w:bookmarkEnd w:id="9"/>
    </w:p>
    <w:p>
      <w:pPr>
        <w:ind w:firstLine="640"/>
      </w:pPr>
      <w:r>
        <w:rPr>
          <w:rFonts w:hint="eastAsia"/>
        </w:rPr>
        <w:t>结合当前IPv6等技术应用和业务发展需要，升级改造电子政务内、外网，建设覆盖县、乡、村的政务网络体系。统筹推进5G网络建设，倡导公共区域、公共交通、政府单位的非涉密场所对5G基站建设开放，实现重点区域5G网络全覆盖。全面推进“千兆城市”建设，提升乡村光纤宽带网络覆盖水平，提高带宽用户占比率。推进通信管道、杆路、铁塔等基础设施的共建共享，目前运营商已完成</w:t>
      </w:r>
      <w:r>
        <w:t>1000</w:t>
      </w:r>
      <w:r>
        <w:rPr>
          <w:rFonts w:hint="eastAsia"/>
        </w:rPr>
        <w:t>余个5G基站新建改造建设，实现县城政务区、工业园、商业区、乡镇所在地、小集镇、行政村等重点场所及人口密集区域的5G网络覆盖。</w:t>
      </w:r>
    </w:p>
    <w:p>
      <w:pPr>
        <w:pStyle w:val="4"/>
        <w:ind w:firstLine="640"/>
      </w:pPr>
      <w:bookmarkStart w:id="10" w:name="_Toc146484270"/>
      <w:bookmarkStart w:id="11" w:name="_Toc146480418"/>
      <w:r>
        <w:rPr>
          <w:rFonts w:hint="eastAsia"/>
        </w:rPr>
        <w:t>二、数据资源采归成效显著</w:t>
      </w:r>
      <w:bookmarkEnd w:id="10"/>
      <w:bookmarkEnd w:id="11"/>
    </w:p>
    <w:p>
      <w:pPr>
        <w:ind w:firstLine="640"/>
      </w:pPr>
      <w:r>
        <w:rPr>
          <w:rFonts w:hint="eastAsia"/>
        </w:rPr>
        <w:t>持续开展政务数据资源归集，加快全县数据资源的采集、整合、共享、交换、开放，实现各部门的资源的交互使用和全面共享，县大数据平台目前已归集数据总量6614.22万条，归集电子证照72类216.8万条，持续推动各类数据资源的归集与共享，实现省市县三级数据互联互通。深化“互联网+监管”，累计编制监管事项目录清单24578条。在线下政务服务大厅全面实施政务服务“好差评”制度，实现县乡村三级线上线下全覆盖。</w:t>
      </w:r>
    </w:p>
    <w:p>
      <w:pPr>
        <w:pStyle w:val="4"/>
        <w:ind w:firstLine="640"/>
      </w:pPr>
      <w:bookmarkStart w:id="12" w:name="_Toc146480419"/>
      <w:bookmarkStart w:id="13" w:name="_Toc146484271"/>
      <w:r>
        <w:rPr>
          <w:rFonts w:hint="eastAsia"/>
        </w:rPr>
        <w:t>三、数据资源治用提质升级</w:t>
      </w:r>
      <w:bookmarkEnd w:id="12"/>
      <w:bookmarkEnd w:id="13"/>
    </w:p>
    <w:p>
      <w:pPr>
        <w:ind w:firstLine="640"/>
      </w:pPr>
      <w:r>
        <w:rPr>
          <w:rFonts w:hint="eastAsia"/>
        </w:rPr>
        <w:t>全方位多举措引导广大群众广泛注册使用“皖事通”APP和“安康码”。目前，全县超过120万人申领皖事通，累计使用超千万次。政务服务中心大厅“一码出入”“一码取号”“一码办事”功能获得广泛好评，萧县人民医院实现“一码就医”功能，发热门诊登记系统正常运行，同步衔接“预防接种凭证”，推广使用“健康校园”“企业打卡”“场所码”。</w:t>
      </w:r>
    </w:p>
    <w:p>
      <w:pPr>
        <w:ind w:firstLine="640"/>
      </w:pPr>
      <w:r>
        <w:rPr>
          <w:rFonts w:hint="eastAsia"/>
        </w:rPr>
        <w:t>当前政务服务外网已实现县乡村三级全覆盖，纵向已覆盖23个乡镇274个村、社区，横向接入县直单位68家，实现县乡村事项网上申报和办理，着力构建“大事不出镇、小事不出村”的政务服务体系。加强对新接入的政务外网的审批，严格把关并进行24小时监控，对于遭受IP攻击、泄露的部门，第一时间进行反馈整改。</w:t>
      </w:r>
    </w:p>
    <w:p>
      <w:pPr>
        <w:pStyle w:val="4"/>
        <w:ind w:firstLine="640"/>
      </w:pPr>
      <w:bookmarkStart w:id="14" w:name="_Toc146484272"/>
      <w:bookmarkStart w:id="15" w:name="_Toc146480420"/>
      <w:r>
        <w:rPr>
          <w:rFonts w:hint="eastAsia"/>
        </w:rPr>
        <w:t>四、萧县“智慧+”成效显著</w:t>
      </w:r>
      <w:bookmarkEnd w:id="14"/>
      <w:bookmarkEnd w:id="15"/>
    </w:p>
    <w:p>
      <w:pPr>
        <w:ind w:firstLine="640"/>
      </w:pPr>
      <w:r>
        <w:rPr>
          <w:rFonts w:hint="eastAsia"/>
        </w:rPr>
        <w:t>萧县城市管理局按照国家住建部标准，完成了数字化城市管理系统的建设，实现了城市管理的主动化、精细化和信息化。为了实现城市高效治理，在数字城管的基础上升级为智慧城管，通过建设数字化城管监督指挥平台、实施数字化城管标准九大子系统和拓展子系统、建立基础地理数据库和部件信息数据库</w:t>
      </w:r>
      <w:bookmarkStart w:id="93" w:name="_GoBack"/>
      <w:bookmarkEnd w:id="93"/>
      <w:r>
        <w:rPr>
          <w:rFonts w:hint="eastAsia"/>
        </w:rPr>
        <w:t>，实现了网格化管理和推动“互联网+政务服务”。同时，加快物联网、大数据等新一代数字化信息技术的应用，全天候动态巡查园林绿化、市政公用、道路交通、街面秩序等城市管理问题。通过智慧城管信息系统升级建设和信息资源共享，实现了城市管理问题的快速发现、快速反应和快速处置，实现了城市管理的协同联动和中心统一管理，不断提升城市治理能力，为市民提供更高效的城市管理服务。</w:t>
      </w:r>
    </w:p>
    <w:p>
      <w:pPr>
        <w:ind w:firstLine="640"/>
      </w:pPr>
      <w:r>
        <w:rPr>
          <w:rFonts w:hint="eastAsia"/>
        </w:rPr>
        <w:t>在智慧管网方面，建立城市排水管网地理信息系统，实现了全覆盖排水管网及重要设施的物联网实时监控体系。同时依托城市基础网络设施、通讯技术和地理信息技术，组建了城市排水管网安全运行监管平台，实现了对排水管线和窖井等的专项智能化监管。为确保排水管网的安全运行，还建立了长效运维机制。这些措施的实施促进了城市排水管网的管理和运维工作，提高了排水系统的安全性与效率。</w:t>
      </w:r>
    </w:p>
    <w:p>
      <w:pPr>
        <w:ind w:firstLine="640"/>
      </w:pPr>
      <w:r>
        <w:rPr>
          <w:rFonts w:hint="eastAsia"/>
        </w:rPr>
        <w:t>萧县智慧学校建设工作按照安徽省和宿州市的规划要求，全面推进智慧学校的建设，实现了全县智慧学校建设全覆盖。智慧学校优先推进智慧课堂教学应用，提升教育教学的质量和效率，通过入校培训和指导服务，教师和学生已实现教学常态化应用，提高了教师备授课效率，活跃了课堂氛围，促进了个性化学习，减轻了师生负担。通过开展智慧课堂教学教研科活动、教师教育信息能力提升培训、教师智慧课堂教学应用能力和管理技术人员能力提升培训等举措，萧县取得了一系列成效。这些努力有力地促进了智慧学校的建设与应用，为教育教学的创新与提升提供了有力支持。</w:t>
      </w:r>
    </w:p>
    <w:p>
      <w:pPr>
        <w:pStyle w:val="4"/>
        <w:ind w:firstLine="640"/>
      </w:pPr>
      <w:bookmarkStart w:id="16" w:name="_Toc146480421"/>
      <w:bookmarkStart w:id="17" w:name="_Toc146484273"/>
      <w:r>
        <w:rPr>
          <w:rFonts w:hint="eastAsia"/>
        </w:rPr>
        <w:t>五、数字经济规模持续扩大</w:t>
      </w:r>
      <w:bookmarkEnd w:id="16"/>
      <w:bookmarkEnd w:id="17"/>
    </w:p>
    <w:p>
      <w:pPr>
        <w:ind w:firstLine="640"/>
      </w:pPr>
      <w:r>
        <w:rPr>
          <w:rFonts w:hint="eastAsia"/>
        </w:rPr>
        <w:t>优化产业结构和创新运用数字化模式，推动数字经济规模持续扩大。在农业生产、线上农村电商领域，大数据、物联网、云计算、移动互联网等信息技术得到广泛应用。通过新兴渠道如直播平台，创新“网红”直播带货，丰富特色农产品销售模式，拓宽线上销售渠道。同时，完善农产品质量安全监管信息化建设，建立覆盖县乡村三级的农产品质量安全监测信息管理平台。数字化模式的创新应用以及农业智能装备的推广，为农产品销售和生产提供了更加高效、精准的解决方案。这些积极的努力为优化经济结构、促进经济的高质量发展奠定了基础，也为萧县县域经济转型升级，提升经济竞争力和创新能力注入了新动力。</w:t>
      </w:r>
    </w:p>
    <w:p>
      <w:pPr>
        <w:pStyle w:val="4"/>
        <w:ind w:firstLine="640"/>
      </w:pPr>
      <w:bookmarkStart w:id="18" w:name="_Toc146484274"/>
      <w:bookmarkStart w:id="19" w:name="_Toc146480422"/>
      <w:r>
        <w:rPr>
          <w:rFonts w:hint="eastAsia"/>
        </w:rPr>
        <w:t>六、区域协同发展深入推进</w:t>
      </w:r>
      <w:bookmarkEnd w:id="18"/>
      <w:bookmarkEnd w:id="19"/>
    </w:p>
    <w:p>
      <w:pPr>
        <w:ind w:firstLine="640"/>
      </w:pPr>
      <w:r>
        <w:rPr>
          <w:rFonts w:hint="eastAsia"/>
        </w:rPr>
        <w:t>萧县牢牢抓住长三角一体化发展、淮河生态经济带建设发展机遇，积极参与长三角一体化建设，抢抓长三角一体化发展战略及与杭州市拱墅区开展省际结对合作机遇。</w:t>
      </w:r>
      <w:r>
        <w:t>与杭州拱墅区签订多项合作协议，建立常态化高效化沟通交流机制、吸引投资和优化营商环境等</w:t>
      </w:r>
      <w:r>
        <w:rPr>
          <w:rFonts w:hint="eastAsia"/>
        </w:rPr>
        <w:t>，</w:t>
      </w:r>
      <w:r>
        <w:t>推动产业链集群的集聚，促进实体经济的发展，加速推动县域产业转型升级。</w:t>
      </w:r>
      <w:r>
        <w:rPr>
          <w:rFonts w:hint="eastAsia"/>
        </w:rPr>
        <w:t>同时，萧县在开发区作为平台的基础上，布局新材料、装备制造、电子信息等产业生态圈，与周边城市紧密合作，实现产业要素的双向流通，加快产业融合与发展。与此同时，萧县也积极争取省级资金支持，为区域协同发展提供了资金保障。</w:t>
      </w:r>
    </w:p>
    <w:p>
      <w:pPr>
        <w:ind w:firstLine="640"/>
      </w:pPr>
      <w:r>
        <w:rPr>
          <w:rFonts w:hint="eastAsia"/>
        </w:rPr>
        <w:t>此外，萧县也与淮海经济区进行密切的产业合作，通过与徐州的同城化协同发展，积极承接徐工机械制造、电子信息、新能源新材料等产业转移。这种密切的合作关系有助于形成产业链的完整，推动萧县成为徐州装备制造业产业集群的重要组成部分。</w:t>
      </w:r>
    </w:p>
    <w:p>
      <w:pPr>
        <w:ind w:firstLine="640"/>
      </w:pPr>
      <w:r>
        <w:rPr>
          <w:rFonts w:hint="eastAsia"/>
        </w:rPr>
        <w:t>通过与周边地区的紧密合作，萧县形成了一个以新材料、装备制造、电子信息等为主导的产业优势。这种区域协同发展的模式，促进了产业结构的优化和转型升级，推动了技术创新和产业链的完善。萧县努力打造具有较强影响力的功能性新材料产业基地，成为皖北县域融入长三角一体化发展的重要节点。</w:t>
      </w:r>
    </w:p>
    <w:p>
      <w:pPr>
        <w:pStyle w:val="3"/>
      </w:pPr>
      <w:bookmarkStart w:id="20" w:name="_Toc146484275"/>
      <w:bookmarkStart w:id="21" w:name="_Toc146480423"/>
      <w:r>
        <w:rPr>
          <w:rFonts w:hint="eastAsia"/>
        </w:rPr>
        <w:t>第二节 存在问题</w:t>
      </w:r>
      <w:bookmarkEnd w:id="20"/>
      <w:bookmarkEnd w:id="21"/>
    </w:p>
    <w:p>
      <w:pPr>
        <w:ind w:firstLine="640"/>
      </w:pPr>
      <w:r>
        <w:rPr>
          <w:rFonts w:hint="eastAsia"/>
        </w:rPr>
        <w:t>一是在传统产业升级过程中，技术创新能力有待提高。通过推进各行各业加速数字化转型，建设数字化管理系统、智能化生产设备等，提高企业的信息化水平，鼓励传统产业引入新兴数字技术，如物联网、人工智能、大数据等，实现生产过程的智能化和自动化，提高产业效率和竞争力，解决传统产业转型升级的问题。</w:t>
      </w:r>
    </w:p>
    <w:p>
      <w:pPr>
        <w:ind w:firstLine="640"/>
      </w:pPr>
      <w:r>
        <w:rPr>
          <w:rFonts w:hint="eastAsia"/>
        </w:rPr>
        <w:t>二是在信息化过程中需要进一步加强整体规划和统一管理。强化政府部门和企业间的信息资源共享，建立数字化应用平台，提供统一的数据标准和接口，方便不同企业间的数据交换和共享，加强与其他地区的信息交流与合作，吸引更多优质资源投入数字萧县建设。</w:t>
      </w:r>
    </w:p>
    <w:p>
      <w:pPr>
        <w:pStyle w:val="3"/>
      </w:pPr>
      <w:bookmarkStart w:id="22" w:name="_Toc146480424"/>
      <w:bookmarkStart w:id="23" w:name="_Toc146484276"/>
      <w:r>
        <w:rPr>
          <w:rFonts w:hint="eastAsia"/>
        </w:rPr>
        <w:t>第三节 机遇与挑战</w:t>
      </w:r>
      <w:bookmarkEnd w:id="22"/>
      <w:bookmarkEnd w:id="23"/>
    </w:p>
    <w:p>
      <w:pPr>
        <w:pStyle w:val="4"/>
        <w:ind w:firstLine="640"/>
      </w:pPr>
      <w:bookmarkStart w:id="24" w:name="_Toc146484277"/>
      <w:bookmarkStart w:id="25" w:name="_Toc146480425"/>
      <w:r>
        <w:rPr>
          <w:rFonts w:hint="eastAsia"/>
        </w:rPr>
        <w:t>一、国家和省市发展规划引领新格局</w:t>
      </w:r>
      <w:bookmarkEnd w:id="24"/>
      <w:bookmarkEnd w:id="25"/>
    </w:p>
    <w:p>
      <w:pPr>
        <w:ind w:firstLine="640"/>
      </w:pPr>
      <w:r>
        <w:rPr>
          <w:rFonts w:hint="eastAsia"/>
        </w:rPr>
        <w:t>近年来，《关于国民经济和社会发展第十四个五年规划和2035年远景目标纲要》中明确将数字化发展、建设数字中国作为重要内容，提出了加快数字化发展、推进网络强国建设、打造数字经济新优势等目标。《数字农业农村发展规划（2019-2025年）》和《工业互联网创新发展行动计划（2021-2023年）》等一系列政策，推动农村地区和传统制造业的数字化转型。采用数字技术和信息化手段，提升农业生产效率和农民收入水平，同时促进农村地区经济的现代化发展。安徽省发布《“数字江淮”建设总体规划（2020-2025年）》明确提出了加快数字产业融合创新、加强数字基础设施建设、培育数字经济新动能等具体措施，致力于推动数字经济的升级和转型。《安徽省“数字政府”建设规划（2020-2025年）》提出加强政务信息资源整合共享、构建智慧政务平台、推进数字政府能力提升等目标，推进政府的数字化转型，提高政府治理效能和公共服务水平。萧县也积极响应国家和省市发展规划政策，通过发布有关数字产业发展的规划文件，加快数字化发展、培育数字产业、推进数字政府建设等方面的工作。这些措施旨在提升数字经济水平，推动产业转型升级，引导萧县数字经济的蓬勃发展创造了良好的环境和条件。</w:t>
      </w:r>
    </w:p>
    <w:p>
      <w:pPr>
        <w:pStyle w:val="4"/>
        <w:ind w:firstLine="640"/>
      </w:pPr>
      <w:bookmarkStart w:id="26" w:name="_Toc146484278"/>
      <w:bookmarkStart w:id="27" w:name="_Toc146480426"/>
      <w:r>
        <w:rPr>
          <w:rFonts w:hint="eastAsia"/>
        </w:rPr>
        <w:t>二、区域一体化战略创新开拓新局面</w:t>
      </w:r>
      <w:bookmarkEnd w:id="26"/>
      <w:bookmarkEnd w:id="27"/>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萧县积极响应《长江三角洲区域一体化发展规划纲要》和《淮河生态经济带发展规划》等重大战略部署，在全县范围内推动数字经济建设，加速数字经济与传统产业融合，提升数字化治理水平，推动区域一体化战略创新。</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萧县积极融入长三角发展，加快与周边城市高速公路、城际公交、铁路以及通用机场等交通项目的推进，促进皖北地区与中原城市群及淮海经济区的互融互通，推动长三角一体化建设，</w:t>
      </w:r>
      <w:r>
        <w:rPr>
          <w:rFonts w:ascii="Arial" w:hAnsi="Arial" w:cs="Arial"/>
          <w:color w:val="000000" w:themeColor="text1"/>
          <w:shd w:val="clear" w:color="auto" w:fill="FFFFFF"/>
          <w14:textFill>
            <w14:solidFill>
              <w14:schemeClr w14:val="tx1"/>
            </w14:solidFill>
          </w14:textFill>
        </w:rPr>
        <w:t>打造综合交通运输体</w:t>
      </w:r>
      <w:r>
        <w:rPr>
          <w:rFonts w:hint="eastAsia" w:ascii="Arial" w:hAnsi="Arial" w:cs="Arial"/>
          <w:color w:val="000000" w:themeColor="text1"/>
          <w:shd w:val="clear" w:color="auto" w:fill="FFFFFF"/>
          <w14:textFill>
            <w14:solidFill>
              <w14:schemeClr w14:val="tx1"/>
            </w14:solidFill>
          </w14:textFill>
        </w:rPr>
        <w:t>系，</w:t>
      </w:r>
      <w:r>
        <w:rPr>
          <w:rFonts w:hint="eastAsia"/>
          <w:color w:val="000000" w:themeColor="text1"/>
          <w14:textFill>
            <w14:solidFill>
              <w14:schemeClr w14:val="tx1"/>
            </w14:solidFill>
          </w14:textFill>
        </w:rPr>
        <w:t>为全面融入长三角一体化的互联互通提供支持。</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在机制联动方面，萧县深入实施互联互融政策，推动了社保异地办理和居民服务“一卡通”在文化和旅游领域的应用。加强与沪苏浙等地城市的交流对接，推动政务服务的跨区域通办，实现资源要素的高效利用和快速流动。</w:t>
      </w:r>
    </w:p>
    <w:p>
      <w:pPr>
        <w:ind w:firstLine="640"/>
      </w:pPr>
      <w:r>
        <w:rPr>
          <w:rFonts w:hint="eastAsia"/>
        </w:rPr>
        <w:t>“十四五”时期，萧县积极把握数字经济产业趋势和机遇，着力推进数字经济高质量发展，实现资源优势互补，促进产业发展，推动人才流动和培养，畅通交通网络，打造高质量发展的新高地。</w:t>
      </w:r>
    </w:p>
    <w:p>
      <w:pPr>
        <w:pStyle w:val="4"/>
        <w:ind w:firstLine="640"/>
      </w:pPr>
      <w:bookmarkStart w:id="28" w:name="_Toc146480427"/>
      <w:bookmarkStart w:id="29" w:name="_Toc146484279"/>
      <w:r>
        <w:rPr>
          <w:rFonts w:hint="eastAsia"/>
        </w:rPr>
        <w:t>三、新一轮科技变革赋能数字经济开新篇</w:t>
      </w:r>
      <w:bookmarkEnd w:id="28"/>
      <w:bookmarkEnd w:id="29"/>
    </w:p>
    <w:p>
      <w:pPr>
        <w:ind w:firstLine="640"/>
      </w:pPr>
      <w:r>
        <w:rPr>
          <w:rFonts w:hint="eastAsia"/>
        </w:rPr>
        <w:t>新一轮科技变革正以前所未有的速度和规模影响着全球经济格局，同时也为萧县数字经济的发展带来了巨大的机遇与挑战。科技创新不仅改变了传统产业的生产方式和商业模式，也催生了新兴产业和新的经济增长点。在这个过程中，萧县数字经济被赋予了更多的动力和活力。</w:t>
      </w:r>
    </w:p>
    <w:p>
      <w:pPr>
        <w:ind w:firstLine="640"/>
        <w:sectPr>
          <w:pgSz w:w="11906" w:h="16838"/>
          <w:pgMar w:top="1440" w:right="1800" w:bottom="1440" w:left="1800" w:header="851" w:footer="992" w:gutter="0"/>
          <w:cols w:space="425" w:num="1"/>
          <w:docGrid w:type="lines" w:linePitch="312" w:charSpace="0"/>
        </w:sectPr>
      </w:pPr>
      <w:r>
        <w:rPr>
          <w:rFonts w:hint="eastAsia"/>
        </w:rPr>
        <w:t>以云计算、大数据、人工智能、物联网等新技术的广泛应用，可以有效推动萧县数字经济的快速发展和数字化转型，实现产业升级和创新发展。通过数字化技术的支持，可以更高效地运营和管理，提高生产效率和质量，降低成本和风险。同时，科技变革也为数字经济提供了更广阔的市场和更多的商机。通过构建数字化基础设施、推动数字化产业更高质量的发展。</w:t>
      </w:r>
    </w:p>
    <w:p>
      <w:pPr>
        <w:pStyle w:val="2"/>
      </w:pPr>
      <w:bookmarkStart w:id="30" w:name="_Toc146484280"/>
      <w:r>
        <w:rPr>
          <w:rFonts w:hint="eastAsia"/>
        </w:rPr>
        <w:t>第三章 数字萧县发展思路与总体要求</w:t>
      </w:r>
      <w:bookmarkEnd w:id="30"/>
    </w:p>
    <w:p>
      <w:pPr>
        <w:pStyle w:val="3"/>
      </w:pPr>
      <w:bookmarkStart w:id="31" w:name="_Toc146484281"/>
      <w:r>
        <w:rPr>
          <w:rFonts w:hint="eastAsia"/>
        </w:rPr>
        <w:t>第一节 指导思想</w:t>
      </w:r>
      <w:bookmarkEnd w:id="31"/>
    </w:p>
    <w:p>
      <w:pPr>
        <w:ind w:firstLine="640"/>
      </w:pPr>
      <w:r>
        <w:rPr>
          <w:rFonts w:hint="eastAsia"/>
        </w:rPr>
        <w:t>高举中国特色社会主义伟大旗帜，深入贯彻党的二十大和二十届一中全会精神，坚持以马克思列宁主义、毛泽东思想、邓小平理论、“三个代表”重要思想、科学发展观、习近平新时代中国特色社会主义思想为指导，全面贯彻习近平总书记中央政治局集体学习重要讲话和考察安徽重要讲话指示精神，立足新发展阶段、贯彻新发展理念，服务构建新发展格局，以数字化改革为驱动，全面落实网络强国和数字中国战略，认真落实“数字江淮”和“数字宿州”建设要求，以凝练数字萧县能力、赋能萧县国民经济和社会发展为目标，以建设数字政府、构筑数字社会、发展数字经济为主线，加速区域协同，全力将萧县建成宿州市乃至皖北地区数字政府新标杆、数字社会新样板、数字经济新高地，为建设新时期美好萧县提供强大动力和战略支撑。</w:t>
      </w:r>
    </w:p>
    <w:p>
      <w:pPr>
        <w:pStyle w:val="3"/>
      </w:pPr>
      <w:bookmarkStart w:id="32" w:name="_Toc146484282"/>
      <w:r>
        <w:rPr>
          <w:rFonts w:hint="eastAsia"/>
        </w:rPr>
        <w:t>第二节 基本原则</w:t>
      </w:r>
      <w:bookmarkEnd w:id="32"/>
    </w:p>
    <w:p>
      <w:pPr>
        <w:pStyle w:val="4"/>
        <w:ind w:firstLine="640"/>
      </w:pPr>
      <w:bookmarkStart w:id="33" w:name="_Toc146484283"/>
      <w:r>
        <w:rPr>
          <w:rFonts w:hint="eastAsia"/>
        </w:rPr>
        <w:t>一、创新引领，数据赋能</w:t>
      </w:r>
      <w:bookmarkEnd w:id="33"/>
    </w:p>
    <w:p>
      <w:pPr>
        <w:ind w:firstLine="640"/>
      </w:pPr>
      <w:r>
        <w:rPr>
          <w:rFonts w:hint="eastAsia"/>
        </w:rPr>
        <w:t>坚持把创新作为引领发展的第一动力，突出信息科技与数据资源的战略支撑作用，促进数据资源和数字技术向萧县国民经济和社会发展各领域广泛渗透，推进数据资源、数字技术、应用场景和市场需求融合创新，形成以科技创新与数据资源应用赋能全要素生产效率提升的发展格局。</w:t>
      </w:r>
    </w:p>
    <w:p>
      <w:pPr>
        <w:pStyle w:val="4"/>
        <w:ind w:firstLine="640"/>
      </w:pPr>
      <w:bookmarkStart w:id="34" w:name="_Toc146484284"/>
      <w:r>
        <w:rPr>
          <w:rFonts w:hint="eastAsia"/>
        </w:rPr>
        <w:t>二、政府引导，协同联动</w:t>
      </w:r>
      <w:bookmarkEnd w:id="34"/>
    </w:p>
    <w:p>
      <w:pPr>
        <w:ind w:firstLine="640"/>
      </w:pPr>
      <w:r>
        <w:rPr>
          <w:rFonts w:hint="eastAsia"/>
        </w:rPr>
        <w:t>坚持政府引导、市场主导、规划引领的原则，统筹落实“数字萧县”总体建设规划。巩固市场在资源配置中的决定性作用，充分调动政产学研用各主体系统推进规划建设，激发各参与主体的主动性、积极性和创新性，构建经济社会各主体多元参与、协同联动的新发展机制。</w:t>
      </w:r>
    </w:p>
    <w:p>
      <w:pPr>
        <w:pStyle w:val="4"/>
        <w:ind w:firstLine="640"/>
      </w:pPr>
      <w:bookmarkStart w:id="35" w:name="_Toc146484285"/>
      <w:r>
        <w:rPr>
          <w:rFonts w:hint="eastAsia"/>
        </w:rPr>
        <w:t>三、应用牵引，惠及民生</w:t>
      </w:r>
      <w:bookmarkEnd w:id="35"/>
    </w:p>
    <w:p>
      <w:pPr>
        <w:ind w:firstLine="640"/>
      </w:pPr>
      <w:r>
        <w:rPr>
          <w:rFonts w:hint="eastAsia"/>
        </w:rPr>
        <w:t>坚持以人民群众需求为导向，致力于满足人民群众的实际需求和利益，将人民群众的需求作为规划建设的出发点和落脚点。设计新思路、运用新技术、创造新模式，充分落实数字萧县建设的各项工作，持续提升萧县公共服务普惠化、便捷化与均等化，增强人民群众幸福感与获得感。</w:t>
      </w:r>
    </w:p>
    <w:p>
      <w:pPr>
        <w:pStyle w:val="4"/>
        <w:ind w:firstLine="640"/>
      </w:pPr>
      <w:bookmarkStart w:id="36" w:name="_Toc146484286"/>
      <w:r>
        <w:rPr>
          <w:rFonts w:hint="eastAsia"/>
        </w:rPr>
        <w:t>四、系统推进，安全有序</w:t>
      </w:r>
      <w:bookmarkEnd w:id="36"/>
    </w:p>
    <w:p>
      <w:pPr>
        <w:ind w:firstLine="640"/>
      </w:pPr>
      <w:r>
        <w:rPr>
          <w:rFonts w:hint="eastAsia"/>
        </w:rPr>
        <w:t>坚持安全发展理念，持续巩固和完善数字萧县安全支撑体系，落实安全管理主体责任，坚持数字化建设与安全保障工作同步规划、实施与运维，确保数字基础设施、通信网络、数据资源与信息传输等各要素安全。</w:t>
      </w:r>
    </w:p>
    <w:p>
      <w:pPr>
        <w:pStyle w:val="3"/>
      </w:pPr>
      <w:bookmarkStart w:id="37" w:name="_Toc146484287"/>
      <w:r>
        <w:rPr>
          <w:rFonts w:hint="eastAsia"/>
        </w:rPr>
        <w:t>第三节 战略思路</w:t>
      </w:r>
      <w:bookmarkEnd w:id="37"/>
    </w:p>
    <w:p>
      <w:pPr>
        <w:ind w:firstLine="640"/>
      </w:pPr>
      <w:r>
        <w:rPr>
          <w:rFonts w:hint="eastAsia"/>
        </w:rPr>
        <w:t>依托萧县发展基础与自身优势，结合长三角一体化、沪苏浙城市结对合作帮扶、淮海经济区、徐州都市圈、萧县“一城三区一基地”等战略要求，并融合数字江淮和数字宿州规划内容，着力建设“数字萧县”。</w:t>
      </w:r>
    </w:p>
    <w:p>
      <w:pPr>
        <w:ind w:firstLine="643"/>
      </w:pPr>
      <w:r>
        <w:rPr>
          <w:rFonts w:hint="eastAsia"/>
          <w:b/>
          <w:bCs/>
        </w:rPr>
        <w:t>筑牢数字基础底座</w:t>
      </w:r>
      <w:r>
        <w:rPr>
          <w:rFonts w:hint="eastAsia"/>
        </w:rPr>
        <w:t>。依托数字宿州建设总体规划，立足萧县国民经济和社会发展现状，建设高速稳定的信息基础设施，包括宽带网络、光纤网络、5G基站以及云计算平台等，确保数据传输畅通无阻。推进物联网技术应用，将各类设备和传感器连接到互联网，实现信息的实时感知和数据采集。加强信息安全体系建设，保障数据的安全存储和传输，防范网络安全风险。</w:t>
      </w:r>
    </w:p>
    <w:p>
      <w:pPr>
        <w:ind w:firstLine="643"/>
      </w:pPr>
      <w:r>
        <w:rPr>
          <w:rFonts w:hint="eastAsia"/>
          <w:b/>
          <w:bCs/>
        </w:rPr>
        <w:t>聚焦重点发展任务</w:t>
      </w:r>
      <w:r>
        <w:rPr>
          <w:rFonts w:hint="eastAsia"/>
        </w:rPr>
        <w:t>。聚焦萧县国民经济和社会发展“十四五”规划重点任务，确定数字化发展的优先领域和关键产业；建设数字产业园区，吸引数字科技企业和创新型人才集聚，推动数字产业的快速发展；推进数字农业、数字文化、数字旅游等领域的发展，提升传统产业的数字化水平。</w:t>
      </w:r>
    </w:p>
    <w:p>
      <w:pPr>
        <w:ind w:firstLine="643"/>
      </w:pPr>
      <w:r>
        <w:rPr>
          <w:rFonts w:hint="eastAsia"/>
          <w:b/>
          <w:bCs/>
        </w:rPr>
        <w:t>融入区域数字协同</w:t>
      </w:r>
      <w:r>
        <w:rPr>
          <w:rFonts w:hint="eastAsia"/>
        </w:rPr>
        <w:t>。凭借“四省通衢、淮海中心、徐州近郊”优势，通过沪苏浙城市结对合作帮扶紧抓长三角一体化发展战略机遇，强化与长三角一体化、淮海经济区、徐州都市圈的合作，打破“数据孤岛”，推进跨地区数据共享与标准化建设，建设数字资源共享与流通平台，促进信息的跨界流动和优势资源的互通有无，形成优势互补、资源共享的数字化发展格局。</w:t>
      </w:r>
    </w:p>
    <w:p>
      <w:pPr>
        <w:ind w:firstLine="643"/>
      </w:pPr>
      <w:r>
        <w:rPr>
          <w:rFonts w:hint="eastAsia"/>
          <w:b/>
          <w:bCs/>
        </w:rPr>
        <w:t>提升数字治理与服务水平</w:t>
      </w:r>
      <w:r>
        <w:rPr>
          <w:rFonts w:hint="eastAsia"/>
        </w:rPr>
        <w:t>。推进政务数字化改革，建设数字政府，深化“一网一门一次”改革，加快对接和推进“宿事速办”、“慧办事、慧审批、慧监管”萧县智慧政务新模式，提高政府运行效率和公共服务质量。发展智慧城市和建设智慧园区，整合城市资源、园区资源和管理数据，提供更智能、高效的城市与园区服务。持续推广数字教育、数字医疗、数字文化、数字旅游等社会公共服务，提升人民群众的获得感和幸福感。</w:t>
      </w:r>
    </w:p>
    <w:p>
      <w:pPr>
        <w:ind w:firstLine="643"/>
      </w:pPr>
      <w:r>
        <w:rPr>
          <w:rFonts w:hint="eastAsia"/>
          <w:b/>
          <w:bCs/>
        </w:rPr>
        <w:t>数字经济发展提质升级</w:t>
      </w:r>
      <w:r>
        <w:rPr>
          <w:rFonts w:hint="eastAsia"/>
        </w:rPr>
        <w:t>。以“数字产业化、产业数字化”为主线，加速数字经济向传统产业融合渗透，鼓励和支持传统龙头骨干企业数字化转型，建设智能工厂、数字化车间和生产线，驱动传统产业优化升级；积极引进和培育一批具有较强竞争力的电子信息、软件开发、互联网信息服务及配套等产业，促进数字经济与实体经济的融合创新；探索云计算、物联网、大数据、人工智能、区块链、虚拟/增强现实（VR/AR）、数字孪生等新一代信息技术在国民经济和社会发展各领域中的融合应用。</w:t>
      </w:r>
    </w:p>
    <w:p>
      <w:pPr>
        <w:pStyle w:val="3"/>
      </w:pPr>
      <w:bookmarkStart w:id="38" w:name="_Toc146484288"/>
      <w:r>
        <w:rPr>
          <w:rFonts w:hint="eastAsia"/>
        </w:rPr>
        <w:t>第四节 发展目标</w:t>
      </w:r>
      <w:bookmarkEnd w:id="38"/>
    </w:p>
    <w:p>
      <w:pPr>
        <w:ind w:firstLine="640"/>
      </w:pPr>
      <w:r>
        <w:rPr>
          <w:rFonts w:hint="eastAsia"/>
        </w:rPr>
        <w:t>经过“十四五”时期的全面发展，到2</w:t>
      </w:r>
      <w:r>
        <w:t>025</w:t>
      </w:r>
      <w:r>
        <w:rPr>
          <w:rFonts w:hint="eastAsia"/>
        </w:rPr>
        <w:t>年，数字萧县建设体系基本形成，数字化基础设施广泛覆盖，数据资源共享与流通平台初步建成，数据资源高效流转、深度应用。数字经济、数字社会、数字政府建设成效显著，基本实现数字资源赋能提质、公共服务普惠便捷、智慧政务便民高效、社会治理精细现代、区域协同合作深入、数字经济高质量发展，将萧县打造成长三角地区数字协同发展先行区、淮海中心数字化产业集聚区、徐州都市圈数字经济新高地、数字社会新样板、数字政府新标杆。</w:t>
      </w:r>
    </w:p>
    <w:p>
      <w:pPr>
        <w:ind w:firstLine="643"/>
      </w:pPr>
      <w:r>
        <w:rPr>
          <w:rFonts w:hint="eastAsia"/>
          <w:b/>
          <w:bCs/>
        </w:rPr>
        <w:t>数字基础设施全面升级</w:t>
      </w:r>
      <w:r>
        <w:rPr>
          <w:rFonts w:hint="eastAsia"/>
        </w:rPr>
        <w:t>。建成泛在、高速、移动、安全的新一代网络基础设施，宽带网络与光纤网络全覆盖，累积建成5G基站</w:t>
      </w:r>
      <w:r>
        <w:t>1600</w:t>
      </w:r>
      <w:r>
        <w:rPr>
          <w:rFonts w:hint="eastAsia"/>
        </w:rPr>
        <w:t>个以上，实现5G网络重点区域全覆盖。部署城市感知物联网设备，打造集数据采集、数据传输、数据存储、数据交换、数据应用、数据共享等为一体的数据中台。到2</w:t>
      </w:r>
      <w:r>
        <w:t>025</w:t>
      </w:r>
      <w:r>
        <w:rPr>
          <w:rFonts w:hint="eastAsia"/>
        </w:rPr>
        <w:t>年，争创区域5G试点城市，萧县数字化基础设施建设迈上新台阶。</w:t>
      </w:r>
    </w:p>
    <w:p>
      <w:pPr>
        <w:ind w:firstLine="643"/>
      </w:pPr>
      <w:r>
        <w:rPr>
          <w:rFonts w:hint="eastAsia"/>
          <w:b/>
          <w:bCs/>
        </w:rPr>
        <w:t>产业数字化与数字产业化全面赋能萧县国民经济和社会发展</w:t>
      </w:r>
      <w:r>
        <w:rPr>
          <w:rFonts w:hint="eastAsia"/>
        </w:rPr>
        <w:t>。以两化深度融合行动计划为抓手，重点发展电子信息、软件开发、互联网信息服务及配套等产业，推动5G规模商用，实施5G在智能制造等领域的示范应用。以“互联网+”为引领，初步建成工业互联网基础设施体系，积极推进工业云及工业大数据创新应用试点，基本建成工业云服务平台和工业大数据平台。到2</w:t>
      </w:r>
      <w:r>
        <w:t>025</w:t>
      </w:r>
      <w:r>
        <w:rPr>
          <w:rFonts w:hint="eastAsia"/>
        </w:rPr>
        <w:t>年，萧县数字经济增加值占比与数字经济核心产业增加值占比力争达到全省平均水平。</w:t>
      </w:r>
    </w:p>
    <w:p>
      <w:pPr>
        <w:ind w:firstLine="643"/>
      </w:pPr>
      <w:r>
        <w:rPr>
          <w:rFonts w:hint="eastAsia"/>
          <w:b/>
          <w:bCs/>
        </w:rPr>
        <w:t>数字政府与政务服务提质升级</w:t>
      </w:r>
      <w:r>
        <w:rPr>
          <w:rFonts w:hint="eastAsia"/>
        </w:rPr>
        <w:t>。持续优化政府服务和数字政府建设，推进“互联网+政务服务”，打破“数据孤岛”，政务服务“一网一门一次”改革取得实质成效，“不见面审批（服务）”等线上线下融合服务全面建成，在更大范围内实现“一网通办”“最多跑一次”，完善7</w:t>
      </w:r>
      <w:bookmarkStart w:id="39" w:name="_Hlk142385372"/>
      <w:r>
        <w:rPr>
          <w:rFonts w:hint="eastAsia"/>
        </w:rPr>
        <w:t>×</w:t>
      </w:r>
      <w:bookmarkEnd w:id="39"/>
      <w:r>
        <w:rPr>
          <w:rFonts w:hint="eastAsia"/>
        </w:rPr>
        <w:t>24小时不打烊“随时办”服务机制。“互联网+营商环境监测”，政务服务标准、规范基本建成。到2</w:t>
      </w:r>
      <w:r>
        <w:t>025</w:t>
      </w:r>
      <w:r>
        <w:rPr>
          <w:rFonts w:hint="eastAsia"/>
        </w:rPr>
        <w:t>年，萧县数字政府建设、政务服务水平与营商环境走在全市前列。</w:t>
      </w:r>
    </w:p>
    <w:p>
      <w:pPr>
        <w:ind w:firstLine="643"/>
      </w:pPr>
      <w:r>
        <w:rPr>
          <w:rFonts w:hint="eastAsia"/>
          <w:b/>
          <w:bCs/>
        </w:rPr>
        <w:t>数字惠民成效显著。</w:t>
      </w:r>
      <w:r>
        <w:rPr>
          <w:rFonts w:hint="eastAsia"/>
        </w:rPr>
        <w:t>“互联网+公共服务”深入推进，居民生活更加便捷，教育、医疗、文化、就业、养老、出行等民生领域智慧化应用体系逐步建成和完善。</w:t>
      </w:r>
    </w:p>
    <w:p>
      <w:pPr>
        <w:ind w:firstLine="643"/>
      </w:pPr>
      <w:r>
        <w:rPr>
          <w:rFonts w:hint="eastAsia"/>
          <w:b/>
          <w:bCs/>
        </w:rPr>
        <w:t>数字治理能力与水平大幅提升</w:t>
      </w:r>
      <w:r>
        <w:rPr>
          <w:rFonts w:hint="eastAsia"/>
        </w:rPr>
        <w:t>。树立数字治理理念，强化数字科技创新。引入先进的数据采集技术，实现数据自动化收集、整理、归集，提高数据质量和准确性；打破数据孤岛，初步建成统一的数据中台，实现数据的集中存储与管理，减少冗余和数据碎片化现象。数据资源应用、共享与流通体系基本建立，初步实现纵跨区域（长三角地区、省际毗邻区、淮海经济区、徐州都市圈）、横跨部门的数据管理平台。</w:t>
      </w:r>
    </w:p>
    <w:p>
      <w:pPr>
        <w:ind w:firstLine="643"/>
      </w:pPr>
      <w:r>
        <w:rPr>
          <w:rFonts w:hint="eastAsia"/>
          <w:b/>
          <w:bCs/>
        </w:rPr>
        <w:t>区域协同取得实质性成效</w:t>
      </w:r>
      <w:r>
        <w:rPr>
          <w:rFonts w:hint="eastAsia"/>
        </w:rPr>
        <w:t>。搭建区域数字化信息共享平台，数据共享政策与规范基本建立，实现各地区数据的互通共享、信息资源高效流动，互联网、云计算、物联网等技术平台在区域间基本无缝衔接。区域数字治理标准与指南、数字治理协同机制基本完善，跨区域数字化创新联盟与区域性数字化人才培训中心基本建成，合作推进重大数字化项目，如智慧城市建设、数字化农业等，实现资源与经验共享，“互联网+政务服务”深入推进，实现长三角区域政务服务“异地可办”。</w:t>
      </w:r>
    </w:p>
    <w:p>
      <w:pPr>
        <w:ind w:firstLine="0" w:firstLineChars="0"/>
        <w:jc w:val="center"/>
        <w:rPr>
          <w:sz w:val="30"/>
          <w:szCs w:val="30"/>
        </w:rPr>
      </w:pPr>
      <w:r>
        <w:rPr>
          <w:rFonts w:hint="eastAsia"/>
          <w:sz w:val="30"/>
          <w:szCs w:val="30"/>
        </w:rPr>
        <w:t>表1</w:t>
      </w:r>
      <w:r>
        <w:rPr>
          <w:sz w:val="30"/>
          <w:szCs w:val="30"/>
        </w:rPr>
        <w:t xml:space="preserve"> </w:t>
      </w:r>
      <w:r>
        <w:rPr>
          <w:rFonts w:hint="eastAsia"/>
          <w:sz w:val="30"/>
          <w:szCs w:val="30"/>
        </w:rPr>
        <w:t>数字萧县总体规划预期指标</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4"/>
        <w:gridCol w:w="1311"/>
        <w:gridCol w:w="1311"/>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bookmarkStart w:id="40" w:name="_Hlk142400423"/>
            <w:r>
              <w:rPr>
                <w:rFonts w:hint="eastAsia"/>
                <w:sz w:val="30"/>
                <w:szCs w:val="30"/>
              </w:rPr>
              <w:t>指标名称（单位）</w:t>
            </w:r>
          </w:p>
        </w:tc>
        <w:tc>
          <w:tcPr>
            <w:tcW w:w="769" w:type="pct"/>
            <w:vAlign w:val="center"/>
          </w:tcPr>
          <w:p>
            <w:pPr>
              <w:ind w:firstLine="0" w:firstLineChars="0"/>
              <w:jc w:val="center"/>
              <w:rPr>
                <w:sz w:val="30"/>
                <w:szCs w:val="30"/>
              </w:rPr>
            </w:pPr>
            <w:r>
              <w:rPr>
                <w:rFonts w:hint="eastAsia"/>
                <w:sz w:val="30"/>
                <w:szCs w:val="30"/>
              </w:rPr>
              <w:t>2</w:t>
            </w:r>
            <w:r>
              <w:rPr>
                <w:sz w:val="30"/>
                <w:szCs w:val="30"/>
              </w:rPr>
              <w:t>020</w:t>
            </w:r>
            <w:r>
              <w:rPr>
                <w:rFonts w:hint="eastAsia"/>
                <w:sz w:val="30"/>
                <w:szCs w:val="30"/>
              </w:rPr>
              <w:t>年</w:t>
            </w:r>
          </w:p>
        </w:tc>
        <w:tc>
          <w:tcPr>
            <w:tcW w:w="769" w:type="pct"/>
            <w:vAlign w:val="center"/>
          </w:tcPr>
          <w:p>
            <w:pPr>
              <w:ind w:firstLine="0" w:firstLineChars="0"/>
              <w:jc w:val="center"/>
              <w:rPr>
                <w:sz w:val="30"/>
                <w:szCs w:val="30"/>
              </w:rPr>
            </w:pPr>
            <w:r>
              <w:rPr>
                <w:rFonts w:hint="eastAsia"/>
                <w:sz w:val="30"/>
                <w:szCs w:val="30"/>
              </w:rPr>
              <w:t>2</w:t>
            </w:r>
            <w:r>
              <w:rPr>
                <w:sz w:val="30"/>
                <w:szCs w:val="30"/>
              </w:rPr>
              <w:t>025</w:t>
            </w:r>
            <w:r>
              <w:rPr>
                <w:rFonts w:hint="eastAsia"/>
                <w:sz w:val="30"/>
                <w:szCs w:val="30"/>
              </w:rPr>
              <w:t>年</w:t>
            </w:r>
          </w:p>
        </w:tc>
        <w:tc>
          <w:tcPr>
            <w:tcW w:w="731" w:type="pct"/>
            <w:vAlign w:val="center"/>
          </w:tcPr>
          <w:p>
            <w:pPr>
              <w:ind w:firstLine="0" w:firstLineChars="0"/>
              <w:jc w:val="center"/>
              <w:rPr>
                <w:sz w:val="30"/>
                <w:szCs w:val="30"/>
              </w:rPr>
            </w:pPr>
            <w:r>
              <w:rPr>
                <w:rFonts w:hint="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固定宽带用户普及率（%）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sz w:val="30"/>
                <w:szCs w:val="30"/>
              </w:rPr>
              <w:t>100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移动宽带用户普及率（%）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sz w:val="30"/>
                <w:szCs w:val="30"/>
              </w:rPr>
              <w:t>100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光纤宽带用户普及率（%）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sz w:val="30"/>
                <w:szCs w:val="30"/>
              </w:rPr>
              <w:t>100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累积建成5G基站数（个）</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rFonts w:hint="eastAsia"/>
                <w:sz w:val="30"/>
                <w:szCs w:val="30"/>
              </w:rPr>
              <w:t>&gt;</w:t>
            </w:r>
            <w:r>
              <w:rPr>
                <w:sz w:val="30"/>
                <w:szCs w:val="30"/>
              </w:rPr>
              <w:t>1600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农村宽带接入速率（Mbps）</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69" w:type="pct"/>
            <w:vAlign w:val="center"/>
          </w:tcPr>
          <w:p>
            <w:pPr>
              <w:ind w:firstLine="0" w:firstLineChars="0"/>
              <w:jc w:val="center"/>
              <w:rPr>
                <w:sz w:val="30"/>
                <w:szCs w:val="30"/>
              </w:rPr>
            </w:pPr>
            <w:r>
              <w:rPr>
                <w:rFonts w:hint="eastAsia"/>
                <w:sz w:val="30"/>
                <w:szCs w:val="30"/>
              </w:rPr>
              <w:t>2</w:t>
            </w:r>
            <w:r>
              <w:rPr>
                <w:sz w:val="30"/>
                <w:szCs w:val="30"/>
              </w:rPr>
              <w:t>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城镇宽带接入速率（Mbps）</w:t>
            </w:r>
          </w:p>
        </w:tc>
        <w:tc>
          <w:tcPr>
            <w:tcW w:w="769" w:type="pct"/>
            <w:vAlign w:val="center"/>
          </w:tcPr>
          <w:p>
            <w:pPr>
              <w:ind w:firstLine="0" w:firstLineChars="0"/>
              <w:jc w:val="center"/>
              <w:rPr>
                <w:sz w:val="30"/>
                <w:szCs w:val="30"/>
              </w:rPr>
            </w:pPr>
            <w:r>
              <w:rPr>
                <w:rFonts w:hint="eastAsia"/>
                <w:sz w:val="30"/>
                <w:szCs w:val="30"/>
              </w:rPr>
              <w:t>2</w:t>
            </w:r>
            <w:r>
              <w:rPr>
                <w:sz w:val="30"/>
                <w:szCs w:val="30"/>
              </w:rPr>
              <w:t>00</w:t>
            </w:r>
          </w:p>
        </w:tc>
        <w:tc>
          <w:tcPr>
            <w:tcW w:w="769" w:type="pct"/>
            <w:vAlign w:val="center"/>
          </w:tcPr>
          <w:p>
            <w:pPr>
              <w:spacing w:line="240" w:lineRule="auto"/>
              <w:ind w:firstLine="0" w:firstLineChars="0"/>
              <w:rPr>
                <w:sz w:val="24"/>
                <w:szCs w:val="24"/>
              </w:rPr>
            </w:pPr>
            <w:r>
              <w:rPr>
                <w:rFonts w:hint="eastAsia"/>
                <w:sz w:val="24"/>
                <w:szCs w:val="24"/>
              </w:rPr>
              <w:t>部署光纤网络</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rPr>
                <w:sz w:val="30"/>
                <w:szCs w:val="30"/>
              </w:rPr>
            </w:pPr>
            <w:r>
              <w:rPr>
                <w:rFonts w:hint="eastAsia"/>
                <w:sz w:val="30"/>
                <w:szCs w:val="30"/>
              </w:rPr>
              <w:t>数字经济增加值占GDP比重（%）</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spacing w:line="240" w:lineRule="auto"/>
              <w:ind w:firstLine="0" w:firstLineChars="0"/>
              <w:rPr>
                <w:sz w:val="24"/>
                <w:szCs w:val="24"/>
              </w:rPr>
            </w:pPr>
            <w:r>
              <w:rPr>
                <w:rFonts w:hint="eastAsia"/>
                <w:sz w:val="24"/>
                <w:szCs w:val="24"/>
              </w:rPr>
              <w:t>达到全省平均水平</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21"/>
                <w:szCs w:val="21"/>
              </w:rPr>
            </w:pPr>
            <w:r>
              <w:rPr>
                <w:rFonts w:hint="eastAsia"/>
                <w:sz w:val="21"/>
                <w:szCs w:val="21"/>
              </w:rPr>
              <w:t>数字经济核心产业增加值占GDP比重（%）</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spacing w:line="240" w:lineRule="auto"/>
              <w:ind w:firstLine="0" w:firstLineChars="0"/>
              <w:rPr>
                <w:sz w:val="30"/>
                <w:szCs w:val="30"/>
              </w:rPr>
            </w:pPr>
            <w:r>
              <w:rPr>
                <w:rFonts w:hint="eastAsia"/>
                <w:sz w:val="24"/>
                <w:szCs w:val="24"/>
              </w:rPr>
              <w:t>达到全省平均水平</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24"/>
                <w:szCs w:val="24"/>
              </w:rPr>
            </w:pPr>
            <w:r>
              <w:rPr>
                <w:rFonts w:hint="eastAsia"/>
                <w:sz w:val="24"/>
                <w:szCs w:val="24"/>
              </w:rPr>
              <w:t>电子信息制造业增加值年均增幅（%）</w:t>
            </w:r>
          </w:p>
        </w:tc>
        <w:tc>
          <w:tcPr>
            <w:tcW w:w="769" w:type="pct"/>
            <w:vAlign w:val="center"/>
          </w:tcPr>
          <w:p>
            <w:pPr>
              <w:ind w:firstLine="0" w:firstLineChars="0"/>
              <w:jc w:val="center"/>
              <w:rPr>
                <w:sz w:val="30"/>
                <w:szCs w:val="30"/>
              </w:rPr>
            </w:pPr>
          </w:p>
        </w:tc>
        <w:tc>
          <w:tcPr>
            <w:tcW w:w="769" w:type="pct"/>
            <w:vAlign w:val="center"/>
          </w:tcPr>
          <w:p>
            <w:pPr>
              <w:spacing w:line="240" w:lineRule="auto"/>
              <w:ind w:firstLine="0" w:firstLineChars="0"/>
              <w:rPr>
                <w:sz w:val="30"/>
                <w:szCs w:val="30"/>
              </w:rPr>
            </w:pPr>
            <w:r>
              <w:rPr>
                <w:rFonts w:hint="eastAsia"/>
                <w:sz w:val="24"/>
                <w:szCs w:val="24"/>
              </w:rPr>
              <w:t>达到全省平均水平</w:t>
            </w:r>
          </w:p>
        </w:tc>
        <w:tc>
          <w:tcPr>
            <w:tcW w:w="731" w:type="pct"/>
            <w:vAlign w:val="center"/>
          </w:tcPr>
          <w:p>
            <w:pPr>
              <w:ind w:firstLine="0" w:firstLineChars="0"/>
              <w:jc w:val="center"/>
              <w:rPr>
                <w:b/>
                <w:bCs/>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24"/>
                <w:szCs w:val="24"/>
              </w:rPr>
            </w:pPr>
            <w:r>
              <w:rPr>
                <w:rFonts w:hint="eastAsia"/>
                <w:sz w:val="24"/>
                <w:szCs w:val="24"/>
              </w:rPr>
              <w:t>软件和信息服务业增加值年均增幅（%）</w:t>
            </w:r>
          </w:p>
        </w:tc>
        <w:tc>
          <w:tcPr>
            <w:tcW w:w="769" w:type="pct"/>
            <w:vAlign w:val="center"/>
          </w:tcPr>
          <w:p>
            <w:pPr>
              <w:ind w:firstLine="0" w:firstLineChars="0"/>
              <w:jc w:val="center"/>
              <w:rPr>
                <w:sz w:val="30"/>
                <w:szCs w:val="30"/>
              </w:rPr>
            </w:pPr>
          </w:p>
        </w:tc>
        <w:tc>
          <w:tcPr>
            <w:tcW w:w="769" w:type="pct"/>
            <w:vAlign w:val="center"/>
          </w:tcPr>
          <w:p>
            <w:pPr>
              <w:spacing w:line="240" w:lineRule="auto"/>
              <w:ind w:firstLine="0" w:firstLineChars="0"/>
              <w:rPr>
                <w:sz w:val="30"/>
                <w:szCs w:val="30"/>
              </w:rPr>
            </w:pPr>
            <w:r>
              <w:rPr>
                <w:rFonts w:hint="eastAsia"/>
                <w:sz w:val="24"/>
                <w:szCs w:val="24"/>
              </w:rPr>
              <w:t>达到全省平均水平</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网络零售额（亿元）</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rFonts w:hint="eastAsia"/>
                <w:sz w:val="30"/>
                <w:szCs w:val="30"/>
              </w:rPr>
              <w:t>1</w:t>
            </w:r>
            <w:r>
              <w:rPr>
                <w:sz w:val="30"/>
                <w:szCs w:val="30"/>
              </w:rPr>
              <w:t>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政务数据资源挂接率（%）</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69" w:type="pct"/>
            <w:vAlign w:val="center"/>
          </w:tcPr>
          <w:p>
            <w:pPr>
              <w:ind w:firstLine="0" w:firstLineChars="0"/>
              <w:jc w:val="center"/>
              <w:rPr>
                <w:sz w:val="24"/>
                <w:szCs w:val="24"/>
              </w:rPr>
            </w:pPr>
            <w:r>
              <w:rPr>
                <w:rFonts w:hint="eastAsia"/>
                <w:sz w:val="24"/>
                <w:szCs w:val="24"/>
              </w:rPr>
              <w:t>持续完善</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政务数据资源目录编制率（%）</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69" w:type="pct"/>
            <w:vAlign w:val="center"/>
          </w:tcPr>
          <w:p>
            <w:pPr>
              <w:ind w:firstLine="0" w:firstLineChars="0"/>
              <w:jc w:val="center"/>
              <w:rPr>
                <w:sz w:val="30"/>
                <w:szCs w:val="30"/>
              </w:rPr>
            </w:pPr>
            <w:r>
              <w:rPr>
                <w:rFonts w:hint="eastAsia"/>
                <w:sz w:val="24"/>
                <w:szCs w:val="24"/>
              </w:rPr>
              <w:t>持续完善</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政务系统上云率（%）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rFonts w:hint="eastAsia"/>
                <w:sz w:val="24"/>
                <w:szCs w:val="24"/>
              </w:rPr>
              <w:t>应上尽上</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政务服务事项全程网办率（%）</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社保卡常住人口覆盖率（%）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rFonts w:hint="eastAsia"/>
                <w:sz w:val="24"/>
                <w:szCs w:val="24"/>
              </w:rPr>
              <w:t>应发尽发</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智慧旅游景区达标率（%）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31" w:type="pct"/>
            <w:vAlign w:val="center"/>
          </w:tcPr>
          <w:p>
            <w:pPr>
              <w:ind w:firstLine="0" w:firstLineChars="0"/>
              <w:jc w:val="center"/>
              <w:rPr>
                <w:sz w:val="30"/>
                <w:szCs w:val="30"/>
              </w:rPr>
            </w:pPr>
            <w:r>
              <w:rPr>
                <w:rFonts w:hint="eastAsia"/>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pct"/>
            <w:vAlign w:val="center"/>
          </w:tcPr>
          <w:p>
            <w:pPr>
              <w:ind w:firstLine="0" w:firstLineChars="0"/>
              <w:jc w:val="center"/>
              <w:rPr>
                <w:sz w:val="30"/>
                <w:szCs w:val="30"/>
              </w:rPr>
            </w:pPr>
            <w:r>
              <w:rPr>
                <w:rFonts w:hint="eastAsia"/>
                <w:sz w:val="30"/>
                <w:szCs w:val="30"/>
              </w:rPr>
              <w:t>智慧校园建设覆盖率（%）</w:t>
            </w:r>
          </w:p>
        </w:tc>
        <w:tc>
          <w:tcPr>
            <w:tcW w:w="769" w:type="pct"/>
            <w:vAlign w:val="center"/>
          </w:tcPr>
          <w:p>
            <w:pPr>
              <w:ind w:firstLine="0" w:firstLineChars="0"/>
              <w:jc w:val="center"/>
              <w:rPr>
                <w:sz w:val="30"/>
                <w:szCs w:val="30"/>
              </w:rPr>
            </w:pPr>
            <w:r>
              <w:rPr>
                <w:rFonts w:hint="eastAsia"/>
                <w:sz w:val="30"/>
                <w:szCs w:val="30"/>
              </w:rPr>
              <w:t>-</w:t>
            </w:r>
            <w:r>
              <w:rPr>
                <w:sz w:val="30"/>
                <w:szCs w:val="30"/>
              </w:rPr>
              <w:t>-</w:t>
            </w:r>
          </w:p>
        </w:tc>
        <w:tc>
          <w:tcPr>
            <w:tcW w:w="769" w:type="pct"/>
            <w:vAlign w:val="center"/>
          </w:tcPr>
          <w:p>
            <w:pPr>
              <w:ind w:firstLine="0" w:firstLineChars="0"/>
              <w:jc w:val="center"/>
              <w:rPr>
                <w:sz w:val="30"/>
                <w:szCs w:val="30"/>
              </w:rPr>
            </w:pPr>
            <w:r>
              <w:rPr>
                <w:rFonts w:hint="eastAsia"/>
                <w:sz w:val="30"/>
                <w:szCs w:val="30"/>
              </w:rPr>
              <w:t>1</w:t>
            </w:r>
            <w:r>
              <w:rPr>
                <w:sz w:val="30"/>
                <w:szCs w:val="30"/>
              </w:rPr>
              <w:t>00</w:t>
            </w:r>
          </w:p>
        </w:tc>
        <w:tc>
          <w:tcPr>
            <w:tcW w:w="731" w:type="pct"/>
            <w:vAlign w:val="center"/>
          </w:tcPr>
          <w:p>
            <w:pPr>
              <w:ind w:firstLine="0" w:firstLineChars="0"/>
              <w:jc w:val="center"/>
              <w:rPr>
                <w:sz w:val="30"/>
                <w:szCs w:val="30"/>
              </w:rPr>
            </w:pPr>
            <w:r>
              <w:rPr>
                <w:rFonts w:hint="eastAsia"/>
                <w:sz w:val="30"/>
                <w:szCs w:val="30"/>
              </w:rPr>
              <w:t>预期性</w:t>
            </w:r>
          </w:p>
        </w:tc>
      </w:tr>
      <w:bookmarkEnd w:id="40"/>
    </w:tbl>
    <w:p>
      <w:pPr>
        <w:ind w:firstLine="198" w:firstLineChars="62"/>
      </w:pPr>
    </w:p>
    <w:p>
      <w:pPr>
        <w:ind w:firstLine="640"/>
        <w:sectPr>
          <w:pgSz w:w="11906" w:h="16838"/>
          <w:pgMar w:top="1440" w:right="1800" w:bottom="1440" w:left="1800" w:header="851" w:footer="992" w:gutter="0"/>
          <w:cols w:space="425" w:num="1"/>
          <w:docGrid w:type="lines" w:linePitch="312" w:charSpace="0"/>
        </w:sectPr>
      </w:pPr>
      <w:r>
        <w:rPr>
          <w:rFonts w:hint="eastAsia"/>
        </w:rPr>
        <w:t>展望2035年，数字萧县建设取得全面突破，建设体系持续完善，数字经济、数字社会、数字政府建设全面提质升级，数字孪生与人工智能探索建设取得初步成效，数据资源对萧县国民经济、社会发展、区域协同等各领域的赋能迈向纵深，切实为建设新时期美好萧县提供强大动力和战略支撑。</w:t>
      </w:r>
    </w:p>
    <w:p>
      <w:pPr>
        <w:pStyle w:val="2"/>
      </w:pPr>
      <w:bookmarkStart w:id="41" w:name="_Toc146484289"/>
      <w:r>
        <w:rPr>
          <w:rFonts w:hint="eastAsia"/>
        </w:rPr>
        <w:t>第四章 筑牢数字基础底座</w:t>
      </w:r>
      <w:bookmarkEnd w:id="41"/>
    </w:p>
    <w:p>
      <w:pPr>
        <w:pStyle w:val="3"/>
      </w:pPr>
      <w:bookmarkStart w:id="42" w:name="_Toc146484290"/>
      <w:r>
        <w:rPr>
          <w:rFonts w:hint="eastAsia"/>
        </w:rPr>
        <w:t>第一节 推动数字基础设施建设</w:t>
      </w:r>
      <w:bookmarkEnd w:id="42"/>
    </w:p>
    <w:p>
      <w:pPr>
        <w:pStyle w:val="4"/>
        <w:ind w:firstLine="640"/>
      </w:pPr>
      <w:bookmarkStart w:id="43" w:name="_Toc146484291"/>
      <w:r>
        <w:rPr>
          <w:rFonts w:hint="eastAsia"/>
        </w:rPr>
        <w:t>一、建设泛在通信网络</w:t>
      </w:r>
      <w:bookmarkEnd w:id="43"/>
    </w:p>
    <w:p>
      <w:pPr>
        <w:ind w:firstLine="640"/>
      </w:pPr>
      <w:r>
        <w:rPr>
          <w:rFonts w:hint="eastAsia"/>
        </w:rPr>
        <w:t>加快建设泛在先进的信息基础设施，突出通信网络基础设施和算力基础设施。高标准布局和扩大5G基站建设规模，力争到2025年实现5G网络重点区域全覆盖。深入推进“三网”融合，统一布局新一代通信网、下一代广播电视等基础设施，推进骨干网、城域网扩容，推动家庭宽带千兆、百兆接入普及，持续推进城乡光纤部署或改造，实现城镇地区光网全覆盖、行政村光纤通达，力争到2</w:t>
      </w:r>
      <w:r>
        <w:t>025</w:t>
      </w:r>
      <w:r>
        <w:rPr>
          <w:rFonts w:hint="eastAsia"/>
        </w:rPr>
        <w:t>年建成宽带示范应用城市。深入推进IPv6规模部署，推动网络基础设施、大型应用基础设施和公共基础设施的IPv6改造。提升电子政务外网支撑能力，加快电子政务外网与各部门业务专网的融合。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vAlign w:val="center"/>
          </w:tcPr>
          <w:p>
            <w:pPr>
              <w:ind w:firstLine="0" w:firstLineChars="0"/>
              <w:jc w:val="center"/>
              <w:rPr>
                <w:b/>
                <w:bCs/>
                <w:sz w:val="30"/>
                <w:szCs w:val="30"/>
              </w:rPr>
            </w:pPr>
            <w:r>
              <w:rPr>
                <w:rFonts w:hint="eastAsia"/>
                <w:b/>
                <w:bCs/>
                <w:sz w:val="30"/>
                <w:szCs w:val="30"/>
              </w:rPr>
              <w:t>专栏</w:t>
            </w:r>
            <w:r>
              <w:rPr>
                <w:b/>
                <w:bCs/>
                <w:sz w:val="30"/>
                <w:szCs w:val="30"/>
              </w:rPr>
              <w:t>1</w:t>
            </w:r>
            <w:r>
              <w:rPr>
                <w:rFonts w:hint="eastAsia"/>
                <w:b/>
                <w:bCs/>
                <w:sz w:val="30"/>
                <w:szCs w:val="30"/>
              </w:rPr>
              <w:t>：泛在通信网络基础设施建设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2"/>
              <w:rPr>
                <w:sz w:val="30"/>
                <w:szCs w:val="30"/>
              </w:rPr>
            </w:pPr>
            <w:r>
              <w:rPr>
                <w:rFonts w:hint="eastAsia"/>
                <w:b/>
                <w:bCs/>
                <w:sz w:val="30"/>
                <w:szCs w:val="30"/>
              </w:rPr>
              <w:t>5G网络</w:t>
            </w:r>
            <w:r>
              <w:rPr>
                <w:rFonts w:hint="eastAsia"/>
                <w:sz w:val="30"/>
                <w:szCs w:val="30"/>
              </w:rPr>
              <w:t>。对接移动、联通、电信、铁塔以及相关通信企业，签署“数字萧县”建设战略合作协议，明确“数字萧县”建设具体合作内容、合作模式、合作任务与机制等。在主城区、经开区、高科技园、工业园、乡镇、街道、行政村及主要交通要道等合理规划和统筹布局5G基站，到2</w:t>
            </w:r>
            <w:r>
              <w:rPr>
                <w:sz w:val="30"/>
                <w:szCs w:val="30"/>
              </w:rPr>
              <w:t>025</w:t>
            </w:r>
            <w:r>
              <w:rPr>
                <w:rFonts w:hint="eastAsia"/>
                <w:sz w:val="30"/>
                <w:szCs w:val="30"/>
              </w:rPr>
              <w:t>年实现城镇、重点区域等5G网络全覆盖，2</w:t>
            </w:r>
            <w:r>
              <w:rPr>
                <w:sz w:val="30"/>
                <w:szCs w:val="30"/>
              </w:rPr>
              <w:t>035</w:t>
            </w:r>
            <w:r>
              <w:rPr>
                <w:rFonts w:hint="eastAsia"/>
                <w:sz w:val="30"/>
                <w:szCs w:val="30"/>
              </w:rPr>
              <w:t>年实现萧县全域无缝衔接覆盖。</w:t>
            </w:r>
          </w:p>
          <w:p>
            <w:pPr>
              <w:ind w:firstLine="602"/>
              <w:rPr>
                <w:sz w:val="30"/>
                <w:szCs w:val="30"/>
              </w:rPr>
            </w:pPr>
            <w:r>
              <w:rPr>
                <w:rFonts w:hint="eastAsia"/>
                <w:b/>
                <w:bCs/>
                <w:sz w:val="30"/>
                <w:szCs w:val="30"/>
              </w:rPr>
              <w:t>宽带通信网络</w:t>
            </w:r>
            <w:r>
              <w:rPr>
                <w:rFonts w:hint="eastAsia"/>
                <w:sz w:val="30"/>
                <w:szCs w:val="30"/>
              </w:rPr>
              <w:t>。深入推进骨干网、城域网扩容，升级部署高速光纤接入系统，梯次推进光纤到户、光纤下乡和千兆宽带接入普及，2</w:t>
            </w:r>
            <w:r>
              <w:rPr>
                <w:sz w:val="30"/>
                <w:szCs w:val="30"/>
              </w:rPr>
              <w:t>025</w:t>
            </w:r>
            <w:r>
              <w:rPr>
                <w:rFonts w:hint="eastAsia"/>
                <w:sz w:val="30"/>
                <w:szCs w:val="30"/>
              </w:rPr>
              <w:t>年实现“三网融合”、城乡光网全覆盖和行政村光网通达。</w:t>
            </w:r>
          </w:p>
          <w:p>
            <w:pPr>
              <w:ind w:firstLine="602"/>
              <w:rPr>
                <w:sz w:val="30"/>
                <w:szCs w:val="30"/>
              </w:rPr>
            </w:pPr>
            <w:r>
              <w:rPr>
                <w:rFonts w:hint="eastAsia"/>
                <w:b/>
                <w:bCs/>
                <w:sz w:val="30"/>
                <w:szCs w:val="30"/>
              </w:rPr>
              <w:t>IPv</w:t>
            </w:r>
            <w:r>
              <w:rPr>
                <w:b/>
                <w:bCs/>
                <w:sz w:val="30"/>
                <w:szCs w:val="30"/>
              </w:rPr>
              <w:t>6</w:t>
            </w:r>
            <w:r>
              <w:rPr>
                <w:rFonts w:hint="eastAsia"/>
                <w:b/>
                <w:bCs/>
                <w:sz w:val="30"/>
                <w:szCs w:val="30"/>
              </w:rPr>
              <w:t>及下一代通信网络</w:t>
            </w:r>
            <w:r>
              <w:rPr>
                <w:rFonts w:hint="eastAsia"/>
                <w:sz w:val="30"/>
                <w:szCs w:val="30"/>
              </w:rPr>
              <w:t>。深入推进IPv6规模部署和现有通信网络的平滑演进升级与接驳，并持续推进现有云计算中心、大数据中心、政务与公共服务平台、域名系统、通信节点与终端的IPv</w:t>
            </w:r>
            <w:r>
              <w:rPr>
                <w:sz w:val="30"/>
                <w:szCs w:val="30"/>
              </w:rPr>
              <w:t>6</w:t>
            </w:r>
            <w:r>
              <w:rPr>
                <w:rFonts w:hint="eastAsia"/>
                <w:sz w:val="30"/>
                <w:szCs w:val="30"/>
              </w:rPr>
              <w:t>改造，到2</w:t>
            </w:r>
            <w:r>
              <w:rPr>
                <w:sz w:val="30"/>
                <w:szCs w:val="30"/>
              </w:rPr>
              <w:t>025</w:t>
            </w:r>
            <w:r>
              <w:rPr>
                <w:rFonts w:hint="eastAsia"/>
                <w:sz w:val="30"/>
                <w:szCs w:val="30"/>
              </w:rPr>
              <w:t>年实现互联网、广电网骨干网络、政务网、专网IPv6的互联互通。</w:t>
            </w:r>
          </w:p>
          <w:p>
            <w:pPr>
              <w:ind w:firstLine="602"/>
              <w:rPr>
                <w:sz w:val="30"/>
                <w:szCs w:val="30"/>
              </w:rPr>
            </w:pPr>
            <w:r>
              <w:rPr>
                <w:rFonts w:hint="eastAsia"/>
                <w:b/>
                <w:bCs/>
                <w:sz w:val="30"/>
                <w:szCs w:val="30"/>
              </w:rPr>
              <w:t>电子政务外网</w:t>
            </w:r>
            <w:r>
              <w:rPr>
                <w:rFonts w:hint="eastAsia"/>
                <w:sz w:val="30"/>
                <w:szCs w:val="30"/>
              </w:rPr>
              <w:t>。持续扩容电子政务外网，大力推进政务IPv</w:t>
            </w:r>
            <w:r>
              <w:rPr>
                <w:sz w:val="30"/>
                <w:szCs w:val="30"/>
              </w:rPr>
              <w:t>6</w:t>
            </w:r>
            <w:r>
              <w:rPr>
                <w:rFonts w:hint="eastAsia"/>
                <w:sz w:val="30"/>
                <w:szCs w:val="30"/>
              </w:rPr>
              <w:t>在电子政务网络中的规模应用。按照上级统一部署，接驳和整合现有非涉密业务系统、业务专网等，2</w:t>
            </w:r>
            <w:r>
              <w:rPr>
                <w:sz w:val="30"/>
                <w:szCs w:val="30"/>
              </w:rPr>
              <w:t>025</w:t>
            </w:r>
            <w:r>
              <w:rPr>
                <w:rFonts w:hint="eastAsia"/>
                <w:sz w:val="30"/>
                <w:szCs w:val="30"/>
              </w:rPr>
              <w:t>年实现与各级部门“一网通”和全光网覆盖。</w:t>
            </w:r>
          </w:p>
        </w:tc>
      </w:tr>
    </w:tbl>
    <w:p>
      <w:pPr>
        <w:pStyle w:val="4"/>
        <w:ind w:firstLine="640"/>
      </w:pPr>
      <w:bookmarkStart w:id="44" w:name="_Toc146484292"/>
      <w:r>
        <w:rPr>
          <w:rFonts w:hint="eastAsia"/>
        </w:rPr>
        <w:t>二、部署区域感知设施</w:t>
      </w:r>
      <w:bookmarkEnd w:id="44"/>
    </w:p>
    <w:p>
      <w:pPr>
        <w:ind w:firstLine="640"/>
      </w:pPr>
      <w:r>
        <w:rPr>
          <w:rFonts w:hint="eastAsia"/>
        </w:rPr>
        <w:t>编制感知设施建设规划，明确各感知终端设备接入规范与标准，统一接入并部署物联网（</w:t>
      </w:r>
      <w:r>
        <w:t>NB-IoT</w:t>
      </w:r>
      <w:r>
        <w:rPr>
          <w:rFonts w:hint="eastAsia"/>
        </w:rPr>
        <w:t>/LoRaWAN/蜂窝网络）感知设施，提高城市感知能力与水平。参与安徽—宿州地理空间信息共享平台、全市无人机遥感信息获取系统和地面感知设施、空天地一体化宿州数据中心的建设。到2</w:t>
      </w:r>
      <w:r>
        <w:t>025</w:t>
      </w:r>
      <w:r>
        <w:rPr>
          <w:rFonts w:hint="eastAsia"/>
        </w:rPr>
        <w:t>年，萧县基本拥有或建成覆盖全域的网络感知体系，全域感知能力与应用水平大幅提升。到2</w:t>
      </w:r>
      <w:r>
        <w:t>035</w:t>
      </w:r>
      <w:r>
        <w:rPr>
          <w:rFonts w:hint="eastAsia"/>
        </w:rPr>
        <w:t>年，萧县全面建成覆盖全域的网络感知和应用体系。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ind w:firstLine="0" w:firstLineChars="0"/>
              <w:jc w:val="center"/>
              <w:rPr>
                <w:b/>
                <w:bCs/>
                <w:sz w:val="30"/>
                <w:szCs w:val="30"/>
              </w:rPr>
            </w:pPr>
            <w:r>
              <w:rPr>
                <w:rFonts w:hint="eastAsia"/>
                <w:b/>
                <w:bCs/>
                <w:sz w:val="30"/>
                <w:szCs w:val="30"/>
              </w:rPr>
              <w:t>专栏2：感知体系建设任务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2"/>
              <w:rPr>
                <w:sz w:val="30"/>
                <w:szCs w:val="30"/>
              </w:rPr>
            </w:pPr>
            <w:r>
              <w:rPr>
                <w:rFonts w:hint="eastAsia"/>
                <w:b/>
                <w:bCs/>
                <w:sz w:val="30"/>
                <w:szCs w:val="30"/>
              </w:rPr>
              <w:t>物联网感知设施</w:t>
            </w:r>
            <w:r>
              <w:rPr>
                <w:rFonts w:hint="eastAsia"/>
                <w:sz w:val="30"/>
                <w:szCs w:val="30"/>
              </w:rPr>
              <w:t>。根据国民经济、社会发展、公共服务、政务管理等需求，部署各类感知设备终端及视频监控、视频会议等系统，推进各类“多源异构”数据的汇聚与交换共享，实现对自然资源、气候、环境、公共服务、应急联动等领域的实时感知、检测和预警；萧县作为一个农业大县，在田间地头部署能监测作物生长状态的智能传感设备，为精准农业提供数据支持；在交通要道部署交通流量、车辆监控、行人流动等传感器，为城市交通管理提供数据，并确保公共场所的安全；在公共设施如医院、学校、市场等处安置人流、环境质量等传感器，以实时监测公共服务的使用状况，并优化资源配置。</w:t>
            </w:r>
          </w:p>
          <w:p>
            <w:pPr>
              <w:ind w:firstLine="602"/>
              <w:rPr>
                <w:sz w:val="30"/>
                <w:szCs w:val="30"/>
              </w:rPr>
            </w:pPr>
            <w:r>
              <w:rPr>
                <w:rFonts w:hint="eastAsia"/>
                <w:b/>
                <w:bCs/>
                <w:sz w:val="30"/>
                <w:szCs w:val="30"/>
              </w:rPr>
              <w:t>空天地一体化感知体系</w:t>
            </w:r>
            <w:r>
              <w:rPr>
                <w:rFonts w:hint="eastAsia"/>
                <w:sz w:val="30"/>
                <w:szCs w:val="30"/>
              </w:rPr>
              <w:t>。参与宿州市“空-天-地”一体化感知系统建设。到2</w:t>
            </w:r>
            <w:r>
              <w:rPr>
                <w:sz w:val="30"/>
                <w:szCs w:val="30"/>
              </w:rPr>
              <w:t>025</w:t>
            </w:r>
            <w:r>
              <w:rPr>
                <w:rFonts w:hint="eastAsia"/>
                <w:sz w:val="30"/>
                <w:szCs w:val="30"/>
              </w:rPr>
              <w:t>年，基本应用宿州市“空-天-地”一体化感知系统服务萧县国民经济和社会发展。</w:t>
            </w:r>
          </w:p>
        </w:tc>
      </w:tr>
    </w:tbl>
    <w:p>
      <w:pPr>
        <w:pStyle w:val="4"/>
        <w:ind w:firstLine="640"/>
      </w:pPr>
      <w:bookmarkStart w:id="45" w:name="_Toc146484293"/>
      <w:r>
        <w:rPr>
          <w:rFonts w:hint="eastAsia"/>
        </w:rPr>
        <w:t>三、强化数据存算能力</w:t>
      </w:r>
      <w:bookmarkEnd w:id="45"/>
    </w:p>
    <w:p>
      <w:pPr>
        <w:ind w:firstLine="640"/>
      </w:pPr>
      <w:r>
        <w:rPr>
          <w:rFonts w:hint="eastAsia"/>
        </w:rPr>
        <w:t>依托宿州市云计算大数据建设基础，整合“小散老旧”数据中心，并新增高性能的服务器、云存储、分布式存储系统等，以支持大规模数据的存储和管理。持续加强数据人才队伍建设，培训和引进数据科学家、分析师和工程师，提高数据资源存算水平和数据分析能力。到2</w:t>
      </w:r>
      <w:r>
        <w:t>025</w:t>
      </w:r>
      <w:r>
        <w:rPr>
          <w:rFonts w:hint="eastAsia"/>
        </w:rPr>
        <w:t>年，萧县初步建成服务国民经济和社会发展的数据存算体系。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vAlign w:val="center"/>
          </w:tcPr>
          <w:p>
            <w:pPr>
              <w:ind w:firstLine="0" w:firstLineChars="0"/>
              <w:jc w:val="center"/>
              <w:rPr>
                <w:b/>
                <w:bCs/>
                <w:sz w:val="30"/>
                <w:szCs w:val="30"/>
              </w:rPr>
            </w:pPr>
            <w:r>
              <w:rPr>
                <w:rFonts w:hint="eastAsia"/>
                <w:b/>
                <w:bCs/>
                <w:sz w:val="30"/>
                <w:szCs w:val="30"/>
              </w:rPr>
              <w:t>专栏3：数据存算体系建设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2"/>
              <w:rPr>
                <w:sz w:val="30"/>
                <w:szCs w:val="30"/>
              </w:rPr>
            </w:pPr>
            <w:r>
              <w:rPr>
                <w:rFonts w:hint="eastAsia"/>
                <w:b/>
                <w:bCs/>
                <w:sz w:val="30"/>
                <w:szCs w:val="30"/>
              </w:rPr>
              <w:t>“小散老旧”数据中心改造升级</w:t>
            </w:r>
            <w:r>
              <w:rPr>
                <w:rFonts w:hint="eastAsia"/>
                <w:sz w:val="30"/>
                <w:szCs w:val="30"/>
              </w:rPr>
              <w:t>。“小散老旧”数据中心的改造升级是提高数据处理效率、确保数据安全与支持智慧应用的关键环节。“数字萧县”建设以“打破数据孤岛、消除数字鸿沟”为抓手，分类分批推进存量“老旧小散”数据中心改造升级。首先，针对现有的小型、分散、过时的数据中心进行全面的评估，了解其硬件配置、软件应用、能耗状况和维护成本。基于这些信息，设计一套升级方案：对于硬件，推进设备的标准化与模块化，不仅可以提高硬件利用率，还能简化维护和扩展。选择高效的服务器、存储和网络设备，利用现代技术如虚拟化和容器化进一步提高资源利用率。同时，部署节能技术，如液冷、自然风冷等，降低数据中心的PUE值，实现绿色环保运行。对于软件，采用统一的数据平台和管理系统，实现数据中心间的资源池化，提高数据处理和分析的速度。其次，加强数据安全与隐私保护，采用加密、隔离等技术，确保数据的完整性与安全性。最后，对于布局，考虑将一些“小散老旧”数据中心进行合并，集中在合适的位置建设规模化、高效的数据中心，同时，部署边缘计算节点，满足实时性较高的应用需求。整个改造升级过程应注重与县域的其他数字化项目如云计算、大数据、人工智能等紧密结合，形成一个统一、高效、安全的数据处理和应用体系，为“数字萧县”的持续发展提供坚实的技术支撑。到2</w:t>
            </w:r>
            <w:r>
              <w:rPr>
                <w:sz w:val="30"/>
                <w:szCs w:val="30"/>
              </w:rPr>
              <w:t>025</w:t>
            </w:r>
            <w:r>
              <w:rPr>
                <w:rFonts w:hint="eastAsia"/>
                <w:sz w:val="30"/>
                <w:szCs w:val="30"/>
              </w:rPr>
              <w:t>年，萧县基本实现全域数据中心统一标准规范建设并互联互通，消除重点部门数据孤岛，提高各数据中心设备、能源、网络带宽等资源利用率和存算供给能力。</w:t>
            </w:r>
          </w:p>
          <w:p>
            <w:pPr>
              <w:ind w:firstLine="602"/>
              <w:rPr>
                <w:sz w:val="30"/>
                <w:szCs w:val="30"/>
              </w:rPr>
            </w:pPr>
            <w:r>
              <w:rPr>
                <w:rFonts w:hint="eastAsia"/>
                <w:b/>
                <w:bCs/>
                <w:sz w:val="30"/>
                <w:szCs w:val="30"/>
              </w:rPr>
              <w:t>制定数据开放政策、搭建数据共享平台</w:t>
            </w:r>
            <w:r>
              <w:rPr>
                <w:rFonts w:hint="eastAsia"/>
                <w:sz w:val="30"/>
                <w:szCs w:val="30"/>
              </w:rPr>
              <w:t>。政府主导、多方参与制定鼓励数据开放、共享与流通政策，搭建区域数据共享平台，促进各部门、机构和企业等数据生产者与拥有者主动开放数据资源，提升数据利用率和赋能。首先，制定数据开放政策的核心是平衡数据的利用与安全、隐私的保护。对所有数据进行分类，如公共数据、非敏感商业数据、个人隐私数据等，并为每类数据制定不同的开放与访问策略，并明确哪些数据可以公开、哪些数据受限、数据的发布形式以及使用限制。在此基础上，搭建具备高效、安全的数据存储、处理和传输能力的数据共享平台。其次，为数据提供者提供统一的数据上传、整理、发布工具，并为数据用户提供便捷的搜索、访问、下载和API接入的功能。最后，萧县应组织各部门、企业、公众参与，形成一个数据生态系统，共同推进数据的开放与共享，从而最大化数据的社会、经济价值，为“数字萧县”的发展提供持续的动力。</w:t>
            </w:r>
          </w:p>
          <w:p>
            <w:pPr>
              <w:ind w:firstLine="602"/>
              <w:rPr>
                <w:sz w:val="30"/>
                <w:szCs w:val="30"/>
              </w:rPr>
            </w:pPr>
            <w:r>
              <w:rPr>
                <w:rFonts w:hint="eastAsia"/>
                <w:b/>
                <w:bCs/>
                <w:sz w:val="30"/>
                <w:szCs w:val="30"/>
              </w:rPr>
              <w:t>大数据灾备中心</w:t>
            </w:r>
            <w:r>
              <w:rPr>
                <w:rFonts w:hint="eastAsia"/>
                <w:sz w:val="30"/>
                <w:szCs w:val="30"/>
              </w:rPr>
              <w:t>。按照国家信息系统安全三级等保规范及省市有关要求，依托宿州云计算基地存算资源，统一接入上级大数据灾备中心及配套设施，提升风险抵御与数据灾备能力。到2</w:t>
            </w:r>
            <w:r>
              <w:rPr>
                <w:sz w:val="30"/>
                <w:szCs w:val="30"/>
              </w:rPr>
              <w:t>025</w:t>
            </w:r>
            <w:r>
              <w:rPr>
                <w:rFonts w:hint="eastAsia"/>
                <w:sz w:val="30"/>
                <w:szCs w:val="30"/>
              </w:rPr>
              <w:t>年，基本实现县域大数据灾备。</w:t>
            </w:r>
          </w:p>
          <w:p>
            <w:pPr>
              <w:ind w:firstLine="602"/>
              <w:rPr>
                <w:sz w:val="30"/>
                <w:szCs w:val="30"/>
              </w:rPr>
            </w:pPr>
            <w:r>
              <w:rPr>
                <w:rFonts w:hint="eastAsia"/>
                <w:b/>
                <w:bCs/>
                <w:sz w:val="30"/>
                <w:szCs w:val="30"/>
              </w:rPr>
              <w:t>数据人才培养</w:t>
            </w:r>
            <w:r>
              <w:rPr>
                <w:rFonts w:hint="eastAsia"/>
                <w:sz w:val="30"/>
                <w:szCs w:val="30"/>
              </w:rPr>
              <w:t>。强化与区域高校、科研院所等合作联系，建立数据人才培训与培养中心，培训和引进数据科学家、分析师和工程师，提升技术水平和数据处理与应用能力。到2</w:t>
            </w:r>
            <w:r>
              <w:rPr>
                <w:sz w:val="30"/>
                <w:szCs w:val="30"/>
              </w:rPr>
              <w:t>025</w:t>
            </w:r>
            <w:r>
              <w:rPr>
                <w:rFonts w:hint="eastAsia"/>
                <w:sz w:val="30"/>
                <w:szCs w:val="30"/>
              </w:rPr>
              <w:t>年，力争建成一个大数据人才培训与培养中心，服务数字萧县建设。</w:t>
            </w:r>
          </w:p>
        </w:tc>
      </w:tr>
    </w:tbl>
    <w:p>
      <w:pPr>
        <w:pStyle w:val="3"/>
      </w:pPr>
      <w:bookmarkStart w:id="46" w:name="_Toc146484294"/>
      <w:r>
        <w:rPr>
          <w:rFonts w:hint="eastAsia"/>
        </w:rPr>
        <w:t>第二节 提升数据赋能发展水平</w:t>
      </w:r>
      <w:bookmarkEnd w:id="46"/>
    </w:p>
    <w:p>
      <w:pPr>
        <w:pStyle w:val="4"/>
        <w:ind w:firstLine="640"/>
      </w:pPr>
      <w:bookmarkStart w:id="47" w:name="_Toc146484295"/>
      <w:r>
        <w:rPr>
          <w:rFonts w:hint="eastAsia"/>
        </w:rPr>
        <w:t>一、完善数据管理体系与机制</w:t>
      </w:r>
      <w:bookmarkEnd w:id="47"/>
    </w:p>
    <w:p>
      <w:pPr>
        <w:ind w:firstLine="640"/>
      </w:pPr>
      <w:r>
        <w:rPr>
          <w:rFonts w:hint="eastAsia"/>
        </w:rPr>
        <w:t>立足于现有法律法规、制度建设、技术手段和人才培养等多方面进行全面规划和实施。一是制定明确的数据管理法律法规，明确数据采集、处理、存储和共享的规范和原则，并与数据隐私保护和信息安全相关法律相一致，以保障公民、企业和各级机构数据的合法权益。二是对数据进行分类与分级，根据数据的敏感性和重要性设立访问权限，确保数据的安全性和保密性。政府各部门之间应推进数据共享，促进信息的流通与共享，避免信息孤岛，提高政府部门之间的协同工作能力。三是适度开放政府数据，使公众可以获取到对政府运作和决策有用的数据，增加政府的透明度和公信力。四是建立数据质量管理机制和数据安全体系，确保数据的准确性和完整性。完善数据采集和处理流程，规范数据录入与维护，及时发现并纠正数据质量问题，同时数据备份与灾难恢复机制、数据加密与访问控制措施，以及网络安全防护措施。</w:t>
      </w:r>
    </w:p>
    <w:p>
      <w:pPr>
        <w:pStyle w:val="4"/>
        <w:ind w:firstLine="640"/>
      </w:pPr>
      <w:bookmarkStart w:id="48" w:name="_Toc146484296"/>
      <w:r>
        <w:rPr>
          <w:rFonts w:hint="eastAsia"/>
        </w:rPr>
        <w:t>二、加强数据资源采集与归集</w:t>
      </w:r>
      <w:bookmarkEnd w:id="48"/>
    </w:p>
    <w:p>
      <w:pPr>
        <w:ind w:firstLine="640"/>
      </w:pPr>
      <w:r>
        <w:rPr>
          <w:rFonts w:hint="eastAsia"/>
        </w:rPr>
        <w:t>以萧县现有数据资源为基础，通过明确数据采集目标、需求、范围与权限，建立有效的采集流程与机制，汇聚下级单位（园区、乡镇、街道、网格）和各职能部门业务与感知数据、沉淀上级部门（省市）回流数据，统筹全县数据采集与归集。深入推动数据共享与协作，保障数据采集合法性与隐私保护，加强数据质量管理与整合，并持续改进与创新。</w:t>
      </w:r>
    </w:p>
    <w:p>
      <w:pPr>
        <w:pStyle w:val="4"/>
        <w:ind w:firstLine="640"/>
      </w:pPr>
      <w:bookmarkStart w:id="49" w:name="_Toc146484297"/>
      <w:r>
        <w:rPr>
          <w:rFonts w:hint="eastAsia"/>
        </w:rPr>
        <w:t>三、强化数据挖掘与应用服务</w:t>
      </w:r>
      <w:bookmarkEnd w:id="49"/>
    </w:p>
    <w:p>
      <w:pPr>
        <w:ind w:firstLine="640"/>
      </w:pPr>
      <w:r>
        <w:rPr>
          <w:rFonts w:hint="eastAsia"/>
        </w:rPr>
        <w:t>数据挖掘与应用服务是提高数据价值和解决实际问题的重要手段。一是搭建强大的数据存储和处理平台，以支持大规模数据挖掘工作，并引入先进的数据挖掘技术和工具，如机器学习算法、自然语言处理等，以提高数据挖掘的效率和准确性。二是培养具备数据分析、统计学、机器学习等专业知识，并能熟练运用数据挖掘工具和技术的数据挖掘团队和人才。三是提供个性化的数据分析和挖掘服务，为决策者提供有针对性的数据洞察和建议。同时，建立反馈机制，根据反馈和需求不断改进数据挖掘应用服务，提供更优质的数据应用服务，推动决策和业务的持续改进和创新。</w:t>
      </w:r>
    </w:p>
    <w:p>
      <w:pPr>
        <w:pStyle w:val="4"/>
        <w:ind w:firstLine="640"/>
      </w:pPr>
      <w:bookmarkStart w:id="50" w:name="_Toc146484298"/>
      <w:r>
        <w:rPr>
          <w:rFonts w:hint="eastAsia"/>
        </w:rPr>
        <w:t>四、推进数据资源共享与流通</w:t>
      </w:r>
      <w:bookmarkEnd w:id="50"/>
    </w:p>
    <w:p>
      <w:pPr>
        <w:ind w:firstLine="640"/>
      </w:pPr>
      <w:r>
        <w:rPr>
          <w:rFonts w:hint="eastAsia"/>
        </w:rPr>
        <w:t>数据资源共享与流通是打破数据孤岛、消除数字鸿沟、促进信息共享流通、提高数据利用效率、实现数据价值的重要举措。依据数据资源管理相关法律法规，立足萧县发展现状，明确数据共享与流通的原则、范围、流程、权限、边界，保护涉及隐私和敏感信息的数据，制定和完善数据资源共享与流通法规，确保数据共享的合法性和安全性，为数据交换提供法律保障。在数据资源共享与流通的过程中，需要加强数据管理与质量控制，兼顾各方利益并提供激励措施，实现数据共享与流通合法、安全、高效，推动社会的持续创新与进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ind w:firstLine="0" w:firstLineChars="0"/>
              <w:jc w:val="center"/>
              <w:rPr>
                <w:b/>
                <w:bCs/>
                <w:sz w:val="30"/>
                <w:szCs w:val="30"/>
              </w:rPr>
            </w:pPr>
            <w:r>
              <w:rPr>
                <w:rFonts w:hint="eastAsia"/>
                <w:b/>
                <w:bCs/>
                <w:sz w:val="30"/>
                <w:szCs w:val="30"/>
              </w:rPr>
              <w:t>专栏4：数据资源共享与流通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ind w:firstLine="602"/>
              <w:rPr>
                <w:sz w:val="30"/>
                <w:szCs w:val="30"/>
              </w:rPr>
            </w:pPr>
            <w:r>
              <w:rPr>
                <w:rFonts w:hint="eastAsia"/>
                <w:b/>
                <w:bCs/>
                <w:sz w:val="30"/>
                <w:szCs w:val="30"/>
              </w:rPr>
              <w:t>接驳江淮大数据中心宿州子平台</w:t>
            </w:r>
            <w:r>
              <w:rPr>
                <w:rFonts w:hint="eastAsia"/>
                <w:sz w:val="30"/>
                <w:szCs w:val="30"/>
              </w:rPr>
              <w:t>。按照“省级总平台、行业部门分平台、市级子平台”框架体系，接驳江淮大数据中心宿州子平台。到2</w:t>
            </w:r>
            <w:r>
              <w:rPr>
                <w:sz w:val="30"/>
                <w:szCs w:val="30"/>
              </w:rPr>
              <w:t>025</w:t>
            </w:r>
            <w:r>
              <w:rPr>
                <w:rFonts w:hint="eastAsia"/>
                <w:sz w:val="30"/>
                <w:szCs w:val="30"/>
              </w:rPr>
              <w:t>年，基本实现数据共享交换、数据集成、数据治理、数据资产管理和数据可视化等功能。</w:t>
            </w:r>
          </w:p>
          <w:p>
            <w:pPr>
              <w:ind w:firstLine="602"/>
              <w:rPr>
                <w:sz w:val="30"/>
                <w:szCs w:val="30"/>
              </w:rPr>
            </w:pPr>
            <w:r>
              <w:rPr>
                <w:rFonts w:hint="eastAsia"/>
                <w:b/>
                <w:bCs/>
                <w:sz w:val="30"/>
                <w:szCs w:val="30"/>
              </w:rPr>
              <w:t>萧县数据资源交易中心</w:t>
            </w:r>
            <w:r>
              <w:rPr>
                <w:rFonts w:hint="eastAsia"/>
                <w:sz w:val="30"/>
                <w:szCs w:val="30"/>
              </w:rPr>
              <w:t>。探索构建开放共享的数据流通交易平台，打破数据孤岛、数字鸿沟、数据垄断、数据滥用、非法交易等现象。首先，以市场需求为导向探索建设萧县数据资源交易中心，明确中心的服务对象，如政府部门、企业、研究机构、和普通公众。中心应提供数据上架、交易、下载、API接入等功能，并保证数据的真实性、可靠性和时效性；建立一个透明的数据评价体系，对数据的来源、质量、完整性、价值等进行评估，为买家提供参考，保障交易的公正、公开、公平。其次，采用拍卖、竞价、固定价格等方式，并结合数据的稀缺性、独特性、使用频率等因素制定数据定价策略；实现数据的加密、脱敏、授权访问等技术，并与相关部门合作，确保交易的合法性，并保证交易安全和数据隐私。同时，强化与金融机构合作，提供支付、结算、保证金等服务，确保交易的顺利进行。最后，持续完善政策法规、鼓励技术创新、培训专业人才，建立与其他地区的数据交易合作，形成一个开放、繁荣、有序的数据交易生态。到2</w:t>
            </w:r>
            <w:r>
              <w:rPr>
                <w:sz w:val="30"/>
                <w:szCs w:val="30"/>
              </w:rPr>
              <w:t>025</w:t>
            </w:r>
            <w:r>
              <w:rPr>
                <w:rFonts w:hint="eastAsia"/>
                <w:sz w:val="30"/>
                <w:szCs w:val="30"/>
              </w:rPr>
              <w:t>年，力争建立萧县数据资源交易中心，助力实现数据资源化、数据资产化。</w:t>
            </w:r>
          </w:p>
        </w:tc>
      </w:tr>
    </w:tbl>
    <w:p>
      <w:pPr>
        <w:pStyle w:val="3"/>
      </w:pPr>
      <w:bookmarkStart w:id="51" w:name="_Toc146484299"/>
      <w:r>
        <w:rPr>
          <w:rFonts w:hint="eastAsia"/>
        </w:rPr>
        <w:t>第三节 推进智慧城市提质升级</w:t>
      </w:r>
      <w:bookmarkEnd w:id="51"/>
    </w:p>
    <w:p>
      <w:pPr>
        <w:pStyle w:val="4"/>
        <w:ind w:firstLine="640"/>
      </w:pPr>
      <w:bookmarkStart w:id="52" w:name="_Toc146484300"/>
      <w:r>
        <w:rPr>
          <w:rFonts w:hint="eastAsia"/>
        </w:rPr>
        <w:t>一、建设城市数据中台</w:t>
      </w:r>
      <w:bookmarkEnd w:id="52"/>
    </w:p>
    <w:p>
      <w:pPr>
        <w:ind w:firstLine="640"/>
      </w:pPr>
      <w:r>
        <w:rPr>
          <w:rFonts w:hint="eastAsia"/>
        </w:rPr>
        <w:t>依托网络通信设施和物联网感知设施，有效归集政府、机构、组织、企业和社会等各单位数据，建设和完善基础数据库、行业数据库和应用数据库等。利用人工智能与大数据治理等相关技术对归集或存量数据进行质量评估，建立起包含组织、标准、流程、质量、安全、技术多个目标的方案框架，以期达到评估与改进相结合，技术与管控相结合，短期与长期相结合，全面提升数据质量和数据管理水平，推动数据安全存储、管理、共享流通、价值挖掘，实现纵跨区域、横跨部门的多维度关联分析和业务驱动的多场景深入应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ind w:firstLine="0" w:firstLineChars="0"/>
              <w:jc w:val="center"/>
              <w:rPr>
                <w:b/>
                <w:bCs/>
                <w:sz w:val="30"/>
                <w:szCs w:val="30"/>
              </w:rPr>
            </w:pPr>
            <w:r>
              <w:rPr>
                <w:rFonts w:hint="eastAsia"/>
                <w:b/>
                <w:bCs/>
                <w:sz w:val="30"/>
                <w:szCs w:val="30"/>
              </w:rPr>
              <w:t>专栏5：城市数据中台建设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ind w:firstLine="602"/>
              <w:rPr>
                <w:sz w:val="30"/>
                <w:szCs w:val="30"/>
              </w:rPr>
            </w:pPr>
            <w:r>
              <w:rPr>
                <w:rFonts w:hint="eastAsia"/>
                <w:b/>
                <w:bCs/>
                <w:sz w:val="30"/>
                <w:szCs w:val="30"/>
              </w:rPr>
              <w:t>数据质量保障</w:t>
            </w:r>
            <w:r>
              <w:rPr>
                <w:rFonts w:hint="eastAsia"/>
                <w:sz w:val="30"/>
                <w:szCs w:val="30"/>
              </w:rPr>
              <w:t>。数据质量是数据中台建设的核心基石。在建设数据中台时，必须确保数据的准确性、完整性、一致性和时效性。数据中台建设需保障数据质量，如数据清洗、数据验证、异常数据监测与修复等。建立完善的数据质量管理机制，强化数据采集和整合环节的监控，持续改进数据质量，确保数据中台建设的可靠性和可持续性。</w:t>
            </w:r>
          </w:p>
          <w:p>
            <w:pPr>
              <w:ind w:firstLine="602"/>
              <w:rPr>
                <w:sz w:val="30"/>
                <w:szCs w:val="30"/>
              </w:rPr>
            </w:pPr>
            <w:r>
              <w:rPr>
                <w:rFonts w:hint="eastAsia"/>
                <w:b/>
                <w:bCs/>
                <w:sz w:val="30"/>
                <w:szCs w:val="30"/>
              </w:rPr>
              <w:t>数据安全与隐私保护</w:t>
            </w:r>
            <w:r>
              <w:rPr>
                <w:rFonts w:hint="eastAsia"/>
                <w:sz w:val="30"/>
                <w:szCs w:val="30"/>
              </w:rPr>
              <w:t>。城市数据中台数据涵盖大量敏感信息，如个人身份、财产状况、医疗记录等，数据中台建设须按照国家信息安全等级保障采取一系列安全措施，包括加密技术、访问控制、身份认证、审计等，来保护数据的安全性。同时，还需遵守相关的数据隐私法规，确保数据的合法使用和合规性。</w:t>
            </w:r>
          </w:p>
          <w:p>
            <w:pPr>
              <w:ind w:firstLine="602"/>
              <w:rPr>
                <w:sz w:val="30"/>
                <w:szCs w:val="30"/>
              </w:rPr>
            </w:pPr>
            <w:r>
              <w:rPr>
                <w:rFonts w:hint="eastAsia"/>
                <w:b/>
                <w:bCs/>
                <w:sz w:val="30"/>
                <w:szCs w:val="30"/>
              </w:rPr>
              <w:t>数据共享与开放</w:t>
            </w:r>
            <w:r>
              <w:rPr>
                <w:rFonts w:hint="eastAsia"/>
                <w:sz w:val="30"/>
                <w:szCs w:val="30"/>
              </w:rPr>
              <w:t>。数据中台可实现跨部门、跨机构的数据共享与整合，但数据共享涉及到诸多问题，如数据安全风险、数据所有权、数据使用权限等。数据中台升级须完善相应的数据共享政策和规范，明确数据的使用范围和条件，并建立合理的激励机制，鼓励各部门主动参与数据共享。同时，提供开放的数据接口和数据服务，吸引企业和开发者参与，推动数据中台的广泛应用和创新。</w:t>
            </w:r>
          </w:p>
        </w:tc>
      </w:tr>
    </w:tbl>
    <w:p>
      <w:pPr>
        <w:pStyle w:val="4"/>
        <w:ind w:firstLine="640"/>
      </w:pPr>
      <w:bookmarkStart w:id="53" w:name="_Toc146484301"/>
      <w:r>
        <w:rPr>
          <w:rFonts w:hint="eastAsia"/>
        </w:rPr>
        <w:t>二、完善城市服务中台</w:t>
      </w:r>
      <w:bookmarkEnd w:id="53"/>
    </w:p>
    <w:p>
      <w:pPr>
        <w:ind w:firstLine="640"/>
      </w:pPr>
      <w:r>
        <w:rPr>
          <w:rFonts w:hint="eastAsia"/>
        </w:rPr>
        <w:t>依托现有数字化基础设施、业务平台和数据资源，搭建和完善政务服务中台，涵盖教育、医疗、社保、税务、资产、监管、园区、乡镇、街道等领域，沉淀用户中心、业务中心、搜索中心、信息中心、服务中心、监管评价中心等的服务能力与水平，助力实现萧县政务服务与智慧城市统一入口、统一预约、统一受理、协同办理、监督评价等。在“数字城管”的基础之上升级“智慧城管”，使萧县城市管理模式更加智能，信息技术更加先进，管理对象更加具体。依托城市基础网络设施、通讯技术及地理信息技术，统筹推进智慧管网项目，组建城市排水管网安全运行监管平台，实现排水、窖井等城市排水管线专项智能化监管，并建立排水管网安全运行长效运维机制。到2</w:t>
      </w:r>
      <w:r>
        <w:t>025</w:t>
      </w:r>
      <w:r>
        <w:rPr>
          <w:rFonts w:hint="eastAsia"/>
        </w:rPr>
        <w:t>年，“智慧城管”和“智慧管网”全面建成，智慧城市建设迈上新台阶。</w:t>
      </w:r>
    </w:p>
    <w:p>
      <w:pPr>
        <w:pStyle w:val="4"/>
        <w:ind w:firstLine="640"/>
      </w:pPr>
      <w:bookmarkStart w:id="54" w:name="_Toc146484302"/>
      <w:r>
        <w:rPr>
          <w:rFonts w:hint="eastAsia"/>
        </w:rPr>
        <w:t>三、探索人工智能平台</w:t>
      </w:r>
      <w:bookmarkEnd w:id="54"/>
    </w:p>
    <w:p>
      <w:pPr>
        <w:ind w:firstLine="640"/>
      </w:pPr>
      <w:r>
        <w:rPr>
          <w:rFonts w:hint="eastAsia"/>
        </w:rPr>
        <w:t>以萧县现实业务需求为导向，与域内外、省内外高校、科研院所等探索建立人工智能研究院、研发中心、实践基地，研发人工智能算法、组件、应用系统，提供算法模型、智能识别、智能应用、人机交互等赋能服务，为智慧教育、智慧医疗、智慧交通等领域内的人脸识别、轨迹追踪、市场监管、风险预警等需求提供智能服务。</w:t>
      </w:r>
    </w:p>
    <w:p>
      <w:pPr>
        <w:ind w:firstLine="640"/>
      </w:pPr>
      <w:r>
        <w:rPr>
          <w:rFonts w:hint="eastAsia"/>
        </w:rPr>
        <w:t>首先，平台技术架构是基础。统筹规划硬件资源的投入、分布式计算技术的应用、以及多种人工智能框架的集成，打造一个高效、稳定、易扩展的计算平台，支持从数据预处理到模型训练，再到部署应用的全流程。数据是人工智能的生命线。因此，要积极与萧县各个部门、企业和机构合作，构建一个全面、真实、动态的数据池，不仅涉及到数据采集、清洗和标注，还要确保数据的安全与隐私。</w:t>
      </w:r>
    </w:p>
    <w:p>
      <w:pPr>
        <w:ind w:firstLine="640"/>
      </w:pPr>
      <w:r>
        <w:rPr>
          <w:rFonts w:hint="eastAsia"/>
        </w:rPr>
        <w:t>其次，技术研发与创新是核心。强化平台与国内外研究机构、高等学府以及先进的技术公司合作，持续引入、整合和创新人工智能技术与算法。探索设立专项基金，支持在萧县的人工智能技术研发项目，并鼓励企业和学术界的交流与合作。</w:t>
      </w:r>
    </w:p>
    <w:p>
      <w:pPr>
        <w:ind w:firstLine="640"/>
      </w:pPr>
      <w:r>
        <w:rPr>
          <w:rFonts w:hint="eastAsia"/>
        </w:rPr>
        <w:t>最后，实际应用与推广是关键。以萧县的实际需求为出发点，针对交通优化、医疗辅助诊断、教育资源分配、智慧管网等，设计相应的人工智能解决方案。积极推动公众科普和培训，组织各类公开课、研讨会、实践营等活动，鼓励公众、企业和政府部门参与，提高公众对人工智能的认知度和接受度。</w:t>
      </w:r>
    </w:p>
    <w:p>
      <w:pPr>
        <w:pStyle w:val="4"/>
        <w:ind w:firstLine="640"/>
      </w:pPr>
      <w:bookmarkStart w:id="55" w:name="_Toc146484303"/>
      <w:r>
        <w:rPr>
          <w:rFonts w:hint="eastAsia"/>
        </w:rPr>
        <w:t>四、探索数字孪生平台</w:t>
      </w:r>
      <w:bookmarkEnd w:id="55"/>
    </w:p>
    <w:p>
      <w:pPr>
        <w:ind w:firstLine="640"/>
      </w:pPr>
      <w:r>
        <w:rPr>
          <w:rFonts w:hint="eastAsia"/>
        </w:rPr>
        <w:t>依托数字化仿真、虚拟现实、增强现实、元宇宙等前沿信息技术，将现实萧县从“物理端”映射到“数字端”，探索构建展现城市多维空间的数字孪生平台，推动空间、地面、地下各城市要素由实入虚，在虚拟空间对现实城市进行建模仿真、动态演化、智能操控、智能决策等，萧县将在数字孪生时代实现更高水平的城市发展，成为一个具有智慧、宜居、宜业的现代化城市。</w:t>
      </w:r>
    </w:p>
    <w:p>
      <w:pPr>
        <w:ind w:firstLine="640"/>
      </w:pPr>
      <w:r>
        <w:rPr>
          <w:rFonts w:hint="eastAsia"/>
        </w:rPr>
        <w:t>首先，完成数据收集与整合。强化与政府各部门、企业、社区以及个人紧密合作，确保萧县的每一块土地、每一栋建筑、每一条道路、每一位居民和企业，都要有对应的数字身份和数据输入，并保证数据的准确性、完整性和实时性。</w:t>
      </w:r>
    </w:p>
    <w:p>
      <w:pPr>
        <w:ind w:firstLine="640"/>
      </w:pPr>
      <w:r>
        <w:rPr>
          <w:rFonts w:hint="eastAsia"/>
        </w:rPr>
        <w:t>其次，数字孪生平台的建设不仅仅是技术工程，更是一个系统工程，不仅涉及各种硬件和软件的选择、集成和优化，而且涉及多种技术如云计算、物联网、人工智能等的深度融合，也涉及到与其他数字化项目如智慧交通、智慧医疗、智慧教育等的协同和整合。因此，需要构建健全的管理和维护体系，包括技术更新、数据维护、安全防护等方面，确保平台的高效运行和长期发展。</w:t>
      </w:r>
    </w:p>
    <w:p>
      <w:pPr>
        <w:ind w:firstLine="640"/>
      </w:pPr>
      <w:r>
        <w:rPr>
          <w:rFonts w:hint="eastAsia"/>
        </w:rPr>
        <w:t>最后，建立一个开放的生态体系。数字孪生平台不仅要对内部用户开放，还要对企事业单位和合作伙伴开放，鼓励他们基于平台开发各种应用和服务。为确保平台的广泛应用和持续创新，主管部门提供各种支持，如技术培训、资金扶持、市场推广等。从而，城市管理者可以实时监测城市的各种状况，预测和应对各种风险，优化资源配置和服务供给；企业可以基于平台进行生产、经营和创新活动，提高效率和竞争力；公众可以基于平台获取各种信息和服务，享受更高品质的生活。</w:t>
      </w:r>
    </w:p>
    <w:p>
      <w:pPr>
        <w:ind w:firstLine="640"/>
        <w:sectPr>
          <w:pgSz w:w="11906" w:h="16838"/>
          <w:pgMar w:top="1440" w:right="1800" w:bottom="1440" w:left="1800" w:header="851" w:footer="992" w:gutter="0"/>
          <w:cols w:space="425" w:num="1"/>
          <w:docGrid w:type="lines" w:linePitch="312" w:charSpace="0"/>
        </w:sectPr>
      </w:pPr>
    </w:p>
    <w:p>
      <w:pPr>
        <w:pStyle w:val="2"/>
      </w:pPr>
      <w:bookmarkStart w:id="56" w:name="_Toc146484304"/>
      <w:r>
        <w:rPr>
          <w:rFonts w:hint="eastAsia"/>
        </w:rPr>
        <w:t>第五章 聚焦重点发展任务</w:t>
      </w:r>
      <w:bookmarkEnd w:id="56"/>
    </w:p>
    <w:p>
      <w:pPr>
        <w:pStyle w:val="3"/>
      </w:pPr>
      <w:bookmarkStart w:id="57" w:name="_Toc146484305"/>
      <w:r>
        <w:rPr>
          <w:rFonts w:hint="eastAsia"/>
        </w:rPr>
        <w:t>第一节 强化数字科技创新，凝练数字萧县能力</w:t>
      </w:r>
      <w:bookmarkEnd w:id="57"/>
    </w:p>
    <w:p>
      <w:pPr>
        <w:ind w:firstLine="643"/>
      </w:pPr>
      <w:r>
        <w:rPr>
          <w:rFonts w:hint="eastAsia"/>
          <w:b/>
          <w:bCs/>
        </w:rPr>
        <w:t>数字科技协同创新</w:t>
      </w:r>
      <w:r>
        <w:rPr>
          <w:rFonts w:hint="eastAsia"/>
        </w:rPr>
        <w:t>。一是抢抓徐州建设淮海科技城、徐州技术创新谷机遇，积极融入徐州创新平台建设，引入云计算、物联网、大数据、人工智能、集成电路等先进技术，推动城市智慧化建设，提升城市治理的智能化水平。二是构建科技创新平台和数字产业基地，积极融入徐州科技创新格局，加强与科研机构、高校、科技园区、创新示范区、企业等的合作交流与共同创新，培育数字产业生态，促进数字科技创新与产业融合，共同打造数字化研发创新环境，推动数字经济发展。三是强化与徐州各个领域的数字化协同发展，推动数字科技的交叉应用，加速数字技术的推广和落地，将科技创新与城市治理、经济发展、社会服务等方面深度融合，实现数字科技在各个领域的全面创新应用。四是</w:t>
      </w:r>
      <w:bookmarkStart w:id="58" w:name="_Hlk146379546"/>
      <w:r>
        <w:rPr>
          <w:rFonts w:hint="eastAsia"/>
        </w:rPr>
        <w:t>依托沪苏浙沪苏浙城市结对合作帮扶方案</w:t>
      </w:r>
      <w:bookmarkEnd w:id="58"/>
      <w:r>
        <w:rPr>
          <w:rFonts w:hint="eastAsia"/>
        </w:rPr>
        <w:t>，不仅在政府层面建立合作机制，还需要在企业、机构、园区等多个层面建立合作机制，定期组织交流、对接和合作。同时，引入第三方机构，如专业咨询机构、行业协会等，为各方提供服务和支持。共同开展数字科技创新项目，既可以是技术研发项目，如共同研发新的数字技术、应用和服务；也可以是产业合作项目，如共同开发新的数字产业园区、孵化器和加速器；还可以是人才培养项目，如共同开展数字科技人才培养、交流和培训。</w:t>
      </w:r>
    </w:p>
    <w:p>
      <w:pPr>
        <w:ind w:firstLine="643"/>
      </w:pPr>
      <w:r>
        <w:rPr>
          <w:rFonts w:hint="eastAsia"/>
          <w:b/>
          <w:bCs/>
        </w:rPr>
        <w:t>建设数字化创新生态系统</w:t>
      </w:r>
      <w:r>
        <w:rPr>
          <w:rFonts w:hint="eastAsia"/>
        </w:rPr>
        <w:t>。一是通过创建数字科技创新园区、孵化器和科技企业加速器等，搭建科技创新的平台和环境，吸引优秀的科技企业、初创企业和创新团队，提供资源和资金支持，促进创新成果的转化和应用。二是强化产学研用合作，鼓励大学、科研机构和企业之间合作，建立产学研用一体化的合作模式，将科技创新成果更快速地转化为实际应用，推动数字科技在城市治理、交通管理、环境保护等方面的广泛应用。三是探索设立科技创新基金，为科技创新提供资金支持，鼓励更多企业和团队参与数字科技创新。</w:t>
      </w:r>
    </w:p>
    <w:p>
      <w:pPr>
        <w:ind w:firstLine="643"/>
        <w:rPr>
          <w:b/>
          <w:bCs/>
        </w:rPr>
      </w:pPr>
      <w:r>
        <w:rPr>
          <w:rFonts w:hint="eastAsia"/>
          <w:b/>
          <w:bCs/>
        </w:rPr>
        <w:t>数字科技与产业融合发展</w:t>
      </w:r>
      <w:r>
        <w:rPr>
          <w:rFonts w:hint="eastAsia"/>
        </w:rPr>
        <w:t>。一是强化数字科技与产业深度融合，鼓励企业在数字化领域进行创新和投资，推动数字科技在传统产业中的广泛应用。二是探索设立数字化转型基金，为企业提供数字化转型的资金支持。同时，建设数字化产业园区或科技产业集聚区，吸引优质企业和项目进驻，形成数字产业协同发展格局。三是强化数字化技术在不同产业领域的交叉应用，搭建数字科技交流平台，促进不同行业之间的合作与交流，加速数字技术推广和落地，提高产业的竞争力和增长潜力。四是重点依托沪苏浙城市结对合作帮扶方案，进一步强化与结对合作帮扶城市杭州市的合作。首先，借鉴和引进杭州在数字技术、数字科技等领域的先进经验和模式，邀请杭州的专家团队对萧县的数字建设进行指导，提供定制化的解决方案和实践案例；与杭州的企业和机构建立战略合作伙伴关系，共同开展技术研发、市场开发、人才培养等合作项目。其次，与杭州的高校和研究机构建立合作关系，共同培养数字科技人才、开展科研合作、搭建创新平台等，加快萧县自身的数字化转型和升级。再次，萧县与杭州共同探索新的合作模式和路径，共同打造数字科技产业园、创新中心、孵化器等载体，吸引和集聚双方的优质企业和项目，形成产业聚集和产业链延伸形成双方的互补优势和协同效应。通过与杭州的深度合作和融合发展，到2</w:t>
      </w:r>
      <w:r>
        <w:t>025</w:t>
      </w:r>
      <w:r>
        <w:rPr>
          <w:rFonts w:hint="eastAsia"/>
        </w:rPr>
        <w:t>年，萧县基本实现数字科技与产业的快速崛起，成为数字科技的新兴高地和示范区。</w:t>
      </w:r>
    </w:p>
    <w:p>
      <w:pPr>
        <w:pStyle w:val="3"/>
      </w:pPr>
      <w:bookmarkStart w:id="59" w:name="_Toc146484306"/>
      <w:r>
        <w:rPr>
          <w:rFonts w:hint="eastAsia"/>
        </w:rPr>
        <w:t>第二节 推动数字产业协作，强化数字经济赋能</w:t>
      </w:r>
      <w:bookmarkEnd w:id="59"/>
    </w:p>
    <w:p>
      <w:pPr>
        <w:ind w:firstLine="643"/>
      </w:pPr>
      <w:r>
        <w:rPr>
          <w:rFonts w:hint="eastAsia"/>
          <w:b/>
          <w:bCs/>
        </w:rPr>
        <w:t>数字产业发展一体化</w:t>
      </w:r>
      <w:r>
        <w:rPr>
          <w:rFonts w:hint="eastAsia"/>
        </w:rPr>
        <w:t>。一是构建数字经济合作平台，为萧县、徐州、淮海经济区、长三角的数字经济发展提供统一的信息共享和交流渠道，共享数字产业创新成果，共同探讨数字产业发展的新理念和新模式，吸引国内外优秀的数字科技企业和人才，为数字产业发展提供强大的技术支持和智力支持。二是探索设立数字产业合作基金，用于支持数字产业的创新和发展，推动数字经济产业链的全面升级和优化，增强萧县数字产业在国内外市场的竞争力和发展潜力。三是体制机制协同创新，形成产、学、研、用的良好合作模式，打破部门壁垒，促进政企、产学研的紧密衔接，建立公平竞争的市场环境，鼓励创新创业，为数字产业发展提供更多机遇，同时加强对数字经济的监管，防范相关风险，确保数字经济持续健康发展。四是沪苏浙的城市结对合作帮扶方案为萧县提供了强大的后盾和广阔的发展平台。为实现数字产业的一体化发展，萧县首先应深入挖掘与沪苏浙三省的产业互补性，特别是在数字产业领域，积极引进沪苏浙地区的技术、资金、人才和管理经验。例如，通过合作帮扶方案与沪苏浙地区，尤其是杭州市的数字产业园区、研发中心、创新孵化器等建立紧密联系，形成数字产业链上下游的合作网络。其次，鼓励萧县本地企业与沪苏浙地区的大型企业、高新技术企业进行项目对接、产业合作，促使先进技术和模式流入萧县，带动当地数字产业的转型和升级。同时，利用沪苏浙地区的市场规模和资源，为萧县的数字产品和服务提供更大的发展空间，带动本地数字产业的扩张和壮大。</w:t>
      </w:r>
    </w:p>
    <w:p>
      <w:pPr>
        <w:ind w:firstLine="643"/>
      </w:pPr>
      <w:r>
        <w:rPr>
          <w:rFonts w:hint="eastAsia"/>
          <w:b/>
          <w:bCs/>
        </w:rPr>
        <w:t>优化数字产业布局与资源整合</w:t>
      </w:r>
      <w:r>
        <w:rPr>
          <w:rFonts w:hint="eastAsia"/>
        </w:rPr>
        <w:t>。一是在数字经济发展规划中形成区域合力，通过协商和合作，合理划分数字产业的专业化分工，避免重复建设和资源浪费，各地区发挥自身优势，形成数字产业协同发展格局。二是强化与结对帮扶城市杭州市的多层次合作。与杭州建立多层次、多领域的合作机制，导入杭州在数字产业的先进经验和管理模式。考察杭州的数字产业园区、研发机构和孵化器，与之进行项目对接和技术合作，促进萧县数字产业的快速成长。利用杭州的资本、技术和人才优势，为萧县的数字产业企业提供培训、技术升级和融资渠道，从而提高市场竞争力。同时，借助杭州的市场和品牌效应，开拓更广阔的销售渠道和合作伙伴，进一步提升萧县数字产业的知名度和影响力。三是在资源整合方面，建立数字产业园区或科技产业集聚区，吸引徐州都市圈、淮海经济区、长三角优质企业和项目进驻，共同出台优惠政策，为入驻企业提供税收减免、人才支持等优惠政策，激励企业在数字产业领域进行创新和投资。四是共享数字产业创新成果和研发资源，建立数字产业联盟、创新中心或实验室，为各方提供一个共同合作的平台，制定数字产业技术标准，促进知识产权保护与共享。</w:t>
      </w:r>
    </w:p>
    <w:p>
      <w:pPr>
        <w:ind w:firstLine="643"/>
      </w:pPr>
      <w:r>
        <w:rPr>
          <w:rFonts w:hint="eastAsia"/>
          <w:b/>
          <w:bCs/>
        </w:rPr>
        <w:t>强化数字产业人才培养与交流</w:t>
      </w:r>
      <w:r>
        <w:rPr>
          <w:rFonts w:hint="eastAsia"/>
        </w:rPr>
        <w:t>。一是建立数字产业人才培养基地，构建多层次、多样化的人才培养体系，鼓励高等教育机构与数字产业企业密切合作，为在职人员提供不断学习和进修的机会，同时支持和鼓励在线教育平台开设数字产业相关的网络课程，让更多有志于从事数字产业的人士能够获得学习机会，实现自我提升。二是打造数字产业人才交流平台，为数字产业领域的专业人士提供一个交流学习、分享经验、互相启发，共同解决行业面临的挑战。政府、行业协会和企业可以联合举办数字产业峰会，促进数字产业的合作与发展。三是鼓励跨界合作与国际交流，鼓励数字产业与其他行业之间的跨界合作，推动数字技术在各个领域的应用和创新。提供资金支持和政策扶持，鼓励企业开展国际合作项目，吸引优秀的海外人才来萧县工作和学习。</w:t>
      </w:r>
    </w:p>
    <w:p>
      <w:pPr>
        <w:pStyle w:val="3"/>
      </w:pPr>
      <w:bookmarkStart w:id="60" w:name="_Toc146484307"/>
      <w:r>
        <w:rPr>
          <w:rFonts w:hint="eastAsia"/>
        </w:rPr>
        <w:t>第三节 助力两化两业融合，推进数字应用引领</w:t>
      </w:r>
      <w:bookmarkEnd w:id="60"/>
    </w:p>
    <w:p>
      <w:pPr>
        <w:ind w:firstLine="640"/>
      </w:pPr>
      <w:r>
        <w:rPr>
          <w:rFonts w:hint="eastAsia"/>
        </w:rPr>
        <w:t>紧扣“高质量”和“一体化”发展，立足独特区位优势，围绕“全省进十强，全国争百强”发展目标，深入推进与徐州、淮海经济区、长三角对接合作，全面建设数字萧县。</w:t>
      </w:r>
    </w:p>
    <w:p>
      <w:pPr>
        <w:ind w:firstLine="643"/>
      </w:pPr>
      <w:r>
        <w:rPr>
          <w:rFonts w:hint="eastAsia"/>
          <w:b/>
          <w:bCs/>
        </w:rPr>
        <w:t>推进信息化建设</w:t>
      </w:r>
      <w:r>
        <w:rPr>
          <w:rFonts w:hint="eastAsia"/>
        </w:rPr>
        <w:t>。依托萧县数字化和信息化基础设施，与电信、联通、移动、铁塔等相关通讯企业签署“数字萧县”合作协议，明确合作内容与分工，围绕产品研发、原料供应、生产管控、能源优化、市场营销、产业链协同等环节，聚焦信息化赋能，综合运用物联网、云计算、大数据、人工智能、工业互联网等新一代信息技术，建设数字化生产线、数字化车间以及数字化工厂，实施数字化、网络化和智能化升级，全面推进萧县产业发展信息化赋能，尤其重点支持制造业企业核心业务系统“上云上平台”，进一步优化生产流程、降低生产成本、提升生产效率。鼓励和支持园区统筹建立区域和跨区域数字资源共享及业务联动机制，打造产业互通、区域协同联动的“智慧大脑”平台。</w:t>
      </w:r>
    </w:p>
    <w:p>
      <w:pPr>
        <w:ind w:firstLine="640"/>
      </w:pPr>
      <w:r>
        <w:rPr>
          <w:rFonts w:hint="eastAsia"/>
        </w:rPr>
        <w:t>聚焦新材料和机械制造等萧县主导产业，重点建设数字化生产线、数字化车间以及数字化工厂。在数字化生产线建设方面，主要进行：（1）数据采集：使用传感器和数据采集器对生产线上的设备、工艺和产品进行全程监控，收集各个环节的运行数据。（2）数据分析与优化：利用大数据技术对收集到的数据进行分析，找出生产中的问题和瓶颈，制定相应的优化方案。（3）自动化控制：通过PLC、SCADA和其它自动化控制系统，实现生产线的自动运行、调整和故障处理。（4）数字孪生：构建生产线的数字模型，通过实时数据驱动，模拟生产线的运行状态，为决策提供支持。在数字化车间建设方面，主要进行：（1）生产调度与管理：采用MES进行生产调度和管理，实时监控生产进度，自动分配任务，保证生产计划的顺利进行。（2）资料与质量管理：使用ERP和QM系统进行材料和产品的追溯管理，保证质量控制和改进。（3）设备管理与预测维护：通过设备的数字化监控，预测设备的健康状态和维护需求，减少停机时间和提高设备使用率。（4）工人培训与辅助：利用AR/VR技术为工人提供实时的操作指导和培训，提高操作效率和质量。在数字化工厂建设方面，主要进行：（1）智能物流与仓储：利用自动化和机器人技术，实现物料的自动化搬运、分拣和仓储，降低物流成本。（2）能源与环境管理：通过数字化技术对工厂的能源消耗和环境影响进行实时监控和管理，实现绿色生产。（3）生产与市场联动：构建生产和市场之间的实时数据通道，根据市场需求动态调整生产计划和策略。（4）协同创新与研发：建立数字化的研发平台，与供应商、合作伙伴和客户进行协同创新和研发，缩短研发周期。</w:t>
      </w:r>
    </w:p>
    <w:p>
      <w:pPr>
        <w:ind w:firstLine="643"/>
      </w:pPr>
      <w:r>
        <w:rPr>
          <w:rFonts w:hint="eastAsia"/>
          <w:b/>
          <w:bCs/>
        </w:rPr>
        <w:t>强化智能化改造</w:t>
      </w:r>
      <w:r>
        <w:rPr>
          <w:rFonts w:hint="eastAsia"/>
        </w:rPr>
        <w:t>。一是建设先进的信息网络和通信基础设施，为产业智能化提供快速、稳定的数据传输通道。大力发展物联网技术，构建智能感知系统，实现对生产过程的全面监控和数据采集。二是设立专项资金，积极推广数字化制造技术，鼓励和支持企业引进先进的数字化生产设备和智能机器人，提升生产线的自动化水平，助推产业转型升级。三是推动企业采用先进的数字化管理系统，并利用大数据和人工智能技术，开发智能决策支持系统，实现生产、库存、销售等各个环节的数字化管理，帮助企业精准分析市场需求，优化资源配置，提高企业的竞争力和反应速度。</w:t>
      </w:r>
    </w:p>
    <w:p>
      <w:pPr>
        <w:ind w:firstLine="640"/>
      </w:pPr>
      <w:r>
        <w:rPr>
          <w:rFonts w:hint="eastAsia"/>
        </w:rPr>
        <w:t>聚焦萧县新材料和机械制造两大主导产业，以及防腐蚀特色产业，引入自动化和智能化设备和生产线，实现对现有老旧设备进行升级和改造。在新材料产业方面，引入先进的材料研究与分析设备，例如X射线衍射仪、扫描电镜等，用于加深对新材料性质的研究和改进；采用人工智能算法对材料合成、制备过程进行优化，提高新材料的质量与生产效率；推广工业互联网平台，实现新材料生产过程的实时监控与数据采集，通过大数据分析提前预知生产问题。在机械制造产业方面，对现有的生产线和设备进行逐步替换或升级，引入CNC数控机床、工业机器人等自动化设备，提高生产自动化水平；结合数字孪生技术，为机械产品构建虚拟模型，帮助设计、测试与优化产品；利用物联网技术进行设备健康监测，实施预测性维护，降低设备故障率。对于防腐蚀特色产业，引进先进的防腐蚀检测与评估设备，确保产品的质量与稳定性；采用模拟与仿真技术，针对不同环境与条件，研究材料的腐蚀行为，为制造提供指导；借助人工智能技术，开发智能涂层与处理方案，提升材料的防腐蚀性能。</w:t>
      </w:r>
    </w:p>
    <w:p>
      <w:pPr>
        <w:ind w:firstLine="643"/>
      </w:pPr>
      <w:r>
        <w:rPr>
          <w:rFonts w:hint="eastAsia"/>
          <w:b/>
          <w:bCs/>
        </w:rPr>
        <w:t>助推现代物流业</w:t>
      </w:r>
      <w:r>
        <w:rPr>
          <w:rFonts w:hint="eastAsia"/>
        </w:rPr>
        <w:t>。依托萧县产业基础，紧抓淮海经济区一体化发展战略、紧邻徐州国际淮海陆港发展优势以及沪苏浙城市结对合作帮扶战略机遇，聚焦现代化、智能化物流产业，建立区域协同智能物流系统。一是加大对智能物流基础设施建设的投入，包括物流园区、智能仓储设施、智能运输网络等。建立物联网技术应用，实现对物流车辆、货物的实时监控和追踪，提高物流信息化水平。二是鼓励物流企业引进智能化装备，如自动化分拣系统、智能化搬运设备等，提高物流作业效率和准确性。推动物流企业采用物流大数据分析、人工智能等技术，优化物流运输路线和配送方案，降低物流成本，提高服务质量。三是推动物流企业间的合作与共享，建立联盟式物流服务平台，实现资源共享和信息互通。同时，鼓励物流企业与电商平台、生产企业等合作，形成线上线下一体化的智能物流服务体系，提高物流配送效率和响应速度。</w:t>
      </w:r>
    </w:p>
    <w:p>
      <w:pPr>
        <w:ind w:firstLine="643"/>
      </w:pPr>
      <w:r>
        <w:rPr>
          <w:rFonts w:hint="eastAsia"/>
          <w:b/>
          <w:bCs/>
        </w:rPr>
        <w:t>增强数字科技服务业</w:t>
      </w:r>
      <w:r>
        <w:rPr>
          <w:rFonts w:hint="eastAsia"/>
        </w:rPr>
        <w:t>。一是加大对数字科技服务业的支持力度。出台一系列优惠政策，包括税收减免、科研资金支持、人才引进等，鼓励和吸引更多科技服务企业在该地区落户，支持创新型科技企业的发展，推动数字科技服务业的壮大。二是加强数字科技人才培养和引进。数字萧县需要加大对数字科技人才的培养力度，建立与产业需求相适应的人才培养体系。积极引进国内外优秀的数字科技人才，提升数字萧县的科技创新能力。三是构建数字科技服务平台。建设数字科技服务平台，整合各类科技资源和服务，为企业提供一站式的科技支持和服务。强化技术研发、市场推广、知识产权保护等方面的支持，帮助企业快速转化科技成果，提高产品和服务的竞争力。四是加强数字科技创新研发。鼓励企业增加科技创新投入，加强自主知识产权的研发，推动科技成果的产业化应用。建立与高校和科研院所的合作机制，促进产学研深度融合，提高科技创新的能力和水平。</w:t>
      </w:r>
    </w:p>
    <w:p>
      <w:pPr>
        <w:ind w:firstLine="643"/>
      </w:pPr>
      <w:r>
        <w:rPr>
          <w:rFonts w:hint="eastAsia"/>
          <w:b/>
          <w:bCs/>
        </w:rPr>
        <w:t>数字化应用引领两化两业融合</w:t>
      </w:r>
      <w:r>
        <w:rPr>
          <w:rFonts w:hint="eastAsia"/>
        </w:rPr>
        <w:t>。一是积极推进各行各业加速数字化转型，建设数字化管理系统、智能化生产设备等，提高企业的信息化水平。鼓励传统产业引入新兴数字技术，如物联网、人工智能、大数据等，实现生产过程的智能化和自动化，提高产业效率和竞争力。二是建设数字经济产业园区，吸引数字科技企业和传统产业企业入驻，形成产业互联互通的创新生态系统。鼓励企业间加强合作，开展产学研深度融合，促进数字技术在产业应用中的创新和推广。三是打破信息孤岛，推动政府部门和企业间的信息资源共享。建立数字化应用平台，提供统一的数据标准和接口，方便不同企业间的数据交换和共享。加强与其他地区的信息交流与合作，吸引更多优质资源投入数字萧县建设。四是强化数字化应用过程中的安全风险意识，加强信息安全防护措施，确保数据和信息的安全可控。建立数字化应用安全评估机制，为企业提供数字化应用的安全咨询和服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bCs/>
                <w:sz w:val="30"/>
                <w:szCs w:val="30"/>
              </w:rPr>
            </w:pPr>
            <w:r>
              <w:rPr>
                <w:rFonts w:hint="eastAsia"/>
                <w:b/>
                <w:bCs/>
                <w:sz w:val="30"/>
                <w:szCs w:val="30"/>
              </w:rPr>
              <w:t>专栏6：数字化赋能两化两业融合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2"/>
              <w:rPr>
                <w:sz w:val="30"/>
                <w:szCs w:val="30"/>
              </w:rPr>
            </w:pPr>
            <w:r>
              <w:rPr>
                <w:rFonts w:hint="eastAsia"/>
                <w:b/>
                <w:bCs/>
                <w:sz w:val="30"/>
                <w:szCs w:val="30"/>
              </w:rPr>
              <w:t>信息化推广与实施</w:t>
            </w:r>
            <w:r>
              <w:rPr>
                <w:rFonts w:hint="eastAsia"/>
                <w:sz w:val="30"/>
                <w:szCs w:val="30"/>
              </w:rPr>
              <w:t>。制定数字萧县信息化建设的中长期规划和发展战略，明确信息化建设的目标和发展路径。确立信息化发展的重点领域和重要任务，包括政务信息化、产业信息化、农村信息化、教育医疗信息化等。重点推进5G、大数据、人工智能、物联网、工业互联网等新一代信息技术与数字萧县建设、产业发展、运营服务深度融合。建立完善的信息化建设绩效评估与监督机制，定期对信息化建设的进展和成效进行评估，及时调整和优化实施方案。</w:t>
            </w:r>
          </w:p>
          <w:p>
            <w:pPr>
              <w:ind w:firstLine="602"/>
              <w:rPr>
                <w:sz w:val="30"/>
                <w:szCs w:val="30"/>
              </w:rPr>
            </w:pPr>
            <w:r>
              <w:rPr>
                <w:rFonts w:hint="eastAsia"/>
                <w:b/>
                <w:bCs/>
                <w:sz w:val="30"/>
                <w:szCs w:val="30"/>
              </w:rPr>
              <w:t>智能工厂与智慧园区建设</w:t>
            </w:r>
            <w:r>
              <w:rPr>
                <w:rFonts w:hint="eastAsia"/>
                <w:sz w:val="30"/>
                <w:szCs w:val="30"/>
              </w:rPr>
              <w:t>。重点鼓励和支持萧县经济开发区、张江萧县高科技园等区域逐步建设智能工厂和智慧园区。利用大数据分析技术，对生产过程和运营管理数据进行深度分析，挖掘潜在问题和优化机会。通过数据驱动的决策，提高工厂和园区的运营效率和智能化水平。建立智能工厂和智慧园区的数字化管理系统，实现对生产过程、设备状态、能源消耗等方面的全面监控和管理。通过信息化手段，实现智能远程监控和远程控制，提高管理效率和灵活性。到2</w:t>
            </w:r>
            <w:r>
              <w:rPr>
                <w:sz w:val="30"/>
                <w:szCs w:val="30"/>
              </w:rPr>
              <w:t>025</w:t>
            </w:r>
            <w:r>
              <w:rPr>
                <w:rFonts w:hint="eastAsia"/>
                <w:sz w:val="30"/>
                <w:szCs w:val="30"/>
              </w:rPr>
              <w:t>年，初步建成1到2个示范性智能工厂和智慧园区。</w:t>
            </w:r>
          </w:p>
          <w:p>
            <w:pPr>
              <w:ind w:firstLine="602"/>
              <w:rPr>
                <w:b/>
                <w:bCs/>
                <w:sz w:val="30"/>
                <w:szCs w:val="30"/>
              </w:rPr>
            </w:pPr>
            <w:r>
              <w:rPr>
                <w:rFonts w:hint="eastAsia"/>
                <w:b/>
                <w:bCs/>
                <w:sz w:val="30"/>
                <w:szCs w:val="30"/>
              </w:rPr>
              <w:t>两化两业深度融合</w:t>
            </w:r>
            <w:r>
              <w:rPr>
                <w:rFonts w:hint="eastAsia"/>
                <w:sz w:val="30"/>
                <w:szCs w:val="30"/>
              </w:rPr>
              <w:t>。构建智慧物流基础设施，实现物流信息的实时传输和共享，提高物流效率和服务质量。建设数字化科技服务平台，整合物流业和科技服务业的资源和服务，为企业提供一站式的智能物流解决方案。通过平台的数字化交互，实现信息的共享和服务的高效对接。鼓励科技服务企业采用物流大数据分析、人工智能等技术，为物流企业提供智能化的解决方案和增值服务。推动数字科技服务业与物流业深度融合，共同推动产业升级。</w:t>
            </w:r>
          </w:p>
        </w:tc>
      </w:tr>
    </w:tbl>
    <w:p>
      <w:pPr>
        <w:pStyle w:val="3"/>
      </w:pPr>
      <w:bookmarkStart w:id="61" w:name="_Toc146484308"/>
      <w:r>
        <w:rPr>
          <w:rFonts w:hint="eastAsia"/>
        </w:rPr>
        <w:t>第四节 坚持点线面协同，做活一二三产融合</w:t>
      </w:r>
      <w:bookmarkEnd w:id="61"/>
    </w:p>
    <w:p>
      <w:pPr>
        <w:ind w:firstLine="640"/>
      </w:pPr>
      <w:r>
        <w:rPr>
          <w:rFonts w:hint="eastAsia"/>
        </w:rPr>
        <w:t>紧扣高质量发展主题，一二三产业协同发力，坚持点线面协同推进经济社会发展，以稳产业、稳投资、稳增长、数字化赋能，奋力奏响高质量发展强音，谱写萧县产业强百姓富生态美的崭新篇章。</w:t>
      </w:r>
    </w:p>
    <w:p>
      <w:pPr>
        <w:ind w:firstLine="643"/>
      </w:pPr>
      <w:r>
        <w:rPr>
          <w:rFonts w:hint="eastAsia"/>
          <w:b/>
          <w:bCs/>
        </w:rPr>
        <w:t>筑牢一产发展底座，建设农业产业园和农产品加工数字化产业园</w:t>
      </w:r>
      <w:r>
        <w:rPr>
          <w:rFonts w:hint="eastAsia"/>
        </w:rPr>
        <w:t>。狠抓种业振兴，紧盯强产富农，一是畜牧业数字化方面，研发“养殖场管理APP”，大力推广“掌上牧云APP”和“智慧动检APP”，实现畜牧生产情况在线公布，实时了解全国各地疫情动态、饲料、畜产品价格、点对点技术交流等，到2</w:t>
      </w:r>
      <w:r>
        <w:t>025</w:t>
      </w:r>
      <w:r>
        <w:rPr>
          <w:rFonts w:hint="eastAsia"/>
        </w:rPr>
        <w:t>年，畜牧业数字化覆盖全县养殖场和官方兽医。二是种植业数字化方面，依托5G等数字基础设施，大力推广远程智能农机装备、无人机植保技术和农业生产托管服务，实现试点区域粮食亩均增产10%以上，新建高标准农田1</w:t>
      </w:r>
      <w:r>
        <w:t>5</w:t>
      </w:r>
      <w:r>
        <w:rPr>
          <w:rFonts w:hint="eastAsia"/>
        </w:rPr>
        <w:t>万亩左右。三是农业生产数字化方面，积极推广农作物病虫害智慧测报试验，大力推广和建设农作物病虫疫情田间监测点土壤墒情监测点，实现农业生产数据远程实时传输。四是农产品与农资质量安全追溯数字化方面，研发和推广应用农产品生产追溯系统、农药种子质量追溯系统以及农资进销存管理系统，实现“带证上网、带码上线、带标上市，全程可溯”，力争到2</w:t>
      </w:r>
      <w:r>
        <w:t>025</w:t>
      </w:r>
      <w:r>
        <w:rPr>
          <w:rFonts w:hint="eastAsia"/>
        </w:rPr>
        <w:t>年，覆盖全县农资经营部门和农产品销售部门。五是农村电子商务数字化方面，依托全国农业科教云平台和“云上智农APP”，培训新型职业农民</w:t>
      </w:r>
      <w:r>
        <w:t>10</w:t>
      </w:r>
      <w:r>
        <w:rPr>
          <w:rFonts w:hint="eastAsia"/>
        </w:rPr>
        <w:t>00人以上，合格率1</w:t>
      </w:r>
      <w:r>
        <w:t>00%</w:t>
      </w:r>
      <w:r>
        <w:rPr>
          <w:rFonts w:hint="eastAsia"/>
        </w:rPr>
        <w:t>。大力发展农村电子商务，建设农业专业合作社等。</w:t>
      </w:r>
    </w:p>
    <w:p>
      <w:pPr>
        <w:ind w:firstLine="640"/>
      </w:pPr>
      <w:r>
        <w:rPr>
          <w:rFonts w:hint="eastAsia"/>
        </w:rPr>
        <w:t>“十四五”期间，全面加强科技强农。推进产学研合作育种，加快建设萧县辣椒制种基地，持续擦亮“中国辣椒制种第一县”名牌。全面推进数字化机械强农，建设全程机械化综合农事服务中心，持续扩大农机手和农机合作社理事长培训规模。统筹建设智能种植温室、循环水智能养殖温室、林下经济区、物联网现代化种植区、智慧农业研究院、数字化种植养殖育苗中心、种植养殖数据采集中心、冷链物流集散中心、数字化交易平台等。强化多领域科技支撑，加快数字农业应用场景建设。</w:t>
      </w:r>
    </w:p>
    <w:p>
      <w:pPr>
        <w:ind w:firstLine="643"/>
      </w:pPr>
      <w:r>
        <w:rPr>
          <w:rFonts w:hint="eastAsia"/>
          <w:b/>
          <w:bCs/>
        </w:rPr>
        <w:t>强化二产发展支撑，坚持数字赋能</w:t>
      </w:r>
      <w:r>
        <w:rPr>
          <w:rFonts w:hint="eastAsia"/>
        </w:rPr>
        <w:t>。深化新一代信息技术与制造业融合，推动信息化和工业化深度融合，与信息技术领域头部企业、研究院等建立战略合作关系，致力打造全生态数字化信息平台，加快制造业高端化智能化绿色化发展和数字萧县建设。紧抓市场新机遇，强化“双招双引”，精准发力，数字化赋能新能源汽车产业集群建设，聚力打造汽车零配件、商业综合体、纸板生产、造纸印刷等产业集群和防腐蚀特色产业。</w:t>
      </w:r>
    </w:p>
    <w:p>
      <w:pPr>
        <w:ind w:firstLine="640"/>
      </w:pPr>
      <w:r>
        <w:rPr>
          <w:rFonts w:hint="eastAsia"/>
        </w:rPr>
        <w:t>对于汽车零配件产业，构建一个全产业链的数字化生态系统，实现从原材料采购、设计研发、生产制造到销售和服务等每个环节数据的流通和共享。通过安装传感器和物联网技术，实现实时监测生产线的工作状态，确保生产过程中的每个环节都在最优状态下运行。结合大数据分析，精确预测市场需求，调整生产策略，减少库存积压。通过引入人工智能和机器学习，实现对生产流程的自动优化，提高生产效率和产品质量。对于商业综合体的数字化赋能则需要侧重于消费者体验的提升。利用大数据技术，深入分析消费者的购物习惯、消费偏好和行为轨迹，为消费者提供更为个性化的服务和产品推荐。通过虚拟现实和增强现实技术，商业综合体实现全新的购物体验，如虚拟试衣、3D商品展示等。对于纸板生产、造纸印刷企业，数字化赋能主要集中在生产效率和质量的提升方面。通过安装传感器和物联网技术，实现实时监测生产设备的运行状态，确保设备的正常运行，及时发现和解决问题。结合大数据技术，通过分析生产数据，找出生产流程中的瓶颈和问题，针对性地进行流程优化，帮助纸板生产、造纸印刷企业进行资源和能源的优化管理，确保生产的环境友好性和可持续性。最后，防腐蚀特色产业的数字化赋能则需要重点关注研发和应用。通过数字化技术，构建防腐蚀材料的知识库和数据库，为研发人员提供丰富的数据支持和参考。结合人工智能和机器学习，实现对防腐蚀材料的自动设计和优化，提高材料的性能和应用范围，提高防腐蚀材料的生产效率和质量，确保材料的高性价比和市场竞争力。</w:t>
      </w:r>
    </w:p>
    <w:p>
      <w:pPr>
        <w:ind w:firstLine="640"/>
      </w:pPr>
      <w:r>
        <w:rPr>
          <w:rFonts w:hint="eastAsia"/>
        </w:rPr>
        <w:t>在工业互联网方面，依托数字基础设施及华为公司、羚羊工业互联网平台等到企业开展工业互联网的应用推广、政策宣传及项目申报指导等工作。到2</w:t>
      </w:r>
      <w:r>
        <w:t>025</w:t>
      </w:r>
      <w:r>
        <w:rPr>
          <w:rFonts w:hint="eastAsia"/>
        </w:rPr>
        <w:t>年，汽车零配件产业集群初步建成，引进并落地三产融合重点项目1</w:t>
      </w:r>
      <w:r>
        <w:t>5</w:t>
      </w:r>
      <w:r>
        <w:rPr>
          <w:rFonts w:hint="eastAsia"/>
        </w:rPr>
        <w:t>个左右，建成国家级绿色工厂1个、省级智能工厂1个、省级数字化车间</w:t>
      </w:r>
      <w:r>
        <w:t>2</w:t>
      </w:r>
      <w:r>
        <w:rPr>
          <w:rFonts w:hint="eastAsia"/>
        </w:rPr>
        <w:t>个左右。</w:t>
      </w:r>
    </w:p>
    <w:p>
      <w:pPr>
        <w:ind w:firstLine="643"/>
      </w:pPr>
      <w:r>
        <w:rPr>
          <w:rFonts w:hint="eastAsia"/>
          <w:b/>
          <w:bCs/>
        </w:rPr>
        <w:t>提质三产发展动能</w:t>
      </w:r>
      <w:r>
        <w:rPr>
          <w:rFonts w:hint="eastAsia"/>
        </w:rPr>
        <w:t>，</w:t>
      </w:r>
      <w:r>
        <w:rPr>
          <w:rFonts w:hint="eastAsia"/>
          <w:b/>
          <w:bCs/>
        </w:rPr>
        <w:t>夯实现代服务业</w:t>
      </w:r>
      <w:r>
        <w:rPr>
          <w:rFonts w:hint="eastAsia"/>
        </w:rPr>
        <w:t>。切实加强政策集成，创新工作方式方法，聚力推进三产“锻长补短”十大行动。一是高标准建设省级服务业集聚区。充分发挥张江萧县高科技园资源和产业优势，加速集聚科技服务资源，着力强化企业孵化功能，聚力打造规模体量大、专业化程度高、延伸配套性好、支撑带动力强的科技服务创新高地。首先，强化与聚集区内的研发机构、企事业单位的合作，探索组建一个科技服务联盟，旨在促进知识和技术的交流与合作。探索设立专项基金，支持联盟内的科研项目和技术转化，确保快速地将研发成果转化为实际的产业力量。其次，聚集区内设立专门的创业孵化中心，强化企业孵化功能，为初创企业提供从资金、技术到市场等全方位的支持。此外，鼓励企业与高校和研究机构开展深度合作，共同设立各种研究所和实验室，推动专业化服务的产业链完善和延伸。最后，积极推进与周边城市和区域开展合作，利用聚集区的技术和资源优势，提供各种培训和咨询服务，帮助提升科技创新能力。二是高水平推进产业深度融合。首先，针对服务业与农业的融合发展，依托立亭、曲仙河、张村等区域的自然与农业资源，高起点建设“五彩”农业基地，将现代农业技术与休闲观光相结合。通过引进先进的农业技术和管理模式，提高农产品的品质和产量，同时发展休闲农业和乡村旅游，为游客提供农家乐、特色餐饮、农产品加工等一系列的服务，吸引游客参与体验和购买，实现服务业和农业的深度融合。其次，推动典跃建材科技、亮亮新能源科技等生产性服务业向专业化和价值链高端延伸，鼓励生产性服务业与域内高校、研究机构建立紧密的合作关系，共同研发和推广新技术和新产品，实现从低端制造向价值链高端拓展。最后，强化服务业与旅游业的融合，以丁里镇许堂村入选省乡村旅游“特色美食村”为契机，加大对乡村旅游资源的开发和推广。通过精心打造乡村休闲旅游示范点，提供优质的旅游服务和体验，使旅游业成为萧县经济的重要支柱和增长点。</w:t>
      </w:r>
    </w:p>
    <w:p>
      <w:pPr>
        <w:ind w:firstLine="640"/>
      </w:pPr>
      <w:r>
        <w:rPr>
          <w:rFonts w:hint="eastAsia"/>
        </w:rPr>
        <w:t>坚持用“互联网”与“电子商务”拓展网络销售渠道，巩固提升国家电子商务进农村项目建设成果，全面建设村级综合服务点和便民网点。大力发展农村电商，依托网络销售渠道，拓宽葡萄、白山羊、胡萝卜、高滩萝卜等特色农产品销售渠道。筹办萧县伏羊文化节、皇藏峪桃花节、艺术节等惠民文旅活动，着力深挖市场消费潜力，激发群众旅游文艺消费热情。到2</w:t>
      </w:r>
      <w:r>
        <w:t>025</w:t>
      </w:r>
      <w:r>
        <w:rPr>
          <w:rFonts w:hint="eastAsia"/>
        </w:rPr>
        <w:t>年，实现网络销售额1</w:t>
      </w:r>
      <w:r>
        <w:t>0</w:t>
      </w:r>
      <w:r>
        <w:rPr>
          <w:rFonts w:hint="eastAsia"/>
        </w:rPr>
        <w:t>亿元，打造“伏羊文化节”等萧县特色文旅品牌2到</w:t>
      </w:r>
      <w:r>
        <w:t>3</w:t>
      </w:r>
      <w:r>
        <w:rPr>
          <w:rFonts w:hint="eastAsia"/>
        </w:rPr>
        <w:t>个，农产品网络销售额同比增速高于全市平均水平。</w:t>
      </w:r>
    </w:p>
    <w:p>
      <w:pPr>
        <w:pStyle w:val="3"/>
      </w:pPr>
      <w:bookmarkStart w:id="62" w:name="_Toc146484309"/>
      <w:r>
        <w:rPr>
          <w:rFonts w:hint="eastAsia"/>
        </w:rPr>
        <w:t>第五节 加强网络安全保障，大力建设平安萧县</w:t>
      </w:r>
      <w:bookmarkEnd w:id="62"/>
    </w:p>
    <w:p>
      <w:pPr>
        <w:ind w:firstLine="643"/>
      </w:pPr>
      <w:r>
        <w:rPr>
          <w:rFonts w:hint="eastAsia"/>
          <w:b/>
          <w:bCs/>
        </w:rPr>
        <w:t>建立信息与网络安全管理体系</w:t>
      </w:r>
      <w:r>
        <w:rPr>
          <w:rFonts w:hint="eastAsia"/>
        </w:rPr>
        <w:t>。依据国家《信息安全等级保护管理办法》等法律法规，制定明确的信息安全与网络安全法规、政策等，包括数据隐私保护、网络访问控制、数据传输、数据共享流通、密码管理等方面的规定，加大宣传和学习力度，确保所有相关部门和人员都理解并遵守相关政策与规范。设立专门的信息与网络安全团队，负责监测网络威胁、漏洞和攻击，完善相应的应急预案和流程，以及建立与第三方合作的渠道，确保在网络安全事件发生时能够快速、有效地应对和处置。建立完善的数据备份与恢复机制，定期对重要数据进行备份，并测试数据恢复的有效性，以防止数据丢失或损坏。成立独立的信息安全与网络安全审计机构或委员会，对各部门的信息安全与网络安全措施进行定期检查与评估，确保整体合规性。</w:t>
      </w:r>
    </w:p>
    <w:p>
      <w:pPr>
        <w:ind w:firstLine="643"/>
      </w:pPr>
      <w:r>
        <w:rPr>
          <w:rFonts w:hint="eastAsia"/>
          <w:b/>
          <w:bCs/>
        </w:rPr>
        <w:t>强化网络安全基础设施与技术防护</w:t>
      </w:r>
      <w:r>
        <w:rPr>
          <w:rFonts w:hint="eastAsia"/>
        </w:rPr>
        <w:t>。统一部署信息与网络安全设备与技术，利用强大的防火墙，监控和过滤网络流量，阻止未经授权的访问和恶意攻击。保持网络设备、操作系统、应用程序等的安全更新，修补已知漏洞，防止黑客利用已知漏洞进行攻击。使用安全网关过滤恶意内容和保护终端设备免受网络攻击。部署入侵检测与防御系统（IDS/IPS），实时监测网络中的异常行为和攻击尝试，并采取相应的防御措施。完善虚拟专用网络（VPN），建立安全的远程访问通道，重点加强政务、敏感机构的数据传输，对重要数据进行加密，采用安全的通信协议，如TLS/SSL，确保外部连接与专用网络的安全性。</w:t>
      </w:r>
    </w:p>
    <w:p>
      <w:pPr>
        <w:ind w:firstLine="643"/>
      </w:pPr>
      <w:r>
        <w:rPr>
          <w:rFonts w:hint="eastAsia"/>
          <w:b/>
          <w:bCs/>
        </w:rPr>
        <w:t>完善网络安全应急响应机制</w:t>
      </w:r>
      <w:r>
        <w:rPr>
          <w:rFonts w:hint="eastAsia"/>
        </w:rPr>
        <w:t>。一是明确网络安全应急响应团队成员及其职责，明确各部门和人员在应急响应中的责任和权限，确保响应过程中的高效合作。对网络安全应急团队进行定期培训，提高其应急响应能力。定期组织应急演练，模拟不同类型的安全事件，以检验应急响应的有效性。二是建立详细的网络安全应急响应计划，覆盖从事件发现、报告、响应、处置到恢复等全过程，明确网络安全事件的分类、级别和相应的处理措施。三是设立</w:t>
      </w:r>
      <w:r>
        <w:t>7</w:t>
      </w:r>
      <w:r>
        <w:rPr>
          <w:rFonts w:hint="eastAsia"/>
        </w:rPr>
        <w:t>×</w:t>
      </w:r>
      <w:r>
        <w:t>24</w:t>
      </w:r>
      <w:r>
        <w:rPr>
          <w:rFonts w:hint="eastAsia"/>
        </w:rPr>
        <w:t>的网络安全应急联系渠道，确保网络安全事件能够及时上报和响应。并建立与相关机构和组织的威胁情报共享机制，获取及时有效的威胁情报，从而能够更好地预防和应对网络攻击。四是对信息与网络安全事件的应急响应过程进行详细记录和跟踪，包括事件发生的时间、响应措施、恢复过程等，用于事后分析和总结经验。对应急响应计划进行定期的回顾与评估，根据实际情况和之前的应急事件经验进行持续改进，不断优化和完善应急响应机制，以适应不断变化的威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bCs/>
                <w:sz w:val="30"/>
                <w:szCs w:val="30"/>
              </w:rPr>
            </w:pPr>
            <w:r>
              <w:rPr>
                <w:rFonts w:hint="eastAsia"/>
                <w:b/>
                <w:bCs/>
                <w:sz w:val="30"/>
                <w:szCs w:val="30"/>
              </w:rPr>
              <w:t>专栏7：信息与网络安全建设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2"/>
              <w:rPr>
                <w:sz w:val="30"/>
                <w:szCs w:val="30"/>
              </w:rPr>
            </w:pPr>
            <w:r>
              <w:rPr>
                <w:rFonts w:hint="eastAsia"/>
                <w:b/>
                <w:bCs/>
                <w:sz w:val="30"/>
                <w:szCs w:val="30"/>
              </w:rPr>
              <w:t>探索建立信息与网络安全技术小组</w:t>
            </w:r>
            <w:r>
              <w:rPr>
                <w:rFonts w:hint="eastAsia"/>
                <w:sz w:val="30"/>
                <w:szCs w:val="30"/>
              </w:rPr>
              <w:t>。技术小组由信息与网络安全领域的专家、信息技术人才、政府人员（包括跨区域部门负责人等）、企业代表组成，形成多方协作的合力。主要为数字萧县建设提供科学合理的信息与网络安全战略规划和技术指导，确保数字萧县的信息系统和网络得到全面保障，防范网络攻击和数据泄露等风险，并对数字萧县的信息系统和网络进行风险评估，确定重要基础设施和关键信息系统，并针对不同风险等级制定相应的保障措施。结合国家和国际的信息与网络安全发展趋势，为数字萧县建设提供长远的发展规划和应对策略，确保信息与网络安全与数字萧县建设同步发展。技术小组将加大安全意识的普及力度，定期开展网络安全知识宣传和培训活动，提高数字萧县居民和企业对网络安全的认识和防范意识。到2</w:t>
            </w:r>
            <w:r>
              <w:rPr>
                <w:sz w:val="30"/>
                <w:szCs w:val="30"/>
              </w:rPr>
              <w:t>025</w:t>
            </w:r>
            <w:r>
              <w:rPr>
                <w:rFonts w:hint="eastAsia"/>
                <w:sz w:val="30"/>
                <w:szCs w:val="30"/>
              </w:rPr>
              <w:t>年，力争建成信息与网络安全技术小组，服务萧县数字化和信息化发展。</w:t>
            </w:r>
          </w:p>
          <w:p>
            <w:pPr>
              <w:ind w:firstLine="602"/>
              <w:rPr>
                <w:sz w:val="30"/>
                <w:szCs w:val="30"/>
              </w:rPr>
            </w:pPr>
            <w:r>
              <w:rPr>
                <w:rFonts w:hint="eastAsia"/>
                <w:b/>
                <w:bCs/>
                <w:sz w:val="30"/>
                <w:szCs w:val="30"/>
              </w:rPr>
              <w:t>探索建立信息与网络安全应急联动中心</w:t>
            </w:r>
            <w:r>
              <w:rPr>
                <w:rFonts w:hint="eastAsia"/>
                <w:sz w:val="30"/>
                <w:szCs w:val="30"/>
              </w:rPr>
              <w:t>。强化信息与网络安全响应能力，快速高效地处置网络安全事件，保障数字萧县信息系统与网络的安全稳定运行。整合政府部门、企业机构以及网络安全专家组成跨部门的应急响应技术专家团队，建立实时联动机制，统一指挥调度，在信息与网络安全事件发生时迅速响应，协同处置，及时恢复，最大程度降低损失。建立完善的信息与网络安全事件记录与信息共享机制，定期开展网络安全演练和培训，提高各方的应急响应能力和安全意识。最终建立起一个高效协同、快速响应的信息与网络安全应急联动中心，为数字萧县建设提供坚实的网络安全保障。到2</w:t>
            </w:r>
            <w:r>
              <w:rPr>
                <w:sz w:val="30"/>
                <w:szCs w:val="30"/>
              </w:rPr>
              <w:t>025</w:t>
            </w:r>
            <w:r>
              <w:rPr>
                <w:rFonts w:hint="eastAsia"/>
                <w:sz w:val="30"/>
                <w:szCs w:val="30"/>
              </w:rPr>
              <w:t>年，力争建成信息与网络安全应急联动中心。</w:t>
            </w:r>
          </w:p>
        </w:tc>
      </w:tr>
    </w:tbl>
    <w:p>
      <w:pPr>
        <w:ind w:firstLine="0" w:firstLineChars="0"/>
        <w:sectPr>
          <w:pgSz w:w="11906" w:h="16838"/>
          <w:pgMar w:top="1440" w:right="1800" w:bottom="1440" w:left="1800" w:header="851" w:footer="992" w:gutter="0"/>
          <w:cols w:space="425" w:num="1"/>
          <w:docGrid w:type="lines" w:linePitch="312" w:charSpace="0"/>
        </w:sectPr>
      </w:pPr>
    </w:p>
    <w:p>
      <w:pPr>
        <w:pStyle w:val="2"/>
      </w:pPr>
      <w:bookmarkStart w:id="63" w:name="_Toc146484310"/>
      <w:r>
        <w:rPr>
          <w:rFonts w:hint="eastAsia"/>
        </w:rPr>
        <w:t>第六章 融入区域数字协同</w:t>
      </w:r>
      <w:bookmarkEnd w:id="63"/>
    </w:p>
    <w:p>
      <w:pPr>
        <w:pStyle w:val="3"/>
      </w:pPr>
      <w:bookmarkStart w:id="64" w:name="_Toc146484311"/>
      <w:r>
        <w:rPr>
          <w:rFonts w:hint="eastAsia"/>
        </w:rPr>
        <w:t>第一节 落实区域数字设施互联互通</w:t>
      </w:r>
      <w:bookmarkEnd w:id="64"/>
    </w:p>
    <w:p>
      <w:pPr>
        <w:ind w:firstLine="643"/>
      </w:pPr>
      <w:r>
        <w:rPr>
          <w:rFonts w:hint="eastAsia"/>
          <w:b/>
          <w:bCs/>
        </w:rPr>
        <w:t>建设统一的数字基础设施</w:t>
      </w:r>
      <w:r>
        <w:rPr>
          <w:rFonts w:hint="eastAsia"/>
        </w:rPr>
        <w:t>。落实萧县“十四五”规划中加快网络基础设施建设任务，着重建设统一的数字基础设施，包括高速宽带网络、5G网络覆盖、云计算中心等，以支持各类数字设施的高效互联互通，为萧县各行各业数字化转型提供高速、稳定、可靠的网络连接和数据传输服务。一是加快5G网络规模部署和融合应用，深入拓宽远程医疗、智慧城市、智慧家居、工业互联网等多种应用领域的发展空间。二是建设云计算中心，将计算、存储和应用从本地转移到云端，实现资源的集中管理和统一调度，提高资源利用率和灵活性。三是深入推进“三网”融合和IPv</w:t>
      </w:r>
      <w:r>
        <w:t>6</w:t>
      </w:r>
      <w:r>
        <w:rPr>
          <w:rFonts w:hint="eastAsia"/>
        </w:rPr>
        <w:t>规模部署，统筹布局下一代通信网、下一代广播电视网等基础设施。</w:t>
      </w:r>
    </w:p>
    <w:p>
      <w:pPr>
        <w:ind w:firstLine="643"/>
      </w:pPr>
      <w:r>
        <w:rPr>
          <w:rFonts w:hint="eastAsia"/>
          <w:b/>
          <w:bCs/>
        </w:rPr>
        <w:t>推动标准化和开放性</w:t>
      </w:r>
      <w:r>
        <w:rPr>
          <w:rFonts w:hint="eastAsia"/>
        </w:rPr>
        <w:t>。积极参与制定相关标准，确保各类数字设施采用相同或兼容的技术标准，降低互联互通的障碍，促进数字设施的互操作性，使不同厂家、不同类型的设施能够协同工作，实现资源共建共享。鼓励数字设施的开放性，吸引更多的企业和组织参与，促进资源共建共享。开放性将激发创新，推动数字设施的不断发展和完善。</w:t>
      </w:r>
    </w:p>
    <w:p>
      <w:pPr>
        <w:ind w:firstLine="643"/>
      </w:pPr>
      <w:r>
        <w:rPr>
          <w:rFonts w:hint="eastAsia"/>
          <w:b/>
          <w:bCs/>
        </w:rPr>
        <w:t>建设数字化平台和数据交换中心</w:t>
      </w:r>
      <w:r>
        <w:rPr>
          <w:rFonts w:hint="eastAsia"/>
        </w:rPr>
        <w:t>。建设统一的数字化平台，集成各类数字设施和应用，提供统一的接口和服务，方便用户进行访问和使用，实现数字设施的互联互通，统一管理和调度各类设施，提供统一的用户界面和体验。建设数据交换中心，将各类设施产生的数据汇集起来，进行整合和加工，促进不同设施间的数据共享与交换，为数字化萧县提供更全面、准确的数据支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bCs/>
                <w:sz w:val="30"/>
                <w:szCs w:val="30"/>
              </w:rPr>
            </w:pPr>
            <w:r>
              <w:rPr>
                <w:rFonts w:hint="eastAsia"/>
                <w:b/>
                <w:bCs/>
                <w:sz w:val="30"/>
                <w:szCs w:val="30"/>
              </w:rPr>
              <w:t>专栏8：跨区域数据中台工程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0"/>
              <w:rPr>
                <w:sz w:val="30"/>
                <w:szCs w:val="30"/>
              </w:rPr>
            </w:pPr>
            <w:r>
              <w:rPr>
                <w:rFonts w:hint="eastAsia"/>
                <w:sz w:val="30"/>
                <w:szCs w:val="30"/>
              </w:rPr>
              <w:t>探索建设跨区域数据中台实现挖掘、整合和应用区域各类数据资源，推动数字化转型、智慧城市和跨区域联动建设。数据中台作为区域统一的数据枢纽和管理平台，将集成各类数据源，包括政府部门数据、企业数据、社会数据等，实现数据的共享、交换和开放，为城市决策、服务优化和创新提供强有力的数据支撑。借助先进的数据处理技术，如大数据分析、人工智能等，对数据进行深度挖掘和分析，提供全面、精准的城市信息服务和决策支持。数字萧县在建设跨区域数据中台时，需要考虑以下几个方面：一是数据整合和标准化。不同区域、部门、企业和组织往往拥有大量的数据，这些数据存在不同格式、不同标准和不同质量的问题，建立统一的数据标准和格式，将各类数据进行整合和清洗，确保数据的一致性和可用性。二是建设数据共享与交换平台，为政府部门、企业和社会组织提供数据的共享和交换渠道，避免数据孤岛和信息割裂，提高数据的价值和应用效率。三是通过人工智能等智能化技术，实现数据分析和挖掘，为政府部门提供精准的决策支持，为市民和企业提供智慧城市的个性化服务。</w:t>
            </w:r>
          </w:p>
        </w:tc>
      </w:tr>
    </w:tbl>
    <w:p>
      <w:pPr>
        <w:ind w:firstLine="0" w:firstLineChars="0"/>
      </w:pPr>
    </w:p>
    <w:p>
      <w:pPr>
        <w:pStyle w:val="3"/>
      </w:pPr>
      <w:bookmarkStart w:id="65" w:name="_Toc146484312"/>
      <w:r>
        <w:rPr>
          <w:rFonts w:hint="eastAsia"/>
        </w:rPr>
        <w:t>第二节 加快融入区域数字经济布局</w:t>
      </w:r>
      <w:bookmarkEnd w:id="65"/>
    </w:p>
    <w:p>
      <w:pPr>
        <w:ind w:firstLine="643"/>
      </w:pPr>
      <w:r>
        <w:rPr>
          <w:rFonts w:hint="eastAsia"/>
          <w:b/>
          <w:bCs/>
        </w:rPr>
        <w:t>制定数字经济发展战略</w:t>
      </w:r>
      <w:r>
        <w:rPr>
          <w:rFonts w:hint="eastAsia"/>
        </w:rPr>
        <w:t>。以“数字产业化、产业数字化”为主线，制定明确的数字经济发展战略，与淮海经济区和长三角一体化区域的发展规划相衔接，明确数字经济发展的目标、重点领域、发展方向、政策措施、区域定位和角色等。实现数字化转型和智能化发展，提升城市的综合竞争力和发展潜力。制定支持数字经济发展的政策体系，包括财税政策、金融支持、人才引进等。政策的针对性和灵活性能够为数字经济发展提供有力保障。</w:t>
      </w:r>
    </w:p>
    <w:p>
      <w:pPr>
        <w:ind w:firstLine="643"/>
      </w:pPr>
      <w:r>
        <w:rPr>
          <w:rFonts w:hint="eastAsia"/>
          <w:b/>
          <w:bCs/>
        </w:rPr>
        <w:t>数字产业化</w:t>
      </w:r>
      <w:r>
        <w:rPr>
          <w:rFonts w:hint="eastAsia"/>
        </w:rPr>
        <w:t>。重点依托张江萧县高科技园、萧县电子产业园，大力发展电子信息、互联网服务、软件开发、量子通信等战略性新兴产业。依托张江萧县高科技园省级科技服务聚集区等双创平台，中国矿业大学、江苏师范大学、淮北师范大学萧县创新创业实践基地等深入开展5G规模商用，实施5G在智能制造、智慧教育、智慧交通等领域的示范应用。积极引进和培育一批具有较强竞争力的物联网、云计算、大数据、人工智能、量子通信等领域骨干企业和创新型中小企业，深入推进新一代信息技术在产业发展、民生服务、城市管理等方面的深度应用，为市民和企业提供更便捷高效的服务，提高城市的数字化水平。</w:t>
      </w:r>
    </w:p>
    <w:p>
      <w:pPr>
        <w:ind w:firstLine="643"/>
      </w:pPr>
      <w:r>
        <w:rPr>
          <w:rFonts w:hint="eastAsia"/>
          <w:b/>
          <w:bCs/>
        </w:rPr>
        <w:t>产业数字化</w:t>
      </w:r>
      <w:r>
        <w:rPr>
          <w:rFonts w:hint="eastAsia"/>
        </w:rPr>
        <w:t>。以“互联网+”为引领，重点依托萧县经济开发区，聚焦装备制造、电子信息、新材料等重点行业，促进工业产品研发设计、流程控制、企业管理、市场营销等环节数字化、智能化和现代化，深入推进企业数字化转型。以两化两业深度融合为抓手，协同推动5G、物联网、云计算、大数据、人工智能等新一代信息技术与制造业深度融合与产业应用，创建工业云、工业大数据、工业互联网创新应用试点，建设高质量的工业云服务、工业大数据平台和工业互联网等应用平台，不断推进产业数字化发展，实现数字化转型的目标。</w:t>
      </w:r>
    </w:p>
    <w:p>
      <w:pPr>
        <w:pStyle w:val="3"/>
      </w:pPr>
      <w:bookmarkStart w:id="66" w:name="_Toc146484313"/>
      <w:r>
        <w:rPr>
          <w:rFonts w:hint="eastAsia"/>
        </w:rPr>
        <w:t>第三节 提升共建共享公共服务能力</w:t>
      </w:r>
      <w:bookmarkEnd w:id="66"/>
    </w:p>
    <w:p>
      <w:pPr>
        <w:ind w:firstLine="643"/>
      </w:pPr>
      <w:r>
        <w:rPr>
          <w:rFonts w:hint="eastAsia"/>
          <w:b/>
          <w:bCs/>
        </w:rPr>
        <w:t>共建共享数字服务体系规划</w:t>
      </w:r>
      <w:r>
        <w:rPr>
          <w:rFonts w:hint="eastAsia"/>
        </w:rPr>
        <w:t>。积极参与淮海经济区、长三角一体化、徐州都市圈、结对帮扶城市杭州的数字服务体系规划，明确数字服务发展的定位和角色，与其他地区协商，确定数字服务资源的优化配置和共享机制，实现数字服务的互补和整合。实现多方参与、部门协同、区域协同以及政府与企事业单位、社区居民的协同，拓展沟通渠道、统合业务流程、打通部门壁垒、共享数据资源，实现协同的社会治理与公共服务。</w:t>
      </w:r>
    </w:p>
    <w:p>
      <w:pPr>
        <w:ind w:firstLine="643"/>
      </w:pPr>
      <w:r>
        <w:rPr>
          <w:rFonts w:hint="eastAsia"/>
          <w:b/>
          <w:bCs/>
        </w:rPr>
        <w:t>优化数字资源配置，强化数字基础设施建设</w:t>
      </w:r>
      <w:r>
        <w:rPr>
          <w:rFonts w:hint="eastAsia"/>
        </w:rPr>
        <w:t>。持续优化数字资源配置，提高数字基础设施的共享利用率，加强共建共享的合作机制，为居民和企业提供更便捷、高效、安全的跨区域数字服务，同时与淮海经济区、长三角一体化、徐州都市圈等地区实现数字基础设施的协同发展，共同推动数字经济的繁荣和区域的协同发展。</w:t>
      </w:r>
    </w:p>
    <w:p>
      <w:pPr>
        <w:ind w:firstLine="643"/>
      </w:pPr>
      <w:r>
        <w:rPr>
          <w:rFonts w:hint="eastAsia"/>
          <w:b/>
          <w:bCs/>
        </w:rPr>
        <w:t>跨区域数字项目合作</w:t>
      </w:r>
      <w:r>
        <w:rPr>
          <w:rFonts w:hint="eastAsia"/>
        </w:rPr>
        <w:t>。在与淮海经济区、长三角一体化、徐州都市圈、结对帮扶城市杭州等地区的协同发展中，在数字化政务平台、智慧交通系统、数字化教育资源共享、数字医疗服务、数字产业创新等领域强化跨区域合作，以实现资源优势互补、共同推动数字经济的共同繁荣。</w:t>
      </w:r>
    </w:p>
    <w:p>
      <w:pPr>
        <w:ind w:firstLine="643"/>
      </w:pPr>
      <w:r>
        <w:rPr>
          <w:rFonts w:hint="eastAsia"/>
          <w:b/>
          <w:bCs/>
        </w:rPr>
        <w:t>强化区域沟通与协调机制</w:t>
      </w:r>
      <w:r>
        <w:rPr>
          <w:rFonts w:hint="eastAsia"/>
        </w:rPr>
        <w:t>。建立定期沟通与合作协调机制，与徐州都市圈、淮海经济区、长三角地区等城市及时交流信息，协商解决共同面临的数字建设问题，共同提升共建共享数字服务能力，为区域居民和企业提供更高质量、更便捷的数字服务，推动区域的数字经济协同发展和共同繁荣。</w:t>
      </w:r>
    </w:p>
    <w:p>
      <w:pPr>
        <w:pStyle w:val="3"/>
      </w:pPr>
      <w:bookmarkStart w:id="67" w:name="_Toc146484314"/>
      <w:r>
        <w:rPr>
          <w:rFonts w:hint="eastAsia"/>
        </w:rPr>
        <w:t>第四节 强化区域开放创新协同联动</w:t>
      </w:r>
      <w:bookmarkEnd w:id="67"/>
    </w:p>
    <w:p>
      <w:pPr>
        <w:ind w:firstLine="643"/>
        <w:rPr>
          <w:b/>
          <w:bCs/>
        </w:rPr>
      </w:pPr>
      <w:r>
        <w:rPr>
          <w:rFonts w:hint="eastAsia"/>
          <w:b/>
          <w:bCs/>
        </w:rPr>
        <w:t>增强区域协同联动政策合作</w:t>
      </w:r>
      <w:r>
        <w:rPr>
          <w:rFonts w:hint="eastAsia"/>
        </w:rPr>
        <w:t>。与周边地区应建立数字化协同发展政策对接机制，共同制定区域数字经济发展规划和政策措施，确保政策的衔接和协同。在税收优惠、产业扶持、人才引进等方面开展合作，为企业提供更好的发展环境和政策支持。</w:t>
      </w:r>
    </w:p>
    <w:p>
      <w:pPr>
        <w:ind w:firstLine="643"/>
      </w:pPr>
      <w:r>
        <w:rPr>
          <w:rFonts w:hint="eastAsia"/>
          <w:b/>
          <w:bCs/>
        </w:rPr>
        <w:t>夯实徐州都市圈副中心城市建设</w:t>
      </w:r>
      <w:r>
        <w:rPr>
          <w:rFonts w:hint="eastAsia"/>
        </w:rPr>
        <w:t>。坚持东向发展、扇形对接徐州，以数字基础设施对接为基础、功能融入为重点、协同机制联动为保障，推进与徐州在数字基础设施、数据要素市场、数字化政务、智慧交通系统、智慧教育、数字医疗、数字产业创新、数字化转型等领域互联互融，建立数字产业园、科技创新中心、孵化器等形式的区域协同开放创新平台，彰显同城效应，赋能萧县打造徐州都市圈副中心城市。</w:t>
      </w:r>
    </w:p>
    <w:p>
      <w:pPr>
        <w:ind w:firstLine="643"/>
      </w:pPr>
      <w:r>
        <w:rPr>
          <w:rFonts w:hint="eastAsia"/>
          <w:b/>
          <w:bCs/>
        </w:rPr>
        <w:t>强化省际毗邻地区协同发展</w:t>
      </w:r>
      <w:r>
        <w:rPr>
          <w:rFonts w:hint="eastAsia"/>
        </w:rPr>
        <w:t>。参与共建“3+N”省际毗邻地区新型功能区，建立健全数字产业、数字化转型、数字经济战略决策机制、沟通协调机制、合作运行机制，强化萧县省际毗邻地区优势，推动与徐州在数字化发展方面深度沟通交流。建立数字产业示范项目，共同制定数字经济发展规划，明确各方的责任和任务，形成合力推动数字技术在制造业、农业、服务业等各个领域的应用和普及。加快推进萧县经济开发区智慧园区建设步伐，推动数字产业相促相融、协同协作，通过数字化转型，提升生产效率和产业竞争力，打造数字萧县的优势产业。</w:t>
      </w:r>
    </w:p>
    <w:p>
      <w:pPr>
        <w:ind w:firstLine="643"/>
      </w:pPr>
      <w:r>
        <w:rPr>
          <w:rFonts w:hint="eastAsia"/>
          <w:b/>
          <w:bCs/>
        </w:rPr>
        <w:t>夯实结对共建成效</w:t>
      </w:r>
      <w:r>
        <w:rPr>
          <w:rFonts w:hint="eastAsia"/>
        </w:rPr>
        <w:t>。深入贯彻落实国家发展改革委《沪苏浙城市结对合作帮扶皖北城市实施方案》和《杭州市宿州市结对合作帮扶工作方案》，首先积极引入杭州市拱墅区深厚的数字经济基础和丰富的人才资源，为萧县的数字化建设提供有力的技术和人才支持。双方建立跨区域的数字创新中心，实现技术研发资源的共享和合作，促进数字技术的快速发展和应用。其次，借助拱墅区的先进经验和模式，加快数字基础设施建设，提升数字服务水平和应用范围，实现数字经济与实体经济的深度融合。如在萧县建设智能制造、智慧农业等示范项目，借力拱墅区的技术和市场优势，加速项目实施和成果转化。共建数字人才培训基地和研发中心，不断增强数字领域的人才储备和创新能力。设立双方经济合作和交流机制，如定期举办经济发展论坛、企业对接会等活动，加深双方经济文化往来和友好合作关系，实现区域间的数字化协同发展，加快萧县数字经济的步伐，提升萧县整体经济社会发展水平。</w:t>
      </w:r>
    </w:p>
    <w:p>
      <w:pPr>
        <w:ind w:firstLine="643"/>
      </w:pPr>
      <w:r>
        <w:rPr>
          <w:rFonts w:hint="eastAsia"/>
          <w:b/>
          <w:bCs/>
        </w:rPr>
        <w:t>强化数字产业联动</w:t>
      </w:r>
      <w:r>
        <w:rPr>
          <w:rFonts w:hint="eastAsia"/>
        </w:rPr>
        <w:t>。牵头成立数字产业联盟，邀请淮海经济区、徐州都市圈等区域数字产业领军企业、科研院所、创新孵化器等相关机构参与，促进数字产业内部的合作与交流，成数字产业链的协同发展。鼓励萧县本地企业加强与区域内上下游企业的合作，形成完整的区域数字产业链，共同解决行业面临的挑战，协同推动数字技术创新和产业升级。促进数字产业与其他传统产业的融合，如数字农业、数字医疗、数字文化等。通过跨界融合，数字产业可以拓展新的市场和应用领域，实现创新发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bCs/>
                <w:sz w:val="30"/>
                <w:szCs w:val="30"/>
              </w:rPr>
            </w:pPr>
            <w:r>
              <w:rPr>
                <w:rFonts w:hint="eastAsia"/>
                <w:b/>
                <w:bCs/>
                <w:sz w:val="30"/>
                <w:szCs w:val="30"/>
              </w:rPr>
              <w:t>专栏9：数字经济发展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2"/>
              <w:rPr>
                <w:sz w:val="30"/>
                <w:szCs w:val="30"/>
              </w:rPr>
            </w:pPr>
            <w:r>
              <w:rPr>
                <w:rFonts w:hint="eastAsia"/>
                <w:b/>
                <w:bCs/>
                <w:sz w:val="30"/>
                <w:szCs w:val="30"/>
              </w:rPr>
              <w:t>信息化赋能产业数字化</w:t>
            </w:r>
            <w:r>
              <w:rPr>
                <w:rFonts w:hint="eastAsia"/>
                <w:sz w:val="30"/>
                <w:szCs w:val="30"/>
              </w:rPr>
              <w:t>。依托萧县数字产业基础，做大做强淮海经济区、徐州都市圈数字经济基地。人工智能、云计算、大数据、5G、物联网、区块链等新兴产业和数字创意产业加快发展，数字经济成为重要引擎。新技术与实体经济逐步深度融合，新产品、新业态、新模式创新活跃，智能制造、智慧农业、电子商务、智慧物流等融合产业发展迅猛，电子商务持续发展。推动互联网、大数据、物联网与农业农村发展融合，初步形成特色农产品质量安全追溯、产销联盟、产销一体化标准体系。</w:t>
            </w:r>
          </w:p>
          <w:p>
            <w:pPr>
              <w:ind w:firstLine="602"/>
              <w:rPr>
                <w:sz w:val="30"/>
                <w:szCs w:val="30"/>
              </w:rPr>
            </w:pPr>
            <w:r>
              <w:rPr>
                <w:b/>
                <w:bCs/>
                <w:sz w:val="30"/>
                <w:szCs w:val="30"/>
              </w:rPr>
              <w:t>强化信息化赋能和驱动作用</w:t>
            </w:r>
            <w:r>
              <w:rPr>
                <w:rFonts w:hint="eastAsia"/>
                <w:sz w:val="30"/>
                <w:szCs w:val="30"/>
              </w:rPr>
              <w:t>。一是着力提升信息基础设施，夯实信息产业上游链。加快5G、工业互联网、大数据中心、智算中心、城市大脑等建设，建成一批数字化基础设施集群。实施“人工智能+”应用示范工程，建设面向人工智能技术的公共数据资源库、云服务平台等基础数据平台。二是加强信息化建设，强化信息产业中游链。深化与数字经济头部企业战略合作，重点围绕智能工厂、智慧教育、智慧交通、智慧物流等成长潜力大的信息方向，打造场景应用试点示范工程。推动智能制造产业建设，打造产供销一体的数字经济。三是高效利用数字资源，做强信息产业下游链。深度挖掘交通运输、公共卫生、经济活动、文化旅游等大数据资源价值，实现数据资源增值；全面推动“智慧城市”向“未来城市”升级，推广智慧管网、智慧建筑、交通物流等应用场景的感知设施部署，实现对城市精准分析、整体研判、协同智慧、科学管理；开发各类便民应用，大力发展惠及全民的智慧养老、智慧医疗、智慧教育、智慧人社、等智慧服务。</w:t>
            </w:r>
          </w:p>
        </w:tc>
      </w:tr>
    </w:tbl>
    <w:p>
      <w:pPr>
        <w:ind w:firstLine="640"/>
        <w:sectPr>
          <w:pgSz w:w="11906" w:h="16838"/>
          <w:pgMar w:top="1440" w:right="1800" w:bottom="1440" w:left="1800" w:header="851" w:footer="992" w:gutter="0"/>
          <w:cols w:space="425" w:num="1"/>
          <w:docGrid w:type="lines" w:linePitch="312" w:charSpace="0"/>
        </w:sectPr>
      </w:pPr>
    </w:p>
    <w:p>
      <w:pPr>
        <w:pStyle w:val="2"/>
      </w:pPr>
      <w:bookmarkStart w:id="68" w:name="_Toc146484315"/>
      <w:r>
        <w:rPr>
          <w:rFonts w:hint="eastAsia"/>
        </w:rPr>
        <w:t>第七章 提升数字治理与服务水平</w:t>
      </w:r>
      <w:bookmarkEnd w:id="68"/>
    </w:p>
    <w:p>
      <w:pPr>
        <w:pStyle w:val="3"/>
      </w:pPr>
      <w:bookmarkStart w:id="69" w:name="_Toc146484316"/>
      <w:r>
        <w:rPr>
          <w:rFonts w:hint="eastAsia"/>
        </w:rPr>
        <w:t>第一节 数字治理</w:t>
      </w:r>
      <w:bookmarkEnd w:id="69"/>
    </w:p>
    <w:p>
      <w:pPr>
        <w:pStyle w:val="4"/>
        <w:ind w:firstLine="640"/>
      </w:pPr>
      <w:bookmarkStart w:id="70" w:name="_Toc146484317"/>
      <w:r>
        <w:rPr>
          <w:rFonts w:hint="eastAsia"/>
        </w:rPr>
        <w:t>一、完善数字政府管理</w:t>
      </w:r>
      <w:bookmarkEnd w:id="70"/>
    </w:p>
    <w:p>
      <w:pPr>
        <w:ind w:firstLine="640"/>
      </w:pPr>
      <w:r>
        <w:rPr>
          <w:rFonts w:hint="eastAsia"/>
        </w:rPr>
        <w:t>“互联网+政务服务”深入推进，全面接入安徽省政务服务网宿州分厅和“皖事通”宿州分厅平台，全面建成7×24小时不打烊的网上政府，打造“一证注册”“全程网办”“一网通办”的市民服务平台。深化政务服务“一网一门一次”改革，推进“不见面审批（服务）”等线上线下全面融合，在更大范围内实现“一网通办”“最多跑一次”，完善7×24小时不打烊“随时办”服务机制，实现长三角区域政务服务“异地可办”。推进“互联网+营商环境监测”，推进政务服务标准化、规范化、便利化，推动萧县营商环境走在宿州市及淮海经济区前列。加快推进“互联网+政务服务”，打破“信息孤岛”，深化“一网一门一次”改革。到2</w:t>
      </w:r>
      <w:r>
        <w:t>025</w:t>
      </w:r>
      <w:r>
        <w:rPr>
          <w:rFonts w:hint="eastAsia"/>
        </w:rPr>
        <w:t>年，基本建立“慧办事、慧审批、慧监管”智慧政务新模式，打造具有萧县特色的“政务服务超市”品牌。</w:t>
      </w:r>
    </w:p>
    <w:p>
      <w:pPr>
        <w:pStyle w:val="4"/>
        <w:ind w:firstLine="640"/>
      </w:pPr>
      <w:bookmarkStart w:id="71" w:name="_Toc146484318"/>
      <w:r>
        <w:rPr>
          <w:rFonts w:hint="eastAsia"/>
        </w:rPr>
        <w:t>二、强化智慧园区建设</w:t>
      </w:r>
      <w:bookmarkEnd w:id="71"/>
    </w:p>
    <w:p>
      <w:pPr>
        <w:ind w:firstLine="640"/>
      </w:pPr>
      <w:r>
        <w:rPr>
          <w:rFonts w:hint="eastAsia"/>
        </w:rPr>
        <w:t>以智能化、创新化、信息化为发展方向，重点发展张江萧县高科技园、萧县经济开发区等园区数字化转型升级。推进大数据、人工智能、物联网、工业互联网等新一代信息技术融入园区建设、产业发展、运营服务深度融合。建设智能工厂、数字化车间和生产线，推进园区产业发展信息化。建立数据资源共享机制，并加速推进智能化应用系统、绿色节能管理和政务办公服务平台等综合管理平台的建设，形成产业互通、全县联动的智慧园区大脑体系。鼓励和支持各园区创建示范试点智慧园区，以推动数字萧县整体建设的进展。到2</w:t>
      </w:r>
      <w:r>
        <w:t>025</w:t>
      </w:r>
      <w:r>
        <w:rPr>
          <w:rFonts w:hint="eastAsia"/>
        </w:rPr>
        <w:t>年，初步建成1至2个示范性智能工厂和智慧园区。</w:t>
      </w:r>
    </w:p>
    <w:p>
      <w:pPr>
        <w:pStyle w:val="4"/>
        <w:ind w:firstLine="640"/>
      </w:pPr>
      <w:bookmarkStart w:id="72" w:name="_Toc146484319"/>
      <w:r>
        <w:rPr>
          <w:rFonts w:hint="eastAsia"/>
        </w:rPr>
        <w:t>三、加强数字乡村治理</w:t>
      </w:r>
      <w:bookmarkEnd w:id="72"/>
    </w:p>
    <w:p>
      <w:pPr>
        <w:ind w:firstLine="640"/>
      </w:pPr>
      <w:r>
        <w:rPr>
          <w:rFonts w:hint="eastAsia"/>
        </w:rPr>
        <w:t>认真贯彻落实2019年5月中共中央办公厅、国务院办公厅印发的《数字乡村发展战略纲要》，实施数字乡村行动。一是建立完善农村公共服务平台。推动乡村政务、财务等日常事务公开，提高村民参与度，实现城乡基本公共服务均等化。二是推动“互联网+社区”向农村延伸，构建农村社区公共服务综合信息平台。大力推动乡村建设和规划管理信息化，提高村级综合服务信息化水平。三是建立完善农村基层政务平台，推动“互联网+政务”服务。建立村级“小微权力”数据监督平台，把村民比较关心的民生救助、低保、养老保险等各类村级“小微权力”运行过程和办理结果在网上公示，使每位村民都可以查看村级事务、监督和参与管理村级事务。四是创新乡村振兴模式，促进数字萧县大数据精准帮扶平台建设，实现帮扶基础信息精准分析、帮扶干部精准管理、帮扶责任人与帮扶对象精准对接。</w:t>
      </w:r>
    </w:p>
    <w:p>
      <w:pPr>
        <w:pStyle w:val="4"/>
        <w:ind w:firstLine="640"/>
      </w:pPr>
      <w:bookmarkStart w:id="73" w:name="_Toc146484320"/>
      <w:r>
        <w:rPr>
          <w:rFonts w:hint="eastAsia"/>
        </w:rPr>
        <w:t>四、推进智慧社区治理</w:t>
      </w:r>
      <w:bookmarkEnd w:id="73"/>
    </w:p>
    <w:p>
      <w:pPr>
        <w:ind w:firstLine="640"/>
      </w:pPr>
      <w:r>
        <w:rPr>
          <w:rFonts w:hint="eastAsia"/>
        </w:rPr>
        <w:t>实施“互联网+社区”行动。建立综合信息平台，实现政府、居民、企业等各方数据的共享，为智慧社区治理提供科学依据。推进智能安防系统，通过智能化监控与人工智能技术，提高社区治安水平，保障居民安全。构建智慧社区服务平台，提供便捷的在线办事、信息查询和社区活动服务，增强社区凝聚力。推动社区数字化教育，提供在线学习平台，提升居民的数字素养和教育水平。引入智能化环保措施，如垃圾分类回收系统和智能节能设备，推进社区绿色环保。发展智慧社区交通，优化交通组织与管理，提高交通效率，缓解交通拥堵。鼓励社区创新创业，提供创业支持与优惠政策，推动智慧社区产业发展。到2</w:t>
      </w:r>
      <w:r>
        <w:t>025</w:t>
      </w:r>
      <w:r>
        <w:rPr>
          <w:rFonts w:hint="eastAsia"/>
        </w:rPr>
        <w:t>年，逐步建设起智慧社区治理体系，推进社区治理的现代化与智能化，提升居民生活品质，推动数字化转型与社会发展的全面提升。</w:t>
      </w:r>
    </w:p>
    <w:p>
      <w:pPr>
        <w:pStyle w:val="4"/>
        <w:ind w:firstLine="640"/>
      </w:pPr>
      <w:bookmarkStart w:id="74" w:name="_Toc146484321"/>
      <w:r>
        <w:rPr>
          <w:rFonts w:hint="eastAsia"/>
        </w:rPr>
        <w:t>五、赋能应急联动管理</w:t>
      </w:r>
      <w:bookmarkEnd w:id="74"/>
    </w:p>
    <w:p>
      <w:pPr>
        <w:ind w:firstLine="640"/>
      </w:pPr>
      <w:r>
        <w:rPr>
          <w:rFonts w:hint="eastAsia"/>
        </w:rPr>
        <w:t>充分利用现代信息技术和数字化手段，赋能各部门、机构和相关人员之间协调配合，迅速响应和应对城市管理和服务中的突发事件。一是建立数字化的应急联动平台，集成各类应急信息和资源，实时监测城市的安全风险、天气变化、交通情况等数据，并与应急响应机构、医疗机构、警察、消防等部门进行实时联动。平台支持多样化的信息交流渠道，包括手机短信、手机应用、社交媒体、电子邮件等，以确保及时传递重要信息。二是利用大数据和人工智能技术对城市的历史应急数据进行分析，识别潜在的风险点和应急需求，预测可能发生的紧急情况，以及了解不同区域的脆弱性和敏感性，提前做好准备和规划。三是应用数字化手段，提供智能化、个性化和实用的应急服务，指引市民和应急人员前往最近的安全区域或医疗救援点。四是强化公众参与。利用社交媒体和其他数字渠道，加强与市民的互动和沟通。在紧急情况下，市民可以通过数字平台报告灾害情况和求助，同时政府也可以通过这些渠道发布应急信息和指导措施。</w:t>
      </w:r>
    </w:p>
    <w:p>
      <w:pPr>
        <w:pStyle w:val="4"/>
        <w:ind w:firstLine="640"/>
      </w:pPr>
      <w:bookmarkStart w:id="75" w:name="_Toc146484322"/>
      <w:r>
        <w:rPr>
          <w:rFonts w:hint="eastAsia"/>
        </w:rPr>
        <w:t>六、提升公共安全管理</w:t>
      </w:r>
      <w:bookmarkEnd w:id="75"/>
    </w:p>
    <w:p>
      <w:pPr>
        <w:ind w:firstLine="640"/>
      </w:pPr>
      <w:r>
        <w:rPr>
          <w:rFonts w:hint="eastAsia"/>
        </w:rPr>
        <w:t>充分利用现代信息技术和数字化手段，建设能够在预防、监测、应急响应等方面全面提升数字萧县公共安全管理水平。一是建立智慧城市全域监控系统。在城市各个角落部署高清摄像头和传感器，实时监测公共区域的活动情况，如人流量、车流量等。引入人工智能和图像识别技术，自动识别异常行为，如拥堵、火灾、交通事故等，及时预警并派遣应急人员进行处理，有效遏制潜在的安全隐患，实现公共安全的主动预防。二是构建全民参与的公共安全信息共享平台。通过推广智能手机APP和社交媒体，市民可以实时报告安全问题、交通拥堵、犯罪线索等信息，使公众成为公共安全的重要信息源。政府部门借助数字平台对市民反馈的信息进行实时处理，并向市民发布重要的安全提示和预警信息，提高公众对安全问题的认知和应对能力。通过信息共享平台广播、短信等多样化途径传达安全知识，提高市民的安全防范意识，促进公众参与公共安全管理的主动性和积极性。三是深入推进公共安全信息共享和跨部门合作。打破信息孤岛，实现不同部门之间的信息互通共享。交通、公安、消防等部门可以通过信息共享数字平台实时交流信息，协调处理紧急事件。在跨部门合作方面，建立跨部门联动的应急机制和统一的指挥调度中心，实现对多个部门的统一协调和指挥更加高效，形成合力，从而提高公共安全管理的综合应对能力。</w:t>
      </w:r>
    </w:p>
    <w:p>
      <w:pPr>
        <w:pStyle w:val="4"/>
        <w:ind w:firstLine="640"/>
      </w:pPr>
      <w:bookmarkStart w:id="76" w:name="_Toc146484323"/>
      <w:r>
        <w:rPr>
          <w:rFonts w:hint="eastAsia"/>
        </w:rPr>
        <w:t>七、落实互联网+监管</w:t>
      </w:r>
      <w:bookmarkEnd w:id="76"/>
    </w:p>
    <w:p>
      <w:pPr>
        <w:ind w:firstLine="640"/>
        <w:rPr>
          <w:rFonts w:ascii="仿宋" w:hAnsi="仿宋" w:cs="仿宋"/>
          <w:szCs w:val="32"/>
        </w:rPr>
      </w:pPr>
      <w:r>
        <w:rPr>
          <w:rFonts w:hint="eastAsia"/>
        </w:rPr>
        <w:t>深入推进和落实</w:t>
      </w:r>
      <w:r>
        <w:rPr>
          <w:rFonts w:hint="eastAsia" w:ascii="仿宋" w:hAnsi="仿宋" w:cs="仿宋"/>
          <w:szCs w:val="32"/>
        </w:rPr>
        <w:t>“互联网+营商环境监测”行动，建设一个全面集成各类营商环境数据的数字化监测平台，汇集政府部门、企业和市场主体的数据，包括政策法规、经济指标、企业运营数据等，实现数据共享和互联互通。建立监测反馈机制和加强数据安全保护等措施，可以实现政府与企业之间信息的高效流通，提升营商环境监测的精准度和效率，为企业提供更优质的服务。构建一个集成多领域监管信息的数字化监管平台，整合政府部门、企业和市场主体的监管数据，实现信息的实时共享和互通。通过数字监管平台，政府监管部门可以更加高效地获取各领域的监管信息，及时发现问题和隐患。同时，企业和市场主体也可以通过平台了解监管政策和标准，提高遵纪守法意识，形成自律和自我监管机制。</w:t>
      </w:r>
    </w:p>
    <w:p>
      <w:pPr>
        <w:pStyle w:val="3"/>
      </w:pPr>
      <w:bookmarkStart w:id="77" w:name="_Toc146484324"/>
      <w:r>
        <w:rPr>
          <w:rFonts w:hint="eastAsia"/>
        </w:rPr>
        <w:t>第二节 数字服务</w:t>
      </w:r>
      <w:bookmarkEnd w:id="77"/>
    </w:p>
    <w:p>
      <w:pPr>
        <w:pStyle w:val="4"/>
        <w:ind w:firstLine="640"/>
      </w:pPr>
      <w:bookmarkStart w:id="78" w:name="_Toc146484325"/>
      <w:r>
        <w:rPr>
          <w:rFonts w:hint="eastAsia"/>
        </w:rPr>
        <w:t>一、加大智慧教育投入</w:t>
      </w:r>
      <w:bookmarkEnd w:id="78"/>
    </w:p>
    <w:p>
      <w:pPr>
        <w:ind w:firstLine="640"/>
      </w:pPr>
      <w:r>
        <w:rPr>
          <w:rFonts w:hint="eastAsia"/>
        </w:rPr>
        <w:t>以安徽省基础教育资源应用平台为指导，依托宿州市“1+9+N”智慧教育体育大平台，引进徐州优质教育资源，大力发展在线教育。坚持对全县中小学智慧学校建设进行统一规划、统一设计、统一标准、统一平台、统一数据库资源的标准要求实施建设规划，优先教学点和乡村中小学智慧学校建设，着力解决农村师资不足、课程不齐等问题，优先推进智慧课堂教学应用，提高教育教学质量和效率。一是构建萧县智慧教育体系，强化教育资源统一接入支撑，推进教育监管、教育行政管理、师生管理、校园管理等工作智慧化发展，夯实多媒体教室、校园网络、智慧课堂建设基础，持续创建和引进“名师课堂”、“网络课堂”等名师直播课、教研直播、师资培训、家校互动、职业教育等在线教育平台。二是深入推进数字技术与教育教学深度融合发展。打造全面智慧化的校园环境，提供先进的数字化教学设施和工具，让教师和学生能够充分利用数字技术进行教学和学习。建设集中式的数字化教育资源平台，整合教学资源，方便教师和学生获取优质教学内容。三是建立科学的评估体系，定期对数字技术与教育教学融合发展的成效进行评估，发现问题及时改进。鼓励教师和学校分享成功经验，形成良好的教学模式和经验传承机制。到2</w:t>
      </w:r>
      <w:r>
        <w:t>025</w:t>
      </w:r>
      <w:r>
        <w:rPr>
          <w:rFonts w:hint="eastAsia"/>
        </w:rPr>
        <w:t>年，萧县实现智慧学校建设全覆盖，累计建设智慧学校</w:t>
      </w:r>
      <w:r>
        <w:t>249</w:t>
      </w:r>
      <w:r>
        <w:rPr>
          <w:rFonts w:hint="eastAsia"/>
        </w:rPr>
        <w:t>所，精品录播教室10间左右，智慧课堂网络改造13</w:t>
      </w:r>
      <w:r>
        <w:t>0</w:t>
      </w:r>
      <w:r>
        <w:rPr>
          <w:rFonts w:hint="eastAsia"/>
        </w:rPr>
        <w:t>校左右，智慧学校建设覆盖率100%。</w:t>
      </w:r>
    </w:p>
    <w:p>
      <w:pPr>
        <w:pStyle w:val="4"/>
        <w:ind w:firstLine="640"/>
      </w:pPr>
      <w:bookmarkStart w:id="79" w:name="_Toc146484326"/>
      <w:r>
        <w:rPr>
          <w:rFonts w:hint="eastAsia"/>
        </w:rPr>
        <w:t>二、推动智慧医疗应用</w:t>
      </w:r>
      <w:bookmarkEnd w:id="79"/>
    </w:p>
    <w:p>
      <w:pPr>
        <w:ind w:firstLine="640"/>
      </w:pPr>
      <w:r>
        <w:rPr>
          <w:rFonts w:hint="eastAsia"/>
        </w:rPr>
        <w:t>大力发展智慧医疗，加快实现卫生健康全面数字化转型。一是建成医疗健康信息平台，大力开展电子健康码和医保电子凭证推广使用。二是完善智慧医保服务。建立全面智能化的医保信息系统，整合医疗保障和支付数据，提高数据的共享和流通效率。确保信息准确传递，简化医保服务流程，提升用户体验。推广使用电子医保卡和移动支付等便捷支付方式，让参保人员能够在线实现医疗费用的结算和报销，提高医保支付的便利性和时效性。利用大数据技术对医保数据进行深度分析，挖掘医疗服务的优化空间，精准识别患者需求，优化医疗资源配置，降低医保费用支出。三是建设智慧医院。鼓励和支持医疗机构、医疗企业联合开展智慧门诊和智慧医院建设，建设全面的电子病历系统、电子健康档案、医院信息管理系统等，以及医院内部各个科室之间的信息互通和共享，从而实现医疗信息的数字化存储和交换。引入智能化医疗设备和系统，如远程医疗设备、医疗机器人、智能药柜等，提高医疗诊疗效率和准确性，同时降低医疗事故风险。</w:t>
      </w:r>
    </w:p>
    <w:p>
      <w:pPr>
        <w:pStyle w:val="4"/>
        <w:ind w:firstLine="640"/>
      </w:pPr>
      <w:bookmarkStart w:id="80" w:name="_Toc146484327"/>
      <w:r>
        <w:rPr>
          <w:rFonts w:hint="eastAsia"/>
        </w:rPr>
        <w:t>三、推广智慧养老模式</w:t>
      </w:r>
      <w:bookmarkEnd w:id="80"/>
    </w:p>
    <w:p>
      <w:pPr>
        <w:ind w:firstLine="640"/>
      </w:pPr>
      <w:r>
        <w:rPr>
          <w:rFonts w:hint="eastAsia"/>
        </w:rPr>
        <w:t>完善县、乡、村养老服务“三级中心”建设，实施智慧养老民生工程。一是建设智慧养老服务平台，整合养老资源，包括养老院、社区养老服务机构、医疗机构等，提供全方位的养老服务信息，便于老年人和家属选择适合的养老服务方式。二是推广智慧养老设施，如智能助行器、智能床垫等，提升老年人的居家生活质量和安全性。三是引入智慧养老服务机器人，提供陪伴、照料和娱乐等服务，减轻养老人员的生活负担，改善养老服务供给不足的问题。四是发展智慧健康监测技术，建立老年人健康档案，实时监测老年人的健康状态，兼顾老年期需求和全生命周期准备，聚焦培育抗衰老、智慧健康养老等潜力产业，着力解决老年助餐、失能照护等急难愁盼事项。推动养老服务信息化和数字化，提供在线咨询、预约服务等，方便老年人和家属获取养老服务信息和资源。</w:t>
      </w:r>
    </w:p>
    <w:p>
      <w:pPr>
        <w:pStyle w:val="4"/>
        <w:ind w:firstLine="640"/>
      </w:pPr>
      <w:bookmarkStart w:id="81" w:name="_Toc146484328"/>
      <w:r>
        <w:rPr>
          <w:rFonts w:hint="eastAsia"/>
        </w:rPr>
        <w:t>四、完善智慧人社服务</w:t>
      </w:r>
      <w:bookmarkEnd w:id="81"/>
    </w:p>
    <w:p>
      <w:pPr>
        <w:ind w:firstLine="640"/>
      </w:pPr>
      <w:r>
        <w:rPr>
          <w:rFonts w:hint="eastAsia"/>
        </w:rPr>
        <w:t>充分结合淮海经济区、长三角一体化、徐州都市圈建设，完善智慧人社服务，促进经济社会的协同发展。一是建设智慧人才服务平台，整合各类人才信息和需求，提供精准的人才招聘和培训服务，助力企业吸引和留住高素质人才。二是推进智慧就业服务，建立全面在线化的招聘和求职平台，提供个性化的职业规划和职业咨询，加强大数据分析，精准匹配人才和用人需求，打造人才培训和用人对接的“云课堂”。三是发展智慧社保服务，建设数字社保平台，实现社保信息的自动化和互联互通，提高社保业务办理效率和服务质量。四是推进智慧劳动保障服务，实现劳动保障信息的在线化管理和查询，提高劳动保障服务的便捷性和透明度。五是建设数字萧县智慧人社综合服务平台，实现人社服务信息的集中化管理和共享，提供一站式智慧人社服务，提高服务效率和便捷性。</w:t>
      </w:r>
    </w:p>
    <w:p>
      <w:pPr>
        <w:ind w:firstLine="640"/>
      </w:pPr>
      <w:r>
        <w:rPr>
          <w:rFonts w:hint="eastAsia"/>
        </w:rPr>
        <w:t>智慧人社服务建设主要侧重于优化服务流程、拓展服务渠道和提升服务效能三大方向。首先，通过大数据和人工智能技术的应用，实现对各类社会和人口数据的实时采集、分析和处理，形成全面、精准的社会和人口信息数据库，以支持政策制定和服务提供。同时，依托“皖事通”，并借助云计算和物联网技术，搭建综合的线上服务场景，实现各类社会服务的线上化和智能化，为群众提供便捷、高效的在线服务体验，随时随地办理各类业务，如社保缴费、公积金查询、就业服务、福利申请等。在服务内容和形式上，通过对各类服务需求的深入分析和研究，持续优化和拓展服务内容和方式，以满足不同群体和个人的多元化服务需求。例如针对老年人和残疾人等特殊群体，提供定制化和个性化的服务方案，确保每个人都能享受到贴心、周到的服务。积极引入社会资本和力量，通过政府与社会组织、企业的合作，共同推进智慧人社服务体系的建设，实现服务资源的优化配置和共享利用，不断提升服务质量和效益，促进经济社会的协同发展，实现深度融入淮海经济区、长三角一体化和徐州都市圈的发展战略。</w:t>
      </w:r>
    </w:p>
    <w:p>
      <w:pPr>
        <w:pStyle w:val="4"/>
        <w:ind w:firstLine="640"/>
      </w:pPr>
      <w:bookmarkStart w:id="82" w:name="_Toc146484329"/>
      <w:r>
        <w:rPr>
          <w:rFonts w:hint="eastAsia"/>
        </w:rPr>
        <w:t>五、推进智慧人文建设</w:t>
      </w:r>
      <w:bookmarkEnd w:id="82"/>
    </w:p>
    <w:p>
      <w:pPr>
        <w:ind w:firstLine="640"/>
      </w:pPr>
      <w:r>
        <w:rPr>
          <w:rFonts w:hint="eastAsia"/>
        </w:rPr>
        <w:t>加强公共文化产品和服务供给，加快实施文化馆、图书馆、博物馆、美术馆、档案馆、体育馆和广电中心“六馆一中心”建设工程，深入推进数字图书馆、数字文化馆、智慧博物馆建设，实施“书香萧县”行动，借助数字技术，将丰富的文化资料数字化，推出在线文化展览和数字化文化体验，让人们可以随时随地获取文化知识，提升文化传播的覆盖率和传播力，打通公共文化服务“最后一公里”。依托萧县的著名特色农产品——葡萄，以及羊肉资源，打造羊肉美食小镇，举办羊肉美食文化节等活动推进电商、直播带货等。建设智慧红色旅游平台，通过移动应用、虚拟现实技术等手段，提供丰富的红色旅游线路和导览服务，让游客随时随地了解红色历史和文化。加强红色文化遗产的数字化保护、传承和利用。利用数字化技术对红色文化遗产进行全面记录和数字化存档，建立红色文化遗产数据库，确保其历史价值得以传承。建设红色文化数字展示中心，集中展示萧县的红色历史和文化，开展线上线下的爱国主义教育活动，提高萧县红色文化品牌的知名度和影响力，以数字化手段吸引更多游客前来参观学习。</w:t>
      </w:r>
    </w:p>
    <w:p>
      <w:pPr>
        <w:pStyle w:val="4"/>
        <w:ind w:firstLine="640"/>
      </w:pPr>
      <w:bookmarkStart w:id="83" w:name="_Toc146484330"/>
      <w:r>
        <w:rPr>
          <w:rFonts w:hint="eastAsia"/>
        </w:rPr>
        <w:t>六、优化智慧交通出行</w:t>
      </w:r>
      <w:bookmarkEnd w:id="83"/>
    </w:p>
    <w:p>
      <w:pPr>
        <w:ind w:firstLine="640"/>
      </w:pPr>
      <w:r>
        <w:rPr>
          <w:rFonts w:hint="eastAsia"/>
        </w:rPr>
        <w:t>积极推进智慧交通出行建设，实现淮海经济区、长三角区域和徐州都市圈之间高效、便捷、智能交通互联互通。一是建设智慧交通信息平台，整合区域交通信息和实时数据，包括公路、铁路、航空等多种交通方式，实现跨区域交通信息的共享和互通。二是推广智慧交通支付系统，打通各地交通支付渠道，让市民在不同区域之间出行可以使用同一种支付方式，提高出行的便捷性和效率。三是建设智慧公交系统，推广电子公交卡、移动支付等方式，提供实时公交信息查询和公交线路规划，改善公共交通服务质量。四是推动智慧出租车服务，引入智能调度和导航系统，提高出租车运营效率和服务质量。五是建设智慧停车系统，利用大数据技术实现智能停车导引，提供实时停车位信息，减少停车难题。六是建设智慧交通监管系统，利用视频监控和人工智能技术，实现交通违法行为的自动监测和处理，提高交通安全管理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bCs/>
                <w:sz w:val="30"/>
                <w:szCs w:val="30"/>
              </w:rPr>
            </w:pPr>
            <w:r>
              <w:rPr>
                <w:rFonts w:hint="eastAsia"/>
                <w:b/>
                <w:bCs/>
                <w:sz w:val="30"/>
                <w:szCs w:val="30"/>
              </w:rPr>
              <w:t>专栏1</w:t>
            </w:r>
            <w:r>
              <w:rPr>
                <w:b/>
                <w:bCs/>
                <w:sz w:val="30"/>
                <w:szCs w:val="30"/>
              </w:rPr>
              <w:t>0</w:t>
            </w:r>
            <w:r>
              <w:rPr>
                <w:rFonts w:hint="eastAsia"/>
                <w:b/>
                <w:bCs/>
                <w:sz w:val="30"/>
                <w:szCs w:val="30"/>
              </w:rPr>
              <w:t>：数字治理与数字服务建设重点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00"/>
              <w:rPr>
                <w:sz w:val="30"/>
                <w:szCs w:val="30"/>
              </w:rPr>
            </w:pPr>
            <w:r>
              <w:rPr>
                <w:rFonts w:hint="eastAsia"/>
                <w:sz w:val="30"/>
                <w:szCs w:val="30"/>
              </w:rPr>
              <w:t>综合考虑政府、企业、社会和居民等多方利益，围绕智慧城市建设和数字经济发展两大核心目标，构建一体化的数字生态系统。一是政府部门制定全面的数字化战略规划，明确数字萧县建设的愿景与目标，明晰各级政府职责与协作机制，推进政务数字化转型，实现数字治理。二是建设统一的数字平台，整合政府和社会各领域的数据资源，建立开放的数据共享机制，提高数据质量和利用效率。三是发展数字经济，鼓励萧县本地企业加大数字技术应用和创新投入，培育新兴产业，推动传统产业向数字化转型。四是推进数字教育与医疗，建设数字教育平台，提升教育教学质量，推广在线学习资源，建设数字医疗平台，优化医疗资源配置，提高医疗服务水平。五是推动智慧城市建设，建设智慧城市管理平台，优化城市运行和管理，建设智慧社区，提升居民生活品质。六是强化信息安全保障，建立完善的信息安全体系，加强网络安全监测和防范措施，提高公众的信息安全意识。七是加强政策支持，制定相关的数字治理政策和法规，鼓励和引导各方积极参与数字化建设，加大财政投入，争取相关项目的政策支持和资金支持。最后，持续监测与评估。定期对数字治理与数字服务的成效进行评估，及时调整和完善措施，确保数字萧县建设取得持续、稳定的发展成果，实现数字治理和数字服务的深度融合，推动县域治理模式的转型升级，提升公共服务效率和质量，促进县域经济社会可持续发展，构建智慧、繁荣、幸福的数字化萧县。</w:t>
            </w:r>
          </w:p>
        </w:tc>
      </w:tr>
    </w:tbl>
    <w:p>
      <w:pPr>
        <w:ind w:firstLine="0" w:firstLineChars="0"/>
        <w:sectPr>
          <w:pgSz w:w="11906" w:h="16838"/>
          <w:pgMar w:top="1440" w:right="1800" w:bottom="1440" w:left="1800" w:header="851" w:footer="992" w:gutter="0"/>
          <w:cols w:space="425" w:num="1"/>
          <w:docGrid w:type="lines" w:linePitch="312" w:charSpace="0"/>
        </w:sectPr>
      </w:pPr>
    </w:p>
    <w:p>
      <w:pPr>
        <w:pStyle w:val="2"/>
      </w:pPr>
      <w:bookmarkStart w:id="84" w:name="_Toc146484331"/>
      <w:r>
        <w:rPr>
          <w:rFonts w:hint="eastAsia"/>
        </w:rPr>
        <w:t>第八章 数字萧县建设保障</w:t>
      </w:r>
      <w:bookmarkEnd w:id="84"/>
    </w:p>
    <w:p>
      <w:pPr>
        <w:pStyle w:val="3"/>
      </w:pPr>
      <w:bookmarkStart w:id="85" w:name="_Toc146484332"/>
      <w:r>
        <w:rPr>
          <w:rFonts w:hint="eastAsia"/>
        </w:rPr>
        <w:t>第一节 强化组织领导</w:t>
      </w:r>
      <w:bookmarkEnd w:id="85"/>
    </w:p>
    <w:p>
      <w:pPr>
        <w:ind w:firstLine="640"/>
      </w:pPr>
      <w:r>
        <w:rPr>
          <w:rFonts w:hint="eastAsia"/>
        </w:rPr>
        <w:t>为推动“数字萧县”建设，数字萧县工作领导小组积极发挥统筹协调作用。在工作领导小组的统一领导下，县区相关部门建立联动协调机制，通过定期沟通交流等方式，确保各部门之间的信息共享和协作配合。各级各部门明确各自在推动“数字萧县”建设中的责任主体、职责和任务，定期向领导小组汇报规划落实和项目推进情况。领导小组对统筹评估和指导，推动各项工作顺利进行。</w:t>
      </w:r>
    </w:p>
    <w:p>
      <w:pPr>
        <w:pStyle w:val="3"/>
      </w:pPr>
      <w:bookmarkStart w:id="86" w:name="_Toc146484333"/>
      <w:r>
        <w:rPr>
          <w:rFonts w:hint="eastAsia"/>
        </w:rPr>
        <w:t>第二节 完善政策保障</w:t>
      </w:r>
      <w:bookmarkEnd w:id="86"/>
    </w:p>
    <w:p>
      <w:pPr>
        <w:ind w:firstLine="640"/>
      </w:pPr>
      <w:r>
        <w:rPr>
          <w:rFonts w:hint="eastAsia"/>
        </w:rPr>
        <w:t>政府各部门积极提供支持，成立专项工作组并设立办公室，由县政府主要负责同志领导，统筹推进各项工作，协调解决重大问题。各责任单位、乡镇、园区也要建立相应的工作机制，明确责任分工，形成工作合力。</w:t>
      </w:r>
    </w:p>
    <w:p>
      <w:pPr>
        <w:ind w:firstLine="640"/>
      </w:pPr>
      <w:r>
        <w:rPr>
          <w:rFonts w:hint="eastAsia"/>
        </w:rPr>
        <w:t>制定战略新兴产业相关扶持政策。围绕战略新兴产业发展需要，制定引进投资、扶持现代服务业发展等新兴产业相关扶持配套政策。加强产业政策与金融、土地、节能环保、知识产权等政策的配合，提供政策重点发展主导产业及战略性新兴产业。</w:t>
      </w:r>
    </w:p>
    <w:p>
      <w:pPr>
        <w:ind w:firstLine="640"/>
      </w:pPr>
      <w:r>
        <w:rPr>
          <w:rFonts w:hint="eastAsia"/>
        </w:rPr>
        <w:t>加强人才队伍建设，着重培养新兴产业领域的专业型、复合型人才，支持职业院校加强相关学科专业建设。积极引进高水平专家和高层次人才，建立人才智库。</w:t>
      </w:r>
    </w:p>
    <w:p>
      <w:pPr>
        <w:pStyle w:val="3"/>
      </w:pPr>
      <w:bookmarkStart w:id="87" w:name="_Toc146484334"/>
      <w:r>
        <w:rPr>
          <w:rFonts w:hint="eastAsia"/>
        </w:rPr>
        <w:t>第三节 增加要素投入</w:t>
      </w:r>
      <w:bookmarkEnd w:id="87"/>
    </w:p>
    <w:p>
      <w:pPr>
        <w:ind w:firstLine="643"/>
      </w:pPr>
      <w:r>
        <w:rPr>
          <w:rFonts w:hint="eastAsia"/>
          <w:b/>
          <w:bCs/>
        </w:rPr>
        <w:t>建立资金引进机制</w:t>
      </w:r>
      <w:r>
        <w:rPr>
          <w:rFonts w:hint="eastAsia"/>
        </w:rPr>
        <w:t>。探索设立专项基金，吸引国内外投资者和投资机构参与数字经济产业发展。探索建立风险投资引导基金，为创新型数字经济企业提供资金支持和风险投资。积极争取政府支持资金，通过申报项目、招商引资等方式获得资金支持。</w:t>
      </w:r>
    </w:p>
    <w:p>
      <w:pPr>
        <w:ind w:firstLine="643"/>
      </w:pPr>
      <w:r>
        <w:rPr>
          <w:rFonts w:hint="eastAsia"/>
          <w:b/>
          <w:bCs/>
        </w:rPr>
        <w:t>创新人才引进机制</w:t>
      </w:r>
      <w:r>
        <w:rPr>
          <w:rFonts w:hint="eastAsia"/>
        </w:rPr>
        <w:t>。建立灵活多样的人才引进机制，吸引高层次、高技能的数字经济人才。设立人才引进奖励计划，提供优厚的薪酬和福利待遇，为人才提供良好的发展环境和职业发展机会。与高校、科研机构建立合作关系，吸引优秀科研人才。</w:t>
      </w:r>
    </w:p>
    <w:p>
      <w:pPr>
        <w:ind w:firstLine="643"/>
      </w:pPr>
      <w:r>
        <w:rPr>
          <w:rFonts w:hint="eastAsia"/>
          <w:b/>
          <w:bCs/>
        </w:rPr>
        <w:t>加强科研合作</w:t>
      </w:r>
      <w:r>
        <w:rPr>
          <w:rFonts w:hint="eastAsia"/>
        </w:rPr>
        <w:t>。与高校、科研机构和企业建立紧密合作机制，推动科研成果的转化和产业化。通过与高校合作设立科研基地或实验室，吸引优秀科研人才，加强科研成果的转化和应用。与企业建立产学研合作平台，促进技术创新和产业升级。</w:t>
      </w:r>
    </w:p>
    <w:p>
      <w:pPr>
        <w:ind w:firstLine="643"/>
      </w:pPr>
      <w:r>
        <w:rPr>
          <w:rFonts w:hint="eastAsia"/>
          <w:b/>
          <w:bCs/>
        </w:rPr>
        <w:t>制定优惠政策</w:t>
      </w:r>
      <w:r>
        <w:rPr>
          <w:rFonts w:hint="eastAsia"/>
        </w:rPr>
        <w:t>。针对数字经济产业，制定优惠政策，提供税收减免、土地优惠等扶持措施，降低企业创新成本。同时，建立政府与企业的合作机制，提供政府采购、项目合作等机会，促进数字经济产业的发展。</w:t>
      </w:r>
    </w:p>
    <w:p>
      <w:pPr>
        <w:ind w:firstLine="643"/>
      </w:pPr>
      <w:r>
        <w:rPr>
          <w:rFonts w:hint="eastAsia"/>
          <w:b/>
          <w:bCs/>
        </w:rPr>
        <w:t>建立创业孵化支持体系</w:t>
      </w:r>
      <w:r>
        <w:rPr>
          <w:rFonts w:hint="eastAsia"/>
        </w:rPr>
        <w:t>。设立创业孵化基地和科技园区，提供办公场所、技术支持、市场推广等服务，为创新型数字经济企业提供创业平台和支持，帮助他们快速成长和发展。此外，加强创业培训和指导，提供创业资讯和资源，激发创业者的创新创业热情。</w:t>
      </w:r>
    </w:p>
    <w:p>
      <w:pPr>
        <w:pStyle w:val="3"/>
      </w:pPr>
      <w:bookmarkStart w:id="88" w:name="_Toc146484335"/>
      <w:r>
        <w:rPr>
          <w:rFonts w:hint="eastAsia"/>
        </w:rPr>
        <w:t>第四节 创新双招双引</w:t>
      </w:r>
      <w:bookmarkEnd w:id="88"/>
    </w:p>
    <w:p>
      <w:pPr>
        <w:ind w:firstLine="643"/>
      </w:pPr>
      <w:r>
        <w:rPr>
          <w:rFonts w:hint="eastAsia"/>
          <w:b/>
          <w:bCs/>
        </w:rPr>
        <w:t>制定质量管理体系</w:t>
      </w:r>
      <w:r>
        <w:rPr>
          <w:rFonts w:hint="eastAsia"/>
        </w:rPr>
        <w:t>。建立招商引资、招才引智质量管理体系，制定企业、项目、人才准入标准，以目标来确保双招双引质量。整合科技、人才、资本、载体、政策等资源，规范管理，统筹协调，形成合力，提升效率。</w:t>
      </w:r>
    </w:p>
    <w:p>
      <w:pPr>
        <w:ind w:firstLine="643"/>
      </w:pPr>
      <w:r>
        <w:rPr>
          <w:rFonts w:hint="eastAsia"/>
          <w:b/>
          <w:bCs/>
        </w:rPr>
        <w:t>瞄准“高端高新”产业</w:t>
      </w:r>
      <w:r>
        <w:rPr>
          <w:rFonts w:hint="eastAsia"/>
        </w:rPr>
        <w:t>。围绕高端高新技术产业，把招商引资与产业结构优化升级结合起来。依托萧县数字产业基础，吸引和扶持数字经济相关企业的发展，</w:t>
      </w:r>
      <w:r>
        <w:rPr>
          <w:rFonts w:hint="eastAsia" w:ascii="仿宋" w:hAnsi="仿宋"/>
          <w:szCs w:val="32"/>
          <w:shd w:val="clear" w:color="auto" w:fill="FFFFFF"/>
        </w:rPr>
        <w:t>承接长三角和徐州产业转移，</w:t>
      </w:r>
      <w:r>
        <w:rPr>
          <w:rFonts w:hint="eastAsia"/>
        </w:rPr>
        <w:t>做大做强淮海经济区、徐州都市圈数字经济基地。积极鼓励相关企业与国内同行业知名企业开展产业或项目招商合作，做好项目跟踪服务，实行重点攻关，力争取得实质性进展，推动数字经济的创新发展。</w:t>
      </w:r>
    </w:p>
    <w:p>
      <w:pPr>
        <w:ind w:firstLine="643"/>
      </w:pPr>
      <w:r>
        <w:rPr>
          <w:rFonts w:hint="eastAsia"/>
          <w:b/>
          <w:bCs/>
        </w:rPr>
        <w:t>创新招商方式</w:t>
      </w:r>
      <w:r>
        <w:rPr>
          <w:rFonts w:hint="eastAsia"/>
        </w:rPr>
        <w:t>。探索设立专项基金，吸引国内外投资者和风险投资机构参与数字经济产业的发展，为创新型数字经济企业提供资金支持和风险投资。加大外出招商力度，瞄准目标区域、目标企业开展精准招商，不断巩固招商成果，提高招商实效。</w:t>
      </w:r>
    </w:p>
    <w:p>
      <w:pPr>
        <w:ind w:firstLine="643"/>
      </w:pPr>
      <w:r>
        <w:rPr>
          <w:rFonts w:hint="eastAsia"/>
          <w:b/>
          <w:bCs/>
        </w:rPr>
        <w:t>加强招才引智</w:t>
      </w:r>
      <w:r>
        <w:rPr>
          <w:rFonts w:hint="eastAsia"/>
        </w:rPr>
        <w:t>。加强与高校、科研机构的合作，建立科研基地或实验室，吸引优秀科研人才，加强科研成果的转化和应用。积极引进国内外高端人才，提供优质的生活和工作环境，为人才提供更多的发展机会。</w:t>
      </w:r>
    </w:p>
    <w:p>
      <w:pPr>
        <w:pStyle w:val="3"/>
      </w:pPr>
      <w:bookmarkStart w:id="89" w:name="_Toc146484336"/>
      <w:r>
        <w:rPr>
          <w:rFonts w:hint="eastAsia"/>
        </w:rPr>
        <w:t>第五节 拓展数字产业</w:t>
      </w:r>
      <w:bookmarkEnd w:id="89"/>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通过与省内外工业互联网平台和软件服务企业的合作，优化产业结构和创新运用数字化模式。在农业生产、线上农村电商领域，广泛应用大数据、物联网、云计算、移动互联网等信息技术。通过新兴渠道如直播平台，创新农产品销售模式，拓宽线上销售渠道。完善农产品质量安全监管信息化建设，建立农产品质量安全监测信息管理平台。积极参与长三角一体化建设，在科技产业项目上实现互利共赢。</w:t>
      </w:r>
      <w:r>
        <w:rPr>
          <w:rFonts w:hint="eastAsia" w:ascii="仿宋" w:hAnsi="仿宋" w:cs="仿宋"/>
          <w:color w:val="000000" w:themeColor="text1"/>
          <w:szCs w:val="32"/>
          <w14:textFill>
            <w14:solidFill>
              <w14:schemeClr w14:val="tx1"/>
            </w14:solidFill>
          </w14:textFill>
        </w:rPr>
        <w:t>通过优化产业功能、城市功能和生态功能布局，重点发展新材料、装备制造、电子信息等主导产业，推动先进制造业与现代服务业的融合发展和产学研一体化发展，实现传统产业的数字化转型升级，提高传统产业的智能化水平和竞争力，实现数字产业与传统产业的融合发展。加强与周边地区的合作，承接产业转移，形成产业优势，建立数字产业合作交流平台，拓宽数字产业的市场渠道，吸引更多的投资和合作机会。强化萧县数字产业发展，提高区域经济的竞争力和创新能力，实现数字化转型，拓宽数字经济产业的快速发展。</w:t>
      </w:r>
    </w:p>
    <w:p>
      <w:pPr>
        <w:pStyle w:val="3"/>
      </w:pPr>
      <w:bookmarkStart w:id="90" w:name="_Toc146484337"/>
      <w:r>
        <w:rPr>
          <w:rFonts w:hint="eastAsia"/>
        </w:rPr>
        <w:t>第六节 落实监督考核</w:t>
      </w:r>
      <w:bookmarkEnd w:id="90"/>
    </w:p>
    <w:p>
      <w:pPr>
        <w:ind w:firstLine="640"/>
      </w:pPr>
      <w:r>
        <w:rPr>
          <w:rFonts w:hint="eastAsia"/>
        </w:rPr>
        <w:t>为确保“数字萧县”建设顺利进行，明确各部门任务分工，建立详细工作计划，并对各级各部门的落实情况进行跟踪分析和督促检查。建立健全考核机制，将各级各部门的相关工作推进情况纳入目标管理绩效考核内容，开展动态评估，并加强审计监督，以确保各项工作的落实和执行效果的达成。</w:t>
      </w:r>
    </w:p>
    <w:p>
      <w:pPr>
        <w:ind w:firstLine="0" w:firstLineChars="0"/>
        <w:sectPr>
          <w:pgSz w:w="11906" w:h="16838"/>
          <w:pgMar w:top="1440" w:right="1800" w:bottom="1440" w:left="1800" w:header="851" w:footer="992" w:gutter="0"/>
          <w:cols w:space="425" w:num="1"/>
          <w:docGrid w:type="lines" w:linePitch="312" w:charSpace="0"/>
        </w:sectPr>
      </w:pPr>
    </w:p>
    <w:p>
      <w:pPr>
        <w:pStyle w:val="2"/>
        <w:jc w:val="both"/>
      </w:pPr>
      <w:bookmarkStart w:id="91" w:name="_Toc146484338"/>
      <w:r>
        <w:rPr>
          <w:rFonts w:hint="eastAsia"/>
        </w:rPr>
        <w:t>附件一：“数字萧县”总体规划指标体系测算说明</w:t>
      </w:r>
      <w:bookmarkEnd w:id="91"/>
    </w:p>
    <w:tbl>
      <w:tblPr>
        <w:tblStyle w:val="11"/>
        <w:tblW w:w="6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53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b/>
                <w:bCs/>
                <w:sz w:val="24"/>
                <w:szCs w:val="24"/>
              </w:rPr>
            </w:pPr>
            <w:r>
              <w:rPr>
                <w:rFonts w:hint="eastAsia"/>
                <w:b/>
                <w:bCs/>
                <w:sz w:val="24"/>
                <w:szCs w:val="24"/>
              </w:rPr>
              <w:t>序号</w:t>
            </w:r>
          </w:p>
        </w:tc>
        <w:tc>
          <w:tcPr>
            <w:tcW w:w="2497" w:type="pct"/>
            <w:vAlign w:val="center"/>
          </w:tcPr>
          <w:p>
            <w:pPr>
              <w:spacing w:line="360" w:lineRule="auto"/>
              <w:ind w:firstLine="0" w:firstLineChars="0"/>
              <w:jc w:val="center"/>
              <w:rPr>
                <w:b/>
                <w:bCs/>
                <w:sz w:val="24"/>
                <w:szCs w:val="24"/>
              </w:rPr>
            </w:pPr>
            <w:r>
              <w:rPr>
                <w:rFonts w:hint="eastAsia"/>
                <w:b/>
                <w:bCs/>
                <w:sz w:val="24"/>
                <w:szCs w:val="24"/>
              </w:rPr>
              <w:t>指标名称</w:t>
            </w:r>
          </w:p>
        </w:tc>
        <w:tc>
          <w:tcPr>
            <w:tcW w:w="2111" w:type="pct"/>
            <w:vAlign w:val="center"/>
          </w:tcPr>
          <w:p>
            <w:pPr>
              <w:spacing w:line="360" w:lineRule="auto"/>
              <w:ind w:firstLine="0" w:firstLineChars="0"/>
              <w:jc w:val="center"/>
              <w:rPr>
                <w:b/>
                <w:bCs/>
                <w:sz w:val="24"/>
                <w:szCs w:val="24"/>
              </w:rPr>
            </w:pPr>
            <w:r>
              <w:rPr>
                <w:rFonts w:hint="eastAsia"/>
                <w:b/>
                <w:bCs/>
                <w:sz w:val="24"/>
                <w:szCs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p>
        </w:tc>
        <w:tc>
          <w:tcPr>
            <w:tcW w:w="2497" w:type="pct"/>
            <w:vAlign w:val="center"/>
          </w:tcPr>
          <w:p>
            <w:pPr>
              <w:spacing w:line="360" w:lineRule="auto"/>
              <w:ind w:firstLine="0" w:firstLineChars="0"/>
              <w:rPr>
                <w:color w:val="FF0000"/>
                <w:sz w:val="24"/>
                <w:szCs w:val="24"/>
              </w:rPr>
            </w:pPr>
            <w:r>
              <w:rPr>
                <w:rFonts w:hint="eastAsia"/>
                <w:sz w:val="24"/>
                <w:szCs w:val="24"/>
              </w:rPr>
              <w:t>固定宽带用户普及率（%）</w:t>
            </w:r>
          </w:p>
        </w:tc>
        <w:tc>
          <w:tcPr>
            <w:tcW w:w="2111" w:type="pct"/>
            <w:vAlign w:val="center"/>
          </w:tcPr>
          <w:p>
            <w:pPr>
              <w:spacing w:line="360" w:lineRule="auto"/>
              <w:ind w:firstLine="0" w:firstLineChars="0"/>
              <w:rPr>
                <w:sz w:val="24"/>
                <w:szCs w:val="24"/>
              </w:rPr>
            </w:pPr>
            <w:r>
              <w:rPr>
                <w:rFonts w:hint="eastAsia"/>
                <w:sz w:val="24"/>
                <w:szCs w:val="24"/>
              </w:rPr>
              <w:t>固定宽带用户数/全县用户数×100%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2</w:t>
            </w:r>
          </w:p>
        </w:tc>
        <w:tc>
          <w:tcPr>
            <w:tcW w:w="2497" w:type="pct"/>
            <w:vAlign w:val="center"/>
          </w:tcPr>
          <w:p>
            <w:pPr>
              <w:spacing w:line="360" w:lineRule="auto"/>
              <w:ind w:firstLine="0" w:firstLineChars="0"/>
              <w:rPr>
                <w:color w:val="FF0000"/>
                <w:sz w:val="24"/>
                <w:szCs w:val="24"/>
              </w:rPr>
            </w:pPr>
            <w:r>
              <w:rPr>
                <w:rFonts w:hint="eastAsia"/>
                <w:sz w:val="24"/>
                <w:szCs w:val="24"/>
              </w:rPr>
              <w:t>移动宽带用户普及率（%）</w:t>
            </w:r>
          </w:p>
        </w:tc>
        <w:tc>
          <w:tcPr>
            <w:tcW w:w="2111" w:type="pct"/>
            <w:vAlign w:val="center"/>
          </w:tcPr>
          <w:p>
            <w:pPr>
              <w:spacing w:line="360" w:lineRule="auto"/>
              <w:ind w:firstLine="0" w:firstLineChars="0"/>
              <w:rPr>
                <w:sz w:val="24"/>
                <w:szCs w:val="24"/>
              </w:rPr>
            </w:pPr>
            <w:r>
              <w:rPr>
                <w:rFonts w:hint="eastAsia"/>
                <w:sz w:val="24"/>
                <w:szCs w:val="24"/>
              </w:rPr>
              <w:t>移动宽带用户数/全县常住人口数×</w:t>
            </w: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3</w:t>
            </w:r>
          </w:p>
        </w:tc>
        <w:tc>
          <w:tcPr>
            <w:tcW w:w="2497" w:type="pct"/>
            <w:vAlign w:val="center"/>
          </w:tcPr>
          <w:p>
            <w:pPr>
              <w:spacing w:line="360" w:lineRule="auto"/>
              <w:ind w:firstLine="0" w:firstLineChars="0"/>
              <w:rPr>
                <w:color w:val="FF0000"/>
                <w:sz w:val="24"/>
                <w:szCs w:val="24"/>
              </w:rPr>
            </w:pPr>
            <w:r>
              <w:rPr>
                <w:rFonts w:hint="eastAsia"/>
                <w:sz w:val="24"/>
                <w:szCs w:val="24"/>
              </w:rPr>
              <w:t>光纤宽带用户普及率（%）</w:t>
            </w:r>
          </w:p>
        </w:tc>
        <w:tc>
          <w:tcPr>
            <w:tcW w:w="2111" w:type="pct"/>
            <w:vAlign w:val="center"/>
          </w:tcPr>
          <w:p>
            <w:pPr>
              <w:spacing w:line="360" w:lineRule="auto"/>
              <w:ind w:firstLine="0" w:firstLineChars="0"/>
              <w:rPr>
                <w:color w:val="FF0000"/>
                <w:sz w:val="24"/>
                <w:szCs w:val="24"/>
              </w:rPr>
            </w:pPr>
            <w:r>
              <w:rPr>
                <w:rFonts w:hint="eastAsia"/>
                <w:sz w:val="24"/>
                <w:szCs w:val="24"/>
              </w:rPr>
              <w:t>光纤宽带用户数/固定互联网宽带用户数×100</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4</w:t>
            </w:r>
          </w:p>
        </w:tc>
        <w:tc>
          <w:tcPr>
            <w:tcW w:w="2497" w:type="pct"/>
            <w:vAlign w:val="center"/>
          </w:tcPr>
          <w:p>
            <w:pPr>
              <w:spacing w:line="360" w:lineRule="auto"/>
              <w:ind w:firstLine="0" w:firstLineChars="0"/>
              <w:rPr>
                <w:sz w:val="24"/>
                <w:szCs w:val="24"/>
              </w:rPr>
            </w:pPr>
            <w:r>
              <w:rPr>
                <w:rFonts w:hint="eastAsia"/>
                <w:sz w:val="24"/>
                <w:szCs w:val="24"/>
              </w:rPr>
              <w:t>累积建成5G基站数（个）</w:t>
            </w:r>
          </w:p>
        </w:tc>
        <w:tc>
          <w:tcPr>
            <w:tcW w:w="2111" w:type="pct"/>
            <w:vAlign w:val="center"/>
          </w:tcPr>
          <w:p>
            <w:pPr>
              <w:spacing w:line="360" w:lineRule="auto"/>
              <w:ind w:firstLine="0" w:firstLineChars="0"/>
              <w:rPr>
                <w:sz w:val="24"/>
                <w:szCs w:val="24"/>
              </w:rPr>
            </w:pPr>
            <w:r>
              <w:rPr>
                <w:rFonts w:hint="eastAsia"/>
                <w:sz w:val="24"/>
                <w:szCs w:val="24"/>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5</w:t>
            </w:r>
          </w:p>
        </w:tc>
        <w:tc>
          <w:tcPr>
            <w:tcW w:w="2497" w:type="pct"/>
            <w:vAlign w:val="center"/>
          </w:tcPr>
          <w:p>
            <w:pPr>
              <w:spacing w:line="360" w:lineRule="auto"/>
              <w:ind w:firstLine="0" w:firstLineChars="0"/>
              <w:rPr>
                <w:sz w:val="24"/>
                <w:szCs w:val="24"/>
              </w:rPr>
            </w:pPr>
            <w:r>
              <w:rPr>
                <w:rFonts w:hint="eastAsia"/>
                <w:sz w:val="24"/>
                <w:szCs w:val="24"/>
              </w:rPr>
              <w:t>农村宽带接入速率（Mbps）</w:t>
            </w:r>
          </w:p>
        </w:tc>
        <w:tc>
          <w:tcPr>
            <w:tcW w:w="2111" w:type="pct"/>
            <w:vAlign w:val="center"/>
          </w:tcPr>
          <w:p>
            <w:pPr>
              <w:spacing w:line="360" w:lineRule="auto"/>
              <w:ind w:firstLine="0" w:firstLineChars="0"/>
              <w:rPr>
                <w:sz w:val="24"/>
                <w:szCs w:val="24"/>
              </w:rPr>
            </w:pPr>
            <w:r>
              <w:rPr>
                <w:rFonts w:hint="eastAsia"/>
                <w:sz w:val="24"/>
                <w:szCs w:val="24"/>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6</w:t>
            </w:r>
          </w:p>
        </w:tc>
        <w:tc>
          <w:tcPr>
            <w:tcW w:w="2497" w:type="pct"/>
            <w:vAlign w:val="center"/>
          </w:tcPr>
          <w:p>
            <w:pPr>
              <w:spacing w:line="360" w:lineRule="auto"/>
              <w:ind w:firstLine="0" w:firstLineChars="0"/>
              <w:rPr>
                <w:sz w:val="24"/>
                <w:szCs w:val="24"/>
              </w:rPr>
            </w:pPr>
            <w:r>
              <w:rPr>
                <w:rFonts w:hint="eastAsia"/>
                <w:sz w:val="24"/>
                <w:szCs w:val="24"/>
              </w:rPr>
              <w:t>城镇宽带接入速率（Mbps）</w:t>
            </w:r>
          </w:p>
        </w:tc>
        <w:tc>
          <w:tcPr>
            <w:tcW w:w="2111" w:type="pct"/>
            <w:vAlign w:val="center"/>
          </w:tcPr>
          <w:p>
            <w:pPr>
              <w:spacing w:line="360" w:lineRule="auto"/>
              <w:ind w:firstLine="0" w:firstLineChars="0"/>
              <w:rPr>
                <w:sz w:val="24"/>
                <w:szCs w:val="24"/>
              </w:rPr>
            </w:pPr>
            <w:r>
              <w:rPr>
                <w:rFonts w:hint="eastAsia"/>
                <w:sz w:val="24"/>
                <w:szCs w:val="24"/>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7</w:t>
            </w:r>
          </w:p>
        </w:tc>
        <w:tc>
          <w:tcPr>
            <w:tcW w:w="2497" w:type="pct"/>
            <w:vAlign w:val="center"/>
          </w:tcPr>
          <w:p>
            <w:pPr>
              <w:spacing w:line="360" w:lineRule="auto"/>
              <w:ind w:firstLine="0" w:firstLineChars="0"/>
              <w:rPr>
                <w:sz w:val="24"/>
                <w:szCs w:val="24"/>
              </w:rPr>
            </w:pPr>
            <w:r>
              <w:rPr>
                <w:rFonts w:hint="eastAsia"/>
                <w:sz w:val="24"/>
                <w:szCs w:val="24"/>
              </w:rPr>
              <w:t>数字经济增加值占GDP比重（%）</w:t>
            </w:r>
          </w:p>
        </w:tc>
        <w:tc>
          <w:tcPr>
            <w:tcW w:w="2111" w:type="pct"/>
            <w:vAlign w:val="center"/>
          </w:tcPr>
          <w:p>
            <w:pPr>
              <w:spacing w:line="360" w:lineRule="auto"/>
              <w:ind w:firstLine="0" w:firstLineChars="0"/>
              <w:rPr>
                <w:sz w:val="24"/>
                <w:szCs w:val="24"/>
              </w:rPr>
            </w:pPr>
            <w:r>
              <w:rPr>
                <w:rFonts w:hint="eastAsia"/>
                <w:sz w:val="24"/>
                <w:szCs w:val="24"/>
              </w:rPr>
              <w:t>数字经济增加值/GDP×100%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8</w:t>
            </w:r>
          </w:p>
        </w:tc>
        <w:tc>
          <w:tcPr>
            <w:tcW w:w="2497" w:type="pct"/>
            <w:vAlign w:val="center"/>
          </w:tcPr>
          <w:p>
            <w:pPr>
              <w:spacing w:line="360" w:lineRule="auto"/>
              <w:ind w:firstLine="0" w:firstLineChars="0"/>
              <w:rPr>
                <w:sz w:val="24"/>
                <w:szCs w:val="24"/>
              </w:rPr>
            </w:pPr>
            <w:r>
              <w:rPr>
                <w:rFonts w:hint="eastAsia"/>
                <w:sz w:val="24"/>
                <w:szCs w:val="24"/>
              </w:rPr>
              <w:t>数字经济核心产业增加值占GDP比重（%）</w:t>
            </w:r>
          </w:p>
        </w:tc>
        <w:tc>
          <w:tcPr>
            <w:tcW w:w="2111" w:type="pct"/>
            <w:vAlign w:val="center"/>
          </w:tcPr>
          <w:p>
            <w:pPr>
              <w:spacing w:line="360" w:lineRule="auto"/>
              <w:ind w:firstLine="0" w:firstLineChars="0"/>
              <w:rPr>
                <w:sz w:val="24"/>
                <w:szCs w:val="24"/>
              </w:rPr>
            </w:pPr>
            <w:r>
              <w:rPr>
                <w:rFonts w:hint="eastAsia"/>
                <w:sz w:val="24"/>
                <w:szCs w:val="24"/>
              </w:rPr>
              <w:t>数字经济核心产业增加值</w:t>
            </w:r>
            <w:r>
              <w:rPr>
                <w:sz w:val="24"/>
                <w:szCs w:val="24"/>
              </w:rPr>
              <w:t>/GDP×100%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9</w:t>
            </w:r>
          </w:p>
        </w:tc>
        <w:tc>
          <w:tcPr>
            <w:tcW w:w="2497" w:type="pct"/>
            <w:vAlign w:val="center"/>
          </w:tcPr>
          <w:p>
            <w:pPr>
              <w:spacing w:line="360" w:lineRule="auto"/>
              <w:ind w:firstLine="0" w:firstLineChars="0"/>
              <w:rPr>
                <w:sz w:val="24"/>
                <w:szCs w:val="24"/>
              </w:rPr>
            </w:pPr>
            <w:r>
              <w:rPr>
                <w:rFonts w:hint="eastAsia"/>
                <w:sz w:val="24"/>
                <w:szCs w:val="24"/>
              </w:rPr>
              <w:t>电子信息制造业增加值年均增幅（%）</w:t>
            </w:r>
          </w:p>
        </w:tc>
        <w:tc>
          <w:tcPr>
            <w:tcW w:w="2111" w:type="pct"/>
            <w:vAlign w:val="center"/>
          </w:tcPr>
          <w:p>
            <w:pPr>
              <w:spacing w:line="360" w:lineRule="auto"/>
              <w:ind w:firstLine="0" w:firstLineChars="0"/>
              <w:rPr>
                <w:sz w:val="24"/>
                <w:szCs w:val="24"/>
              </w:rPr>
            </w:pPr>
            <w:r>
              <w:rPr>
                <w:rFonts w:hint="eastAsia"/>
                <w:sz w:val="24"/>
                <w:szCs w:val="24"/>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0</w:t>
            </w:r>
          </w:p>
        </w:tc>
        <w:tc>
          <w:tcPr>
            <w:tcW w:w="2497" w:type="pct"/>
            <w:vAlign w:val="center"/>
          </w:tcPr>
          <w:p>
            <w:pPr>
              <w:spacing w:line="360" w:lineRule="auto"/>
              <w:ind w:firstLine="0" w:firstLineChars="0"/>
              <w:rPr>
                <w:sz w:val="24"/>
                <w:szCs w:val="24"/>
              </w:rPr>
            </w:pPr>
            <w:r>
              <w:rPr>
                <w:rFonts w:hint="eastAsia"/>
                <w:sz w:val="24"/>
                <w:szCs w:val="24"/>
              </w:rPr>
              <w:t>软件和信息服务业增加值年均增幅（%）</w:t>
            </w:r>
          </w:p>
        </w:tc>
        <w:tc>
          <w:tcPr>
            <w:tcW w:w="2111" w:type="pct"/>
            <w:vAlign w:val="center"/>
          </w:tcPr>
          <w:p>
            <w:pPr>
              <w:spacing w:line="360" w:lineRule="auto"/>
              <w:ind w:firstLine="0" w:firstLineChars="0"/>
              <w:rPr>
                <w:sz w:val="24"/>
                <w:szCs w:val="24"/>
              </w:rPr>
            </w:pPr>
            <w:r>
              <w:rPr>
                <w:rFonts w:hint="eastAsia"/>
                <w:sz w:val="24"/>
                <w:szCs w:val="24"/>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1</w:t>
            </w:r>
          </w:p>
        </w:tc>
        <w:tc>
          <w:tcPr>
            <w:tcW w:w="2497" w:type="pct"/>
            <w:vAlign w:val="center"/>
          </w:tcPr>
          <w:p>
            <w:pPr>
              <w:spacing w:line="360" w:lineRule="auto"/>
              <w:ind w:firstLine="0" w:firstLineChars="0"/>
              <w:rPr>
                <w:sz w:val="24"/>
                <w:szCs w:val="24"/>
              </w:rPr>
            </w:pPr>
            <w:r>
              <w:rPr>
                <w:rFonts w:hint="eastAsia"/>
                <w:sz w:val="24"/>
                <w:szCs w:val="24"/>
              </w:rPr>
              <w:t>网络零售额（亿元）</w:t>
            </w:r>
          </w:p>
        </w:tc>
        <w:tc>
          <w:tcPr>
            <w:tcW w:w="2111" w:type="pct"/>
            <w:vAlign w:val="center"/>
          </w:tcPr>
          <w:p>
            <w:pPr>
              <w:spacing w:line="360" w:lineRule="auto"/>
              <w:ind w:firstLine="0" w:firstLineChars="0"/>
              <w:rPr>
                <w:sz w:val="24"/>
                <w:szCs w:val="24"/>
              </w:rPr>
            </w:pPr>
            <w:r>
              <w:rPr>
                <w:rFonts w:hint="eastAsia"/>
                <w:sz w:val="24"/>
                <w:szCs w:val="24"/>
              </w:rPr>
              <w:t>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2</w:t>
            </w:r>
          </w:p>
        </w:tc>
        <w:tc>
          <w:tcPr>
            <w:tcW w:w="2497" w:type="pct"/>
            <w:vAlign w:val="center"/>
          </w:tcPr>
          <w:p>
            <w:pPr>
              <w:spacing w:line="360" w:lineRule="auto"/>
              <w:ind w:firstLine="0" w:firstLineChars="0"/>
              <w:rPr>
                <w:sz w:val="24"/>
                <w:szCs w:val="24"/>
              </w:rPr>
            </w:pPr>
            <w:r>
              <w:rPr>
                <w:rFonts w:hint="eastAsia"/>
                <w:sz w:val="24"/>
                <w:szCs w:val="24"/>
              </w:rPr>
              <w:t>政务数据资源挂接率（%）</w:t>
            </w:r>
          </w:p>
        </w:tc>
        <w:tc>
          <w:tcPr>
            <w:tcW w:w="2111" w:type="pct"/>
            <w:vAlign w:val="center"/>
          </w:tcPr>
          <w:p>
            <w:pPr>
              <w:spacing w:line="360" w:lineRule="auto"/>
              <w:ind w:firstLine="0" w:firstLineChars="0"/>
              <w:rPr>
                <w:sz w:val="24"/>
                <w:szCs w:val="24"/>
              </w:rPr>
            </w:pPr>
            <w:r>
              <w:rPr>
                <w:rFonts w:hint="eastAsia"/>
                <w:sz w:val="24"/>
                <w:szCs w:val="24"/>
              </w:rPr>
              <w:t>已挂接数据的目录数/数据目录总数×100%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3</w:t>
            </w:r>
          </w:p>
        </w:tc>
        <w:tc>
          <w:tcPr>
            <w:tcW w:w="2497" w:type="pct"/>
            <w:vAlign w:val="center"/>
          </w:tcPr>
          <w:p>
            <w:pPr>
              <w:spacing w:line="360" w:lineRule="auto"/>
              <w:ind w:firstLine="0" w:firstLineChars="0"/>
              <w:rPr>
                <w:sz w:val="24"/>
                <w:szCs w:val="24"/>
              </w:rPr>
            </w:pPr>
            <w:r>
              <w:rPr>
                <w:rFonts w:hint="eastAsia"/>
                <w:sz w:val="24"/>
                <w:szCs w:val="24"/>
              </w:rPr>
              <w:t>政务数据资源目录编制率（%）</w:t>
            </w:r>
          </w:p>
        </w:tc>
        <w:tc>
          <w:tcPr>
            <w:tcW w:w="2111" w:type="pct"/>
            <w:vAlign w:val="center"/>
          </w:tcPr>
          <w:p>
            <w:pPr>
              <w:spacing w:line="360" w:lineRule="auto"/>
              <w:ind w:firstLine="0" w:firstLineChars="0"/>
              <w:rPr>
                <w:sz w:val="24"/>
                <w:szCs w:val="24"/>
              </w:rPr>
            </w:pPr>
            <w:r>
              <w:rPr>
                <w:rFonts w:hint="eastAsia"/>
                <w:sz w:val="24"/>
                <w:szCs w:val="24"/>
              </w:rPr>
              <w:t>已编制数据目录数/各部门应编制数据目录数×100%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4</w:t>
            </w:r>
          </w:p>
        </w:tc>
        <w:tc>
          <w:tcPr>
            <w:tcW w:w="2497" w:type="pct"/>
            <w:vAlign w:val="center"/>
          </w:tcPr>
          <w:p>
            <w:pPr>
              <w:spacing w:line="360" w:lineRule="auto"/>
              <w:ind w:firstLine="0" w:firstLineChars="0"/>
              <w:rPr>
                <w:sz w:val="24"/>
                <w:szCs w:val="24"/>
              </w:rPr>
            </w:pPr>
            <w:r>
              <w:rPr>
                <w:rFonts w:hint="eastAsia"/>
                <w:sz w:val="24"/>
                <w:szCs w:val="24"/>
              </w:rPr>
              <w:t>政务系统上云率（%）</w:t>
            </w:r>
          </w:p>
        </w:tc>
        <w:tc>
          <w:tcPr>
            <w:tcW w:w="2111" w:type="pct"/>
            <w:vAlign w:val="center"/>
          </w:tcPr>
          <w:p>
            <w:pPr>
              <w:spacing w:line="360" w:lineRule="auto"/>
              <w:ind w:firstLine="0" w:firstLineChars="0"/>
              <w:rPr>
                <w:sz w:val="24"/>
                <w:szCs w:val="24"/>
              </w:rPr>
            </w:pPr>
            <w:r>
              <w:rPr>
                <w:rFonts w:hint="eastAsia"/>
                <w:sz w:val="24"/>
                <w:szCs w:val="24"/>
              </w:rPr>
              <w:t>市上云政务系统数/市政务系统总数×100%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5</w:t>
            </w:r>
          </w:p>
        </w:tc>
        <w:tc>
          <w:tcPr>
            <w:tcW w:w="2497" w:type="pct"/>
            <w:vAlign w:val="center"/>
          </w:tcPr>
          <w:p>
            <w:pPr>
              <w:spacing w:line="360" w:lineRule="auto"/>
              <w:ind w:firstLine="0" w:firstLineChars="0"/>
              <w:rPr>
                <w:sz w:val="24"/>
                <w:szCs w:val="24"/>
              </w:rPr>
            </w:pPr>
            <w:r>
              <w:rPr>
                <w:rFonts w:hint="eastAsia"/>
                <w:sz w:val="24"/>
                <w:szCs w:val="24"/>
              </w:rPr>
              <w:t>政务服务事项全程网办率（%）</w:t>
            </w:r>
          </w:p>
        </w:tc>
        <w:tc>
          <w:tcPr>
            <w:tcW w:w="2111" w:type="pct"/>
            <w:vAlign w:val="center"/>
          </w:tcPr>
          <w:p>
            <w:pPr>
              <w:spacing w:line="360" w:lineRule="auto"/>
              <w:ind w:firstLine="0" w:firstLineChars="0"/>
              <w:rPr>
                <w:sz w:val="24"/>
                <w:szCs w:val="24"/>
              </w:rPr>
            </w:pPr>
            <w:r>
              <w:rPr>
                <w:rFonts w:hint="eastAsia"/>
                <w:sz w:val="24"/>
                <w:szCs w:val="24"/>
              </w:rPr>
              <w:t>全程网办政务服务事项数/政务服务事项总数×100</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6</w:t>
            </w:r>
          </w:p>
        </w:tc>
        <w:tc>
          <w:tcPr>
            <w:tcW w:w="2497" w:type="pct"/>
            <w:vAlign w:val="center"/>
          </w:tcPr>
          <w:p>
            <w:pPr>
              <w:spacing w:line="360" w:lineRule="auto"/>
              <w:ind w:firstLine="0" w:firstLineChars="0"/>
              <w:rPr>
                <w:sz w:val="24"/>
                <w:szCs w:val="24"/>
              </w:rPr>
            </w:pPr>
            <w:r>
              <w:rPr>
                <w:rFonts w:hint="eastAsia"/>
                <w:sz w:val="24"/>
                <w:szCs w:val="24"/>
              </w:rPr>
              <w:t>社保卡常住人口覆盖率（%）</w:t>
            </w:r>
          </w:p>
        </w:tc>
        <w:tc>
          <w:tcPr>
            <w:tcW w:w="2111" w:type="pct"/>
            <w:vAlign w:val="center"/>
          </w:tcPr>
          <w:p>
            <w:pPr>
              <w:spacing w:line="360" w:lineRule="auto"/>
              <w:ind w:firstLine="0" w:firstLineChars="0"/>
              <w:rPr>
                <w:sz w:val="24"/>
                <w:szCs w:val="24"/>
              </w:rPr>
            </w:pPr>
            <w:r>
              <w:rPr>
                <w:rFonts w:hint="eastAsia"/>
                <w:sz w:val="24"/>
                <w:szCs w:val="24"/>
              </w:rPr>
              <w:t>社保卡持卡人数/全县常住人口数×</w:t>
            </w:r>
            <w:r>
              <w:rPr>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7</w:t>
            </w:r>
          </w:p>
        </w:tc>
        <w:tc>
          <w:tcPr>
            <w:tcW w:w="2497" w:type="pct"/>
            <w:vAlign w:val="center"/>
          </w:tcPr>
          <w:p>
            <w:pPr>
              <w:spacing w:line="360" w:lineRule="auto"/>
              <w:ind w:firstLine="0" w:firstLineChars="0"/>
              <w:rPr>
                <w:sz w:val="24"/>
                <w:szCs w:val="24"/>
              </w:rPr>
            </w:pPr>
            <w:r>
              <w:rPr>
                <w:rFonts w:hint="eastAsia"/>
                <w:sz w:val="24"/>
                <w:szCs w:val="24"/>
              </w:rPr>
              <w:t>智慧旅游景区达标率（%）</w:t>
            </w:r>
          </w:p>
        </w:tc>
        <w:tc>
          <w:tcPr>
            <w:tcW w:w="2111" w:type="pct"/>
            <w:vAlign w:val="center"/>
          </w:tcPr>
          <w:p>
            <w:pPr>
              <w:spacing w:line="360" w:lineRule="auto"/>
              <w:ind w:firstLine="0" w:firstLineChars="0"/>
              <w:rPr>
                <w:sz w:val="24"/>
                <w:szCs w:val="24"/>
              </w:rPr>
            </w:pPr>
            <w:r>
              <w:rPr>
                <w:rFonts w:hint="eastAsia"/>
                <w:sz w:val="24"/>
                <w:szCs w:val="24"/>
              </w:rPr>
              <w:t>达标智慧景区数/全县智慧景区数×100%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Align w:val="center"/>
          </w:tcPr>
          <w:p>
            <w:pPr>
              <w:spacing w:line="360" w:lineRule="auto"/>
              <w:ind w:firstLine="0" w:firstLineChars="0"/>
              <w:jc w:val="center"/>
              <w:rPr>
                <w:sz w:val="24"/>
                <w:szCs w:val="24"/>
              </w:rPr>
            </w:pPr>
            <w:r>
              <w:rPr>
                <w:rFonts w:hint="eastAsia"/>
                <w:sz w:val="24"/>
                <w:szCs w:val="24"/>
              </w:rPr>
              <w:t>1</w:t>
            </w:r>
            <w:r>
              <w:rPr>
                <w:sz w:val="24"/>
                <w:szCs w:val="24"/>
              </w:rPr>
              <w:t>8</w:t>
            </w:r>
          </w:p>
        </w:tc>
        <w:tc>
          <w:tcPr>
            <w:tcW w:w="2497" w:type="pct"/>
            <w:vAlign w:val="center"/>
          </w:tcPr>
          <w:p>
            <w:pPr>
              <w:spacing w:line="360" w:lineRule="auto"/>
              <w:ind w:firstLine="0" w:firstLineChars="0"/>
              <w:rPr>
                <w:sz w:val="24"/>
                <w:szCs w:val="24"/>
              </w:rPr>
            </w:pPr>
            <w:r>
              <w:rPr>
                <w:rFonts w:hint="eastAsia"/>
                <w:sz w:val="24"/>
                <w:szCs w:val="24"/>
              </w:rPr>
              <w:t>智慧校园建设覆盖率（%）</w:t>
            </w:r>
          </w:p>
        </w:tc>
        <w:tc>
          <w:tcPr>
            <w:tcW w:w="2111" w:type="pct"/>
            <w:vAlign w:val="center"/>
          </w:tcPr>
          <w:p>
            <w:pPr>
              <w:spacing w:line="360" w:lineRule="auto"/>
              <w:ind w:firstLine="0" w:firstLineChars="0"/>
              <w:rPr>
                <w:sz w:val="24"/>
                <w:szCs w:val="24"/>
              </w:rPr>
            </w:pPr>
            <w:r>
              <w:rPr>
                <w:rFonts w:hint="eastAsia"/>
                <w:sz w:val="24"/>
                <w:szCs w:val="24"/>
              </w:rPr>
              <w:t>已建（含在建）智慧学校数/全县中小学学校数×100%</w:t>
            </w:r>
          </w:p>
        </w:tc>
      </w:tr>
    </w:tbl>
    <w:p>
      <w:pPr>
        <w:ind w:firstLine="640"/>
        <w:rPr>
          <w:rFonts w:eastAsia="黑体"/>
          <w:bCs/>
          <w:kern w:val="44"/>
          <w:szCs w:val="44"/>
        </w:rPr>
      </w:pPr>
    </w:p>
    <w:p>
      <w:pPr>
        <w:ind w:firstLine="640"/>
        <w:sectPr>
          <w:pgSz w:w="11906" w:h="16838"/>
          <w:pgMar w:top="1440" w:right="1800" w:bottom="1440" w:left="1800" w:header="851" w:footer="992" w:gutter="0"/>
          <w:cols w:space="425" w:num="1"/>
          <w:docGrid w:type="lines" w:linePitch="312" w:charSpace="0"/>
        </w:sectPr>
      </w:pPr>
    </w:p>
    <w:p>
      <w:pPr>
        <w:pStyle w:val="2"/>
        <w:jc w:val="both"/>
      </w:pPr>
      <w:bookmarkStart w:id="92" w:name="_Toc146484339"/>
      <w:r>
        <w:rPr>
          <w:rFonts w:hint="eastAsia"/>
        </w:rPr>
        <w:t>附件二：名词解释</w:t>
      </w:r>
      <w:bookmarkEnd w:id="92"/>
    </w:p>
    <w:p>
      <w:pPr>
        <w:ind w:firstLine="0" w:firstLineChars="0"/>
      </w:pPr>
      <w:r>
        <w:rPr>
          <w:rFonts w:hint="eastAsia"/>
        </w:rPr>
        <w:t>1、数字萧县。是指以数字技术为基础，以信息化、智能化、网络化为特征，全面推进萧县数字产业化、产业数字化和数字经济发展。数字萧县的发展旨在实现信息化和数字化的深度融合，推动信息技术和产业的创新发展，提升萧县国民经济和社会发展的数字化水平和竞争力，将萧县建成宿州市乃至皖北地区数字政府新标杆、数字社会新样板、数字经济新高地。</w:t>
      </w:r>
    </w:p>
    <w:p>
      <w:pPr>
        <w:ind w:firstLine="0" w:firstLineChars="0"/>
      </w:pPr>
      <w:r>
        <w:t>2</w:t>
      </w:r>
      <w:r>
        <w:rPr>
          <w:rFonts w:hint="eastAsia"/>
        </w:rPr>
        <w:t>、数字经济。也被称为数字化经济，是指在数字技术（如互联网、人工智能、大数据、物联网等）的支持下，信息和数据成为经济活动的核心要素，从而影响和改变传统经济模式、产业结构、商业模式和社会生活的一种经济形态，促进数字产业化与产业数字化发展，最终实现数字技术与工业、农业、服务业行业的深度融合。</w:t>
      </w:r>
    </w:p>
    <w:p>
      <w:pPr>
        <w:ind w:firstLine="0" w:firstLineChars="0"/>
      </w:pPr>
      <w:r>
        <w:t>3</w:t>
      </w:r>
      <w:r>
        <w:rPr>
          <w:rFonts w:hint="eastAsia"/>
        </w:rPr>
        <w:t>、NB-IoT/LoRaWAN/蜂窝网络。NB-IoT是一种低功耗、广覆盖的无线通信技术，专门用于连接物联网设备。LoRaWAN是一种低功耗、远距离通信协议，用于连接物联网设备。蜂窝网络是一种广泛用于移动通信的基础设施，通过基站提供无线信号覆盖。</w:t>
      </w:r>
    </w:p>
    <w:p>
      <w:pPr>
        <w:ind w:firstLine="0" w:firstLineChars="0"/>
      </w:pPr>
      <w:r>
        <w:t>4</w:t>
      </w:r>
      <w:r>
        <w:rPr>
          <w:rFonts w:hint="eastAsia"/>
        </w:rPr>
        <w:t>、数据中台。指的是一个集中管理、存储和处理数据的平台或架构。数据中台旨在通过整合、标准化和优化数据，支持企业、机构或部门内部各种业务活动、决策和创新。</w:t>
      </w:r>
    </w:p>
    <w:p>
      <w:pPr>
        <w:ind w:firstLine="0" w:firstLineChars="0"/>
      </w:pPr>
      <w:r>
        <w:t>5</w:t>
      </w:r>
      <w:r>
        <w:rPr>
          <w:rFonts w:hint="eastAsia"/>
        </w:rPr>
        <w:t>、两化两业。即信息化、智能化、物流业、科技服务业。</w:t>
      </w:r>
    </w:p>
    <w:p>
      <w:pPr>
        <w:ind w:firstLine="0" w:firstLineChars="0"/>
      </w:pPr>
      <w:r>
        <w:t>6</w:t>
      </w:r>
      <w:r>
        <w:rPr>
          <w:rFonts w:hint="eastAsia"/>
        </w:rPr>
        <w:t>、一网一门一次。“一网”是指企业和群众办事线上“一网通办”。“一门”是指企业和群众办事线下“只进一扇门”。“一次”是指现场办事“最多跑一次”。</w:t>
      </w:r>
    </w:p>
    <w:p>
      <w:pPr>
        <w:ind w:firstLine="0" w:firstLineChars="0"/>
      </w:pPr>
      <w:r>
        <w:t>7</w:t>
      </w:r>
      <w:r>
        <w:rPr>
          <w:rFonts w:hint="eastAsia"/>
        </w:rPr>
        <w:t>、“1+9+N”智慧教育体育大平台。1个基础支撑平台，9大应用系统（智慧教育体育工作监管系统、教育行政机构管理类信息系统、教师管理系统、学生管理系统、校园管理系统、智慧学校系统、在线教育平台、教育体育融媒体平台、便民服务系统）以及N个子应用系统建设。</w:t>
      </w:r>
    </w:p>
    <w:p>
      <w:pPr>
        <w:ind w:firstLine="0" w:firstLineChars="0"/>
      </w:pPr>
      <w:r>
        <w:rPr>
          <w:rFonts w:hint="eastAsia"/>
        </w:rPr>
        <w:t>8、电子健康码。即卫生健康部门依据居民身份证及其他法定证件为城乡居民办理的统一标准、全省通用的就诊服务卡，便于居民获取连续医疗服务和免费基本公共卫生服务，动态掌握个人全生命周期电子健康档案,方便群众就医与健康理。</w:t>
      </w:r>
    </w:p>
    <w:p>
      <w:pPr>
        <w:ind w:firstLine="0" w:firstLineChars="0"/>
      </w:pPr>
      <w:r>
        <w:rPr>
          <w:rFonts w:hint="eastAsia"/>
        </w:rPr>
        <w:t>9、医保电子凭证。医保线上业务办理的唯一身份凭证，采用的是实名认证，每人会生产一个动态码，还可以通过刷脸验证身份。办理医保电子凭证可以实现看病不带卡，直接扫码结算。</w:t>
      </w:r>
    </w:p>
    <w:p>
      <w:pPr>
        <w:ind w:firstLine="0" w:firstLineChars="0"/>
      </w:pPr>
      <w:r>
        <w:rPr>
          <w:rFonts w:hint="eastAsia"/>
        </w:rPr>
        <w:t>1</w:t>
      </w:r>
      <w:r>
        <w:t>0</w:t>
      </w:r>
      <w:r>
        <w:rPr>
          <w:rFonts w:hint="eastAsia"/>
        </w:rPr>
        <w:t>、宿州“一城两区三基地”。“一城”即皖苏鲁豫交汇区域新兴中心城市。“两区”即打造具有重要影响力的皖北承接产业转移集聚区、城乡融合发展先行区。“三基地”即打造长三角数字经济基地、现代物流基地、绿色农产品生产加工供应基地。</w:t>
      </w:r>
    </w:p>
    <w:p>
      <w:pPr>
        <w:ind w:firstLine="0" w:firstLineChars="0"/>
      </w:pPr>
      <w:r>
        <w:rPr>
          <w:rFonts w:hint="eastAsia"/>
        </w:rPr>
        <w:t>1</w:t>
      </w:r>
      <w:r>
        <w:t>1</w:t>
      </w:r>
      <w:r>
        <w:rPr>
          <w:rFonts w:hint="eastAsia"/>
        </w:rPr>
        <w:t>、萧县“一城三区一基地”。“一城”即淮海经济区副中心城市。“三区”是指省际毗邻地区协同发展先行区、淮海中心承接产业转移集聚区、宜居宜游生态绿色发展示范区。“一基地”为长三角绿色农产品生产加工供应基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709542"/>
      <w:docPartObj>
        <w:docPartGallery w:val="autotext"/>
      </w:docPartObj>
    </w:sdtPr>
    <w:sdtEndPr>
      <w:rPr>
        <w:sz w:val="24"/>
        <w:szCs w:val="24"/>
      </w:rPr>
    </w:sdtEndPr>
    <w:sdtContent>
      <w:p>
        <w:pPr>
          <w:pStyle w:val="6"/>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643419"/>
      <w:docPartObj>
        <w:docPartGallery w:val="autotext"/>
      </w:docPartObj>
    </w:sdtPr>
    <w:sdtEndPr>
      <w:rPr>
        <w:sz w:val="24"/>
        <w:szCs w:val="24"/>
      </w:rPr>
    </w:sdtEndPr>
    <w:sdtContent>
      <w:p>
        <w:pPr>
          <w:pStyle w:val="6"/>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M2YzZWU5MWYzYTUwYjlkODAzZDczNDdmNTVhYmEifQ=="/>
  </w:docVars>
  <w:rsids>
    <w:rsidRoot w:val="00F544FF"/>
    <w:rsid w:val="0000375B"/>
    <w:rsid w:val="00005DD7"/>
    <w:rsid w:val="00010824"/>
    <w:rsid w:val="00013B0B"/>
    <w:rsid w:val="0002011B"/>
    <w:rsid w:val="00021613"/>
    <w:rsid w:val="000253EE"/>
    <w:rsid w:val="00030E53"/>
    <w:rsid w:val="0003257F"/>
    <w:rsid w:val="00036E1F"/>
    <w:rsid w:val="00037708"/>
    <w:rsid w:val="00040518"/>
    <w:rsid w:val="00041D0D"/>
    <w:rsid w:val="00045079"/>
    <w:rsid w:val="0004525D"/>
    <w:rsid w:val="00050628"/>
    <w:rsid w:val="000541F4"/>
    <w:rsid w:val="0005485D"/>
    <w:rsid w:val="000555FB"/>
    <w:rsid w:val="00057243"/>
    <w:rsid w:val="000643AB"/>
    <w:rsid w:val="000646CD"/>
    <w:rsid w:val="0006743F"/>
    <w:rsid w:val="00067653"/>
    <w:rsid w:val="000676F9"/>
    <w:rsid w:val="00071A14"/>
    <w:rsid w:val="000725E2"/>
    <w:rsid w:val="00072CD6"/>
    <w:rsid w:val="00075425"/>
    <w:rsid w:val="000809BD"/>
    <w:rsid w:val="0008133C"/>
    <w:rsid w:val="000815DD"/>
    <w:rsid w:val="000821CC"/>
    <w:rsid w:val="00082973"/>
    <w:rsid w:val="00083858"/>
    <w:rsid w:val="00083A3F"/>
    <w:rsid w:val="000845C9"/>
    <w:rsid w:val="00085081"/>
    <w:rsid w:val="0009014B"/>
    <w:rsid w:val="000A290A"/>
    <w:rsid w:val="000A2C53"/>
    <w:rsid w:val="000A3411"/>
    <w:rsid w:val="000A3AD1"/>
    <w:rsid w:val="000A45C1"/>
    <w:rsid w:val="000A4652"/>
    <w:rsid w:val="000A7D11"/>
    <w:rsid w:val="000B44F8"/>
    <w:rsid w:val="000B45E7"/>
    <w:rsid w:val="000B48EC"/>
    <w:rsid w:val="000B5675"/>
    <w:rsid w:val="000B5C16"/>
    <w:rsid w:val="000B5DC3"/>
    <w:rsid w:val="000B6C85"/>
    <w:rsid w:val="000B7642"/>
    <w:rsid w:val="000C0ED3"/>
    <w:rsid w:val="000C27F8"/>
    <w:rsid w:val="000C2AC8"/>
    <w:rsid w:val="000C3A7C"/>
    <w:rsid w:val="000C40ED"/>
    <w:rsid w:val="000C4C48"/>
    <w:rsid w:val="000C5F0E"/>
    <w:rsid w:val="000D09E4"/>
    <w:rsid w:val="000D1471"/>
    <w:rsid w:val="000D2B35"/>
    <w:rsid w:val="000D38D8"/>
    <w:rsid w:val="000D3A98"/>
    <w:rsid w:val="000D5575"/>
    <w:rsid w:val="000E0BD7"/>
    <w:rsid w:val="000E2AB5"/>
    <w:rsid w:val="000E438B"/>
    <w:rsid w:val="000E5A6C"/>
    <w:rsid w:val="000F051D"/>
    <w:rsid w:val="000F2A2A"/>
    <w:rsid w:val="000F372A"/>
    <w:rsid w:val="000F53AA"/>
    <w:rsid w:val="000F6712"/>
    <w:rsid w:val="000F6857"/>
    <w:rsid w:val="00100D53"/>
    <w:rsid w:val="00102DC0"/>
    <w:rsid w:val="00103D22"/>
    <w:rsid w:val="00111274"/>
    <w:rsid w:val="00111938"/>
    <w:rsid w:val="00111CC7"/>
    <w:rsid w:val="00112A41"/>
    <w:rsid w:val="00120B31"/>
    <w:rsid w:val="0012108C"/>
    <w:rsid w:val="001237C6"/>
    <w:rsid w:val="00130500"/>
    <w:rsid w:val="001347DA"/>
    <w:rsid w:val="0014039C"/>
    <w:rsid w:val="0014388A"/>
    <w:rsid w:val="001440A4"/>
    <w:rsid w:val="001440D5"/>
    <w:rsid w:val="001462FA"/>
    <w:rsid w:val="00151D6D"/>
    <w:rsid w:val="00154406"/>
    <w:rsid w:val="00155380"/>
    <w:rsid w:val="00155CA0"/>
    <w:rsid w:val="00155CDB"/>
    <w:rsid w:val="001618A1"/>
    <w:rsid w:val="00162D38"/>
    <w:rsid w:val="0016469C"/>
    <w:rsid w:val="00166F0C"/>
    <w:rsid w:val="001720F9"/>
    <w:rsid w:val="00175B65"/>
    <w:rsid w:val="00175CFA"/>
    <w:rsid w:val="0017684E"/>
    <w:rsid w:val="00177F42"/>
    <w:rsid w:val="0018130A"/>
    <w:rsid w:val="001827D6"/>
    <w:rsid w:val="001842EA"/>
    <w:rsid w:val="001858A1"/>
    <w:rsid w:val="00187D4C"/>
    <w:rsid w:val="00192200"/>
    <w:rsid w:val="001960BB"/>
    <w:rsid w:val="0019686B"/>
    <w:rsid w:val="001A16C5"/>
    <w:rsid w:val="001A56D5"/>
    <w:rsid w:val="001A7AF1"/>
    <w:rsid w:val="001A7C37"/>
    <w:rsid w:val="001B3CB6"/>
    <w:rsid w:val="001B53B5"/>
    <w:rsid w:val="001B741C"/>
    <w:rsid w:val="001C0BA5"/>
    <w:rsid w:val="001C36B3"/>
    <w:rsid w:val="001C56F6"/>
    <w:rsid w:val="001C6903"/>
    <w:rsid w:val="001C75F0"/>
    <w:rsid w:val="001D4247"/>
    <w:rsid w:val="001E0187"/>
    <w:rsid w:val="001E04EB"/>
    <w:rsid w:val="001E16B5"/>
    <w:rsid w:val="001E1757"/>
    <w:rsid w:val="001E5EED"/>
    <w:rsid w:val="001E6689"/>
    <w:rsid w:val="001E759D"/>
    <w:rsid w:val="001F00B9"/>
    <w:rsid w:val="001F0B23"/>
    <w:rsid w:val="001F10E8"/>
    <w:rsid w:val="001F4A77"/>
    <w:rsid w:val="001F552D"/>
    <w:rsid w:val="001F6C76"/>
    <w:rsid w:val="00200723"/>
    <w:rsid w:val="002035AF"/>
    <w:rsid w:val="00206B6F"/>
    <w:rsid w:val="002071A3"/>
    <w:rsid w:val="002076AA"/>
    <w:rsid w:val="00210A18"/>
    <w:rsid w:val="00214F0D"/>
    <w:rsid w:val="00217FDC"/>
    <w:rsid w:val="0022002E"/>
    <w:rsid w:val="00220363"/>
    <w:rsid w:val="00222AC0"/>
    <w:rsid w:val="00222B31"/>
    <w:rsid w:val="002269D9"/>
    <w:rsid w:val="00226A28"/>
    <w:rsid w:val="00232911"/>
    <w:rsid w:val="002351BB"/>
    <w:rsid w:val="00235A40"/>
    <w:rsid w:val="002454CF"/>
    <w:rsid w:val="00246F71"/>
    <w:rsid w:val="002477C3"/>
    <w:rsid w:val="00250717"/>
    <w:rsid w:val="002512F9"/>
    <w:rsid w:val="00253FB3"/>
    <w:rsid w:val="002549FA"/>
    <w:rsid w:val="00254EBF"/>
    <w:rsid w:val="00255731"/>
    <w:rsid w:val="00255A1E"/>
    <w:rsid w:val="00260D0A"/>
    <w:rsid w:val="00262232"/>
    <w:rsid w:val="00262351"/>
    <w:rsid w:val="00270799"/>
    <w:rsid w:val="00276EE6"/>
    <w:rsid w:val="00277E3A"/>
    <w:rsid w:val="00277FCE"/>
    <w:rsid w:val="002808E1"/>
    <w:rsid w:val="00280BC7"/>
    <w:rsid w:val="00283B5A"/>
    <w:rsid w:val="00284547"/>
    <w:rsid w:val="002862EF"/>
    <w:rsid w:val="0028692B"/>
    <w:rsid w:val="002876B9"/>
    <w:rsid w:val="0029213E"/>
    <w:rsid w:val="00292203"/>
    <w:rsid w:val="00293712"/>
    <w:rsid w:val="002943C1"/>
    <w:rsid w:val="00296CAD"/>
    <w:rsid w:val="002A1C78"/>
    <w:rsid w:val="002A2726"/>
    <w:rsid w:val="002A2DD0"/>
    <w:rsid w:val="002A2F6F"/>
    <w:rsid w:val="002A36B3"/>
    <w:rsid w:val="002A542D"/>
    <w:rsid w:val="002A59A1"/>
    <w:rsid w:val="002A6225"/>
    <w:rsid w:val="002B062F"/>
    <w:rsid w:val="002B15D5"/>
    <w:rsid w:val="002B4987"/>
    <w:rsid w:val="002B5CC4"/>
    <w:rsid w:val="002B6DAB"/>
    <w:rsid w:val="002B7B12"/>
    <w:rsid w:val="002C6CE0"/>
    <w:rsid w:val="002D3B7C"/>
    <w:rsid w:val="002D4958"/>
    <w:rsid w:val="002D5FD0"/>
    <w:rsid w:val="002D7401"/>
    <w:rsid w:val="002E1737"/>
    <w:rsid w:val="002E1770"/>
    <w:rsid w:val="002E1C18"/>
    <w:rsid w:val="002E2187"/>
    <w:rsid w:val="002E310F"/>
    <w:rsid w:val="002E680A"/>
    <w:rsid w:val="002F071B"/>
    <w:rsid w:val="002F3A00"/>
    <w:rsid w:val="002F5014"/>
    <w:rsid w:val="002F5920"/>
    <w:rsid w:val="003008E6"/>
    <w:rsid w:val="00304EBA"/>
    <w:rsid w:val="00305725"/>
    <w:rsid w:val="003057FB"/>
    <w:rsid w:val="00310BE9"/>
    <w:rsid w:val="00311EE4"/>
    <w:rsid w:val="00312745"/>
    <w:rsid w:val="00315F28"/>
    <w:rsid w:val="00317F91"/>
    <w:rsid w:val="00321133"/>
    <w:rsid w:val="003214BB"/>
    <w:rsid w:val="00325566"/>
    <w:rsid w:val="00325BEE"/>
    <w:rsid w:val="0032613C"/>
    <w:rsid w:val="0032637E"/>
    <w:rsid w:val="00327C7E"/>
    <w:rsid w:val="00331CC1"/>
    <w:rsid w:val="00336772"/>
    <w:rsid w:val="00340E25"/>
    <w:rsid w:val="00342800"/>
    <w:rsid w:val="00342BEB"/>
    <w:rsid w:val="00344FC1"/>
    <w:rsid w:val="003472CE"/>
    <w:rsid w:val="00353E48"/>
    <w:rsid w:val="00354EF2"/>
    <w:rsid w:val="00357D6A"/>
    <w:rsid w:val="00360731"/>
    <w:rsid w:val="0036116C"/>
    <w:rsid w:val="00362186"/>
    <w:rsid w:val="00363CD5"/>
    <w:rsid w:val="00367867"/>
    <w:rsid w:val="00370E19"/>
    <w:rsid w:val="003711CB"/>
    <w:rsid w:val="00376FA9"/>
    <w:rsid w:val="00380986"/>
    <w:rsid w:val="00380C8C"/>
    <w:rsid w:val="00381576"/>
    <w:rsid w:val="00383E9B"/>
    <w:rsid w:val="00384F08"/>
    <w:rsid w:val="003915C4"/>
    <w:rsid w:val="0039397B"/>
    <w:rsid w:val="00394A20"/>
    <w:rsid w:val="00396751"/>
    <w:rsid w:val="003A001D"/>
    <w:rsid w:val="003A2E25"/>
    <w:rsid w:val="003A3508"/>
    <w:rsid w:val="003A435E"/>
    <w:rsid w:val="003A4966"/>
    <w:rsid w:val="003B080B"/>
    <w:rsid w:val="003B0F05"/>
    <w:rsid w:val="003B3506"/>
    <w:rsid w:val="003B4A23"/>
    <w:rsid w:val="003C0092"/>
    <w:rsid w:val="003C0EDF"/>
    <w:rsid w:val="003C11AB"/>
    <w:rsid w:val="003C1499"/>
    <w:rsid w:val="003C161D"/>
    <w:rsid w:val="003C72AC"/>
    <w:rsid w:val="003D0578"/>
    <w:rsid w:val="003D0CCE"/>
    <w:rsid w:val="003D4284"/>
    <w:rsid w:val="003D4FFC"/>
    <w:rsid w:val="003E07DE"/>
    <w:rsid w:val="003E243F"/>
    <w:rsid w:val="003E3DC0"/>
    <w:rsid w:val="003F0E7D"/>
    <w:rsid w:val="003F3594"/>
    <w:rsid w:val="003F3604"/>
    <w:rsid w:val="003F3F6C"/>
    <w:rsid w:val="003F5E8C"/>
    <w:rsid w:val="00404B2C"/>
    <w:rsid w:val="00416DCB"/>
    <w:rsid w:val="004214BB"/>
    <w:rsid w:val="00422DF2"/>
    <w:rsid w:val="00424DF5"/>
    <w:rsid w:val="00425935"/>
    <w:rsid w:val="004270CB"/>
    <w:rsid w:val="00427D8A"/>
    <w:rsid w:val="00431E4C"/>
    <w:rsid w:val="004330D6"/>
    <w:rsid w:val="004339A6"/>
    <w:rsid w:val="00433DA3"/>
    <w:rsid w:val="00434530"/>
    <w:rsid w:val="0044024A"/>
    <w:rsid w:val="004418B8"/>
    <w:rsid w:val="00441AFD"/>
    <w:rsid w:val="00443476"/>
    <w:rsid w:val="00445F8C"/>
    <w:rsid w:val="00450193"/>
    <w:rsid w:val="004512C1"/>
    <w:rsid w:val="00451B4F"/>
    <w:rsid w:val="00452357"/>
    <w:rsid w:val="00456D3F"/>
    <w:rsid w:val="00457F57"/>
    <w:rsid w:val="00460956"/>
    <w:rsid w:val="00460F02"/>
    <w:rsid w:val="004626E9"/>
    <w:rsid w:val="00462A90"/>
    <w:rsid w:val="00464BA9"/>
    <w:rsid w:val="004723FB"/>
    <w:rsid w:val="00483A60"/>
    <w:rsid w:val="004867CB"/>
    <w:rsid w:val="00493742"/>
    <w:rsid w:val="00496774"/>
    <w:rsid w:val="00497E86"/>
    <w:rsid w:val="004A2698"/>
    <w:rsid w:val="004A359D"/>
    <w:rsid w:val="004A4C38"/>
    <w:rsid w:val="004B4385"/>
    <w:rsid w:val="004B4C7A"/>
    <w:rsid w:val="004B57D8"/>
    <w:rsid w:val="004B7DE8"/>
    <w:rsid w:val="004B7E41"/>
    <w:rsid w:val="004C0742"/>
    <w:rsid w:val="004C1ADF"/>
    <w:rsid w:val="004C32C4"/>
    <w:rsid w:val="004C4CE6"/>
    <w:rsid w:val="004C7891"/>
    <w:rsid w:val="004C7D5C"/>
    <w:rsid w:val="004D1EBB"/>
    <w:rsid w:val="004D3E9A"/>
    <w:rsid w:val="004D5B21"/>
    <w:rsid w:val="004D7645"/>
    <w:rsid w:val="004D795C"/>
    <w:rsid w:val="004E12AC"/>
    <w:rsid w:val="004E6596"/>
    <w:rsid w:val="004E7B57"/>
    <w:rsid w:val="004F0C36"/>
    <w:rsid w:val="004F10FD"/>
    <w:rsid w:val="004F3B2D"/>
    <w:rsid w:val="004F3B5E"/>
    <w:rsid w:val="004F62B1"/>
    <w:rsid w:val="004F688E"/>
    <w:rsid w:val="004F7617"/>
    <w:rsid w:val="0050044C"/>
    <w:rsid w:val="00510F27"/>
    <w:rsid w:val="00511221"/>
    <w:rsid w:val="0051132B"/>
    <w:rsid w:val="00511A0C"/>
    <w:rsid w:val="0051351E"/>
    <w:rsid w:val="00514C74"/>
    <w:rsid w:val="00516B99"/>
    <w:rsid w:val="00517535"/>
    <w:rsid w:val="00530B79"/>
    <w:rsid w:val="00532697"/>
    <w:rsid w:val="005365CF"/>
    <w:rsid w:val="0053750C"/>
    <w:rsid w:val="00537B05"/>
    <w:rsid w:val="00540634"/>
    <w:rsid w:val="0054433A"/>
    <w:rsid w:val="00545D65"/>
    <w:rsid w:val="00546622"/>
    <w:rsid w:val="00547403"/>
    <w:rsid w:val="00550B3D"/>
    <w:rsid w:val="005547B7"/>
    <w:rsid w:val="00554BA0"/>
    <w:rsid w:val="00555B63"/>
    <w:rsid w:val="0055721A"/>
    <w:rsid w:val="005616F3"/>
    <w:rsid w:val="00562754"/>
    <w:rsid w:val="00563EDB"/>
    <w:rsid w:val="005721AE"/>
    <w:rsid w:val="00574425"/>
    <w:rsid w:val="00575371"/>
    <w:rsid w:val="00576BF6"/>
    <w:rsid w:val="00581C9B"/>
    <w:rsid w:val="005821E8"/>
    <w:rsid w:val="00583C8D"/>
    <w:rsid w:val="00583CAC"/>
    <w:rsid w:val="00584771"/>
    <w:rsid w:val="0058692D"/>
    <w:rsid w:val="00587775"/>
    <w:rsid w:val="0058783A"/>
    <w:rsid w:val="00595942"/>
    <w:rsid w:val="005A3036"/>
    <w:rsid w:val="005A6203"/>
    <w:rsid w:val="005A66EC"/>
    <w:rsid w:val="005A7106"/>
    <w:rsid w:val="005A79E8"/>
    <w:rsid w:val="005B108C"/>
    <w:rsid w:val="005B2621"/>
    <w:rsid w:val="005B3D86"/>
    <w:rsid w:val="005B47E3"/>
    <w:rsid w:val="005B6F08"/>
    <w:rsid w:val="005C0854"/>
    <w:rsid w:val="005C091F"/>
    <w:rsid w:val="005C28BF"/>
    <w:rsid w:val="005C2AD1"/>
    <w:rsid w:val="005C4929"/>
    <w:rsid w:val="005C5122"/>
    <w:rsid w:val="005D14D8"/>
    <w:rsid w:val="005D205A"/>
    <w:rsid w:val="005D2EAF"/>
    <w:rsid w:val="005D4105"/>
    <w:rsid w:val="005D6735"/>
    <w:rsid w:val="005D685B"/>
    <w:rsid w:val="005E1368"/>
    <w:rsid w:val="005E4D99"/>
    <w:rsid w:val="005E5D61"/>
    <w:rsid w:val="005E75F2"/>
    <w:rsid w:val="005F05B1"/>
    <w:rsid w:val="005F2077"/>
    <w:rsid w:val="005F423E"/>
    <w:rsid w:val="005F69CC"/>
    <w:rsid w:val="00611CC5"/>
    <w:rsid w:val="006120F9"/>
    <w:rsid w:val="00614335"/>
    <w:rsid w:val="00614A12"/>
    <w:rsid w:val="0061594B"/>
    <w:rsid w:val="00615E30"/>
    <w:rsid w:val="006161E6"/>
    <w:rsid w:val="00620E88"/>
    <w:rsid w:val="00625B25"/>
    <w:rsid w:val="00625BBA"/>
    <w:rsid w:val="00627338"/>
    <w:rsid w:val="00632638"/>
    <w:rsid w:val="006328B4"/>
    <w:rsid w:val="00633376"/>
    <w:rsid w:val="00633EF1"/>
    <w:rsid w:val="00635D8E"/>
    <w:rsid w:val="0063792B"/>
    <w:rsid w:val="0064193A"/>
    <w:rsid w:val="00642741"/>
    <w:rsid w:val="00642941"/>
    <w:rsid w:val="00642BB5"/>
    <w:rsid w:val="00643A96"/>
    <w:rsid w:val="006442F0"/>
    <w:rsid w:val="00644997"/>
    <w:rsid w:val="006539E7"/>
    <w:rsid w:val="00655841"/>
    <w:rsid w:val="00655AB4"/>
    <w:rsid w:val="00656F34"/>
    <w:rsid w:val="006579CF"/>
    <w:rsid w:val="00660A15"/>
    <w:rsid w:val="00661984"/>
    <w:rsid w:val="00662F23"/>
    <w:rsid w:val="00667414"/>
    <w:rsid w:val="0066764C"/>
    <w:rsid w:val="006714B0"/>
    <w:rsid w:val="00673B16"/>
    <w:rsid w:val="00676079"/>
    <w:rsid w:val="006803DB"/>
    <w:rsid w:val="006808D9"/>
    <w:rsid w:val="00681EDE"/>
    <w:rsid w:val="006821BB"/>
    <w:rsid w:val="00682468"/>
    <w:rsid w:val="0068281E"/>
    <w:rsid w:val="006838A8"/>
    <w:rsid w:val="00685E02"/>
    <w:rsid w:val="00686215"/>
    <w:rsid w:val="00687FC6"/>
    <w:rsid w:val="00691A68"/>
    <w:rsid w:val="00692852"/>
    <w:rsid w:val="00694688"/>
    <w:rsid w:val="00696BA0"/>
    <w:rsid w:val="006A127D"/>
    <w:rsid w:val="006A1C98"/>
    <w:rsid w:val="006A1ED0"/>
    <w:rsid w:val="006A278D"/>
    <w:rsid w:val="006A4A27"/>
    <w:rsid w:val="006A4C4D"/>
    <w:rsid w:val="006A55E8"/>
    <w:rsid w:val="006B2421"/>
    <w:rsid w:val="006B468A"/>
    <w:rsid w:val="006B6D5D"/>
    <w:rsid w:val="006C213C"/>
    <w:rsid w:val="006C21C1"/>
    <w:rsid w:val="006C266F"/>
    <w:rsid w:val="006C6A12"/>
    <w:rsid w:val="006D0ECD"/>
    <w:rsid w:val="006D5E45"/>
    <w:rsid w:val="006D6896"/>
    <w:rsid w:val="006E05AE"/>
    <w:rsid w:val="006E1E8C"/>
    <w:rsid w:val="006E2140"/>
    <w:rsid w:val="006E2211"/>
    <w:rsid w:val="006E3001"/>
    <w:rsid w:val="006F0F60"/>
    <w:rsid w:val="006F42E7"/>
    <w:rsid w:val="006F6232"/>
    <w:rsid w:val="007030C9"/>
    <w:rsid w:val="00704AAF"/>
    <w:rsid w:val="00707DD6"/>
    <w:rsid w:val="00710844"/>
    <w:rsid w:val="00710885"/>
    <w:rsid w:val="00710950"/>
    <w:rsid w:val="00713B50"/>
    <w:rsid w:val="0072131B"/>
    <w:rsid w:val="0072210B"/>
    <w:rsid w:val="00724A96"/>
    <w:rsid w:val="00725117"/>
    <w:rsid w:val="00725489"/>
    <w:rsid w:val="007264FA"/>
    <w:rsid w:val="00727169"/>
    <w:rsid w:val="00730963"/>
    <w:rsid w:val="0073205C"/>
    <w:rsid w:val="00733DDE"/>
    <w:rsid w:val="00737BC2"/>
    <w:rsid w:val="00744138"/>
    <w:rsid w:val="00744455"/>
    <w:rsid w:val="00744CF7"/>
    <w:rsid w:val="00751C37"/>
    <w:rsid w:val="00752B50"/>
    <w:rsid w:val="00752EBC"/>
    <w:rsid w:val="00753E56"/>
    <w:rsid w:val="007633F4"/>
    <w:rsid w:val="00763C24"/>
    <w:rsid w:val="007645C4"/>
    <w:rsid w:val="00764DC4"/>
    <w:rsid w:val="007658AD"/>
    <w:rsid w:val="00770D62"/>
    <w:rsid w:val="00772340"/>
    <w:rsid w:val="00773F8E"/>
    <w:rsid w:val="0077528C"/>
    <w:rsid w:val="00776602"/>
    <w:rsid w:val="00776B1F"/>
    <w:rsid w:val="00777F75"/>
    <w:rsid w:val="00781026"/>
    <w:rsid w:val="0078284B"/>
    <w:rsid w:val="00782FFA"/>
    <w:rsid w:val="00783B85"/>
    <w:rsid w:val="0078401F"/>
    <w:rsid w:val="00784BC9"/>
    <w:rsid w:val="007900FA"/>
    <w:rsid w:val="00791145"/>
    <w:rsid w:val="00791640"/>
    <w:rsid w:val="00791949"/>
    <w:rsid w:val="007938D3"/>
    <w:rsid w:val="00793EA5"/>
    <w:rsid w:val="007958D4"/>
    <w:rsid w:val="00795C51"/>
    <w:rsid w:val="00797AB6"/>
    <w:rsid w:val="007A034A"/>
    <w:rsid w:val="007A1939"/>
    <w:rsid w:val="007A27D9"/>
    <w:rsid w:val="007B1BCC"/>
    <w:rsid w:val="007B3081"/>
    <w:rsid w:val="007B3A16"/>
    <w:rsid w:val="007C4179"/>
    <w:rsid w:val="007C453E"/>
    <w:rsid w:val="007D1E71"/>
    <w:rsid w:val="007D2FDD"/>
    <w:rsid w:val="007D5AFB"/>
    <w:rsid w:val="007D659E"/>
    <w:rsid w:val="007E189E"/>
    <w:rsid w:val="007E1AAA"/>
    <w:rsid w:val="007E6CE6"/>
    <w:rsid w:val="007E7AA9"/>
    <w:rsid w:val="007F00BB"/>
    <w:rsid w:val="007F106A"/>
    <w:rsid w:val="007F20A1"/>
    <w:rsid w:val="007F3A42"/>
    <w:rsid w:val="007F4AF2"/>
    <w:rsid w:val="007F557D"/>
    <w:rsid w:val="007F594D"/>
    <w:rsid w:val="007F698E"/>
    <w:rsid w:val="007F7542"/>
    <w:rsid w:val="00804650"/>
    <w:rsid w:val="008054C9"/>
    <w:rsid w:val="00810234"/>
    <w:rsid w:val="00810FB4"/>
    <w:rsid w:val="0081295F"/>
    <w:rsid w:val="008131D3"/>
    <w:rsid w:val="00813D5C"/>
    <w:rsid w:val="00814AC6"/>
    <w:rsid w:val="00816580"/>
    <w:rsid w:val="00816A57"/>
    <w:rsid w:val="00817A88"/>
    <w:rsid w:val="00822042"/>
    <w:rsid w:val="00822F2D"/>
    <w:rsid w:val="008232FC"/>
    <w:rsid w:val="00823ADD"/>
    <w:rsid w:val="008243CC"/>
    <w:rsid w:val="00827EB1"/>
    <w:rsid w:val="00833856"/>
    <w:rsid w:val="008405C0"/>
    <w:rsid w:val="008423A5"/>
    <w:rsid w:val="00844B23"/>
    <w:rsid w:val="008453B2"/>
    <w:rsid w:val="00845A33"/>
    <w:rsid w:val="00847456"/>
    <w:rsid w:val="00847F34"/>
    <w:rsid w:val="0085287D"/>
    <w:rsid w:val="0085436B"/>
    <w:rsid w:val="00856D7A"/>
    <w:rsid w:val="008615E6"/>
    <w:rsid w:val="008618DC"/>
    <w:rsid w:val="0086389F"/>
    <w:rsid w:val="00871A86"/>
    <w:rsid w:val="00873087"/>
    <w:rsid w:val="00874021"/>
    <w:rsid w:val="00883A1B"/>
    <w:rsid w:val="00886A34"/>
    <w:rsid w:val="00886E1E"/>
    <w:rsid w:val="00890E0C"/>
    <w:rsid w:val="008931BA"/>
    <w:rsid w:val="008945C4"/>
    <w:rsid w:val="0089575D"/>
    <w:rsid w:val="00896713"/>
    <w:rsid w:val="0089708D"/>
    <w:rsid w:val="0089717E"/>
    <w:rsid w:val="00897916"/>
    <w:rsid w:val="008A13F1"/>
    <w:rsid w:val="008A1894"/>
    <w:rsid w:val="008A3C79"/>
    <w:rsid w:val="008A403D"/>
    <w:rsid w:val="008A5973"/>
    <w:rsid w:val="008B0F82"/>
    <w:rsid w:val="008B4121"/>
    <w:rsid w:val="008B54DF"/>
    <w:rsid w:val="008C2D8C"/>
    <w:rsid w:val="008C522A"/>
    <w:rsid w:val="008C7DBB"/>
    <w:rsid w:val="008D1D5D"/>
    <w:rsid w:val="008D76E3"/>
    <w:rsid w:val="008E0652"/>
    <w:rsid w:val="008E307A"/>
    <w:rsid w:val="008E49FF"/>
    <w:rsid w:val="008E738F"/>
    <w:rsid w:val="008E7D48"/>
    <w:rsid w:val="008E7F72"/>
    <w:rsid w:val="008F0C31"/>
    <w:rsid w:val="008F3828"/>
    <w:rsid w:val="008F554A"/>
    <w:rsid w:val="008F7684"/>
    <w:rsid w:val="009032EF"/>
    <w:rsid w:val="00904A8D"/>
    <w:rsid w:val="009078F1"/>
    <w:rsid w:val="009100AF"/>
    <w:rsid w:val="009102A0"/>
    <w:rsid w:val="00910FB6"/>
    <w:rsid w:val="009114EF"/>
    <w:rsid w:val="0091162F"/>
    <w:rsid w:val="009119C0"/>
    <w:rsid w:val="00912112"/>
    <w:rsid w:val="00913D5C"/>
    <w:rsid w:val="00914CD4"/>
    <w:rsid w:val="009202CF"/>
    <w:rsid w:val="009227F3"/>
    <w:rsid w:val="009233FB"/>
    <w:rsid w:val="0092405C"/>
    <w:rsid w:val="00926833"/>
    <w:rsid w:val="00927E40"/>
    <w:rsid w:val="00930113"/>
    <w:rsid w:val="009327DB"/>
    <w:rsid w:val="00935944"/>
    <w:rsid w:val="00936213"/>
    <w:rsid w:val="00937C23"/>
    <w:rsid w:val="009416A1"/>
    <w:rsid w:val="0094293C"/>
    <w:rsid w:val="00943A23"/>
    <w:rsid w:val="009454D7"/>
    <w:rsid w:val="009458E7"/>
    <w:rsid w:val="0094753F"/>
    <w:rsid w:val="009544EB"/>
    <w:rsid w:val="0095618E"/>
    <w:rsid w:val="0096504C"/>
    <w:rsid w:val="00970C93"/>
    <w:rsid w:val="0097172D"/>
    <w:rsid w:val="009721B1"/>
    <w:rsid w:val="00975BED"/>
    <w:rsid w:val="00975C95"/>
    <w:rsid w:val="00976DD7"/>
    <w:rsid w:val="00980E9F"/>
    <w:rsid w:val="00982675"/>
    <w:rsid w:val="00983ABA"/>
    <w:rsid w:val="00984171"/>
    <w:rsid w:val="00984392"/>
    <w:rsid w:val="00986E34"/>
    <w:rsid w:val="00986E46"/>
    <w:rsid w:val="0098701E"/>
    <w:rsid w:val="009877AA"/>
    <w:rsid w:val="0099043A"/>
    <w:rsid w:val="0099078B"/>
    <w:rsid w:val="00990B35"/>
    <w:rsid w:val="0099376D"/>
    <w:rsid w:val="00997CDB"/>
    <w:rsid w:val="009A1F3A"/>
    <w:rsid w:val="009A1FF6"/>
    <w:rsid w:val="009A2C17"/>
    <w:rsid w:val="009A4661"/>
    <w:rsid w:val="009A64F0"/>
    <w:rsid w:val="009A6D51"/>
    <w:rsid w:val="009B55F5"/>
    <w:rsid w:val="009B580C"/>
    <w:rsid w:val="009C0F92"/>
    <w:rsid w:val="009C132A"/>
    <w:rsid w:val="009C3AA1"/>
    <w:rsid w:val="009C458D"/>
    <w:rsid w:val="009C57CC"/>
    <w:rsid w:val="009C59CA"/>
    <w:rsid w:val="009C5E78"/>
    <w:rsid w:val="009C6AAD"/>
    <w:rsid w:val="009D0AB5"/>
    <w:rsid w:val="009D2912"/>
    <w:rsid w:val="009D2AB6"/>
    <w:rsid w:val="009D30A1"/>
    <w:rsid w:val="009D39EF"/>
    <w:rsid w:val="009D4320"/>
    <w:rsid w:val="009D5D1C"/>
    <w:rsid w:val="009D6055"/>
    <w:rsid w:val="009E116B"/>
    <w:rsid w:val="009E1291"/>
    <w:rsid w:val="009E1B1A"/>
    <w:rsid w:val="009E1DE3"/>
    <w:rsid w:val="009E2B80"/>
    <w:rsid w:val="009E3E2B"/>
    <w:rsid w:val="009E625A"/>
    <w:rsid w:val="009E7D98"/>
    <w:rsid w:val="009F089B"/>
    <w:rsid w:val="009F1AE6"/>
    <w:rsid w:val="009F3757"/>
    <w:rsid w:val="009F47D2"/>
    <w:rsid w:val="009F644F"/>
    <w:rsid w:val="00A01940"/>
    <w:rsid w:val="00A038FE"/>
    <w:rsid w:val="00A03D1C"/>
    <w:rsid w:val="00A03FF4"/>
    <w:rsid w:val="00A20405"/>
    <w:rsid w:val="00A22E66"/>
    <w:rsid w:val="00A30966"/>
    <w:rsid w:val="00A31792"/>
    <w:rsid w:val="00A31E83"/>
    <w:rsid w:val="00A325D1"/>
    <w:rsid w:val="00A341C5"/>
    <w:rsid w:val="00A34CC3"/>
    <w:rsid w:val="00A37CB8"/>
    <w:rsid w:val="00A40DBA"/>
    <w:rsid w:val="00A42463"/>
    <w:rsid w:val="00A43523"/>
    <w:rsid w:val="00A437CA"/>
    <w:rsid w:val="00A4629B"/>
    <w:rsid w:val="00A508B2"/>
    <w:rsid w:val="00A50D2D"/>
    <w:rsid w:val="00A51B4A"/>
    <w:rsid w:val="00A53A41"/>
    <w:rsid w:val="00A55C45"/>
    <w:rsid w:val="00A55D33"/>
    <w:rsid w:val="00A629AE"/>
    <w:rsid w:val="00A676E9"/>
    <w:rsid w:val="00A67A4E"/>
    <w:rsid w:val="00A70713"/>
    <w:rsid w:val="00A71424"/>
    <w:rsid w:val="00A721E7"/>
    <w:rsid w:val="00A82E91"/>
    <w:rsid w:val="00A85BCC"/>
    <w:rsid w:val="00A90D6B"/>
    <w:rsid w:val="00A96250"/>
    <w:rsid w:val="00A96C57"/>
    <w:rsid w:val="00AA2D24"/>
    <w:rsid w:val="00AA3177"/>
    <w:rsid w:val="00AA3207"/>
    <w:rsid w:val="00AA5778"/>
    <w:rsid w:val="00AA6488"/>
    <w:rsid w:val="00AA6A87"/>
    <w:rsid w:val="00AA7B24"/>
    <w:rsid w:val="00AB0633"/>
    <w:rsid w:val="00AB09F4"/>
    <w:rsid w:val="00AB134C"/>
    <w:rsid w:val="00AB22CB"/>
    <w:rsid w:val="00AB2FC4"/>
    <w:rsid w:val="00AB3D02"/>
    <w:rsid w:val="00AC3700"/>
    <w:rsid w:val="00AC5864"/>
    <w:rsid w:val="00AC61D7"/>
    <w:rsid w:val="00AC6CFC"/>
    <w:rsid w:val="00AD00AC"/>
    <w:rsid w:val="00AD310A"/>
    <w:rsid w:val="00AD392E"/>
    <w:rsid w:val="00AD3B8A"/>
    <w:rsid w:val="00AD4573"/>
    <w:rsid w:val="00AE060C"/>
    <w:rsid w:val="00AE648A"/>
    <w:rsid w:val="00AE6854"/>
    <w:rsid w:val="00AF3423"/>
    <w:rsid w:val="00AF4B4E"/>
    <w:rsid w:val="00AF535E"/>
    <w:rsid w:val="00AF6E98"/>
    <w:rsid w:val="00AF6FFE"/>
    <w:rsid w:val="00AF76C9"/>
    <w:rsid w:val="00B01188"/>
    <w:rsid w:val="00B0222D"/>
    <w:rsid w:val="00B03865"/>
    <w:rsid w:val="00B06EDD"/>
    <w:rsid w:val="00B10949"/>
    <w:rsid w:val="00B1095C"/>
    <w:rsid w:val="00B11AE6"/>
    <w:rsid w:val="00B151B4"/>
    <w:rsid w:val="00B22792"/>
    <w:rsid w:val="00B2563E"/>
    <w:rsid w:val="00B26CDD"/>
    <w:rsid w:val="00B3298E"/>
    <w:rsid w:val="00B36A45"/>
    <w:rsid w:val="00B41611"/>
    <w:rsid w:val="00B41BE3"/>
    <w:rsid w:val="00B420FD"/>
    <w:rsid w:val="00B42476"/>
    <w:rsid w:val="00B432B9"/>
    <w:rsid w:val="00B5082B"/>
    <w:rsid w:val="00B526C4"/>
    <w:rsid w:val="00B5529D"/>
    <w:rsid w:val="00B564A7"/>
    <w:rsid w:val="00B56FC5"/>
    <w:rsid w:val="00B60A78"/>
    <w:rsid w:val="00B61DF5"/>
    <w:rsid w:val="00B64164"/>
    <w:rsid w:val="00B6435B"/>
    <w:rsid w:val="00B64A7E"/>
    <w:rsid w:val="00B64E1C"/>
    <w:rsid w:val="00B67301"/>
    <w:rsid w:val="00B7134B"/>
    <w:rsid w:val="00B7220D"/>
    <w:rsid w:val="00B72227"/>
    <w:rsid w:val="00B7558B"/>
    <w:rsid w:val="00B76743"/>
    <w:rsid w:val="00B7745B"/>
    <w:rsid w:val="00B77B8B"/>
    <w:rsid w:val="00B81C75"/>
    <w:rsid w:val="00B846CE"/>
    <w:rsid w:val="00B86777"/>
    <w:rsid w:val="00B8722C"/>
    <w:rsid w:val="00B90080"/>
    <w:rsid w:val="00B91D09"/>
    <w:rsid w:val="00B9287B"/>
    <w:rsid w:val="00B956D0"/>
    <w:rsid w:val="00BA1161"/>
    <w:rsid w:val="00BA3759"/>
    <w:rsid w:val="00BB47AF"/>
    <w:rsid w:val="00BB7037"/>
    <w:rsid w:val="00BC090E"/>
    <w:rsid w:val="00BC0B7C"/>
    <w:rsid w:val="00BC420F"/>
    <w:rsid w:val="00BC4DB1"/>
    <w:rsid w:val="00BC531F"/>
    <w:rsid w:val="00BC60F3"/>
    <w:rsid w:val="00BD0575"/>
    <w:rsid w:val="00BD2548"/>
    <w:rsid w:val="00BD290E"/>
    <w:rsid w:val="00BD367B"/>
    <w:rsid w:val="00BD4888"/>
    <w:rsid w:val="00BD4D6B"/>
    <w:rsid w:val="00BD4DAB"/>
    <w:rsid w:val="00BD5C8E"/>
    <w:rsid w:val="00BE2C85"/>
    <w:rsid w:val="00BE34CE"/>
    <w:rsid w:val="00BE450C"/>
    <w:rsid w:val="00BE5B16"/>
    <w:rsid w:val="00BE6468"/>
    <w:rsid w:val="00BF00A2"/>
    <w:rsid w:val="00BF07EE"/>
    <w:rsid w:val="00BF2A8F"/>
    <w:rsid w:val="00BF311C"/>
    <w:rsid w:val="00BF347E"/>
    <w:rsid w:val="00BF3518"/>
    <w:rsid w:val="00BF3D58"/>
    <w:rsid w:val="00BF4056"/>
    <w:rsid w:val="00BF501F"/>
    <w:rsid w:val="00BF557D"/>
    <w:rsid w:val="00BF61C8"/>
    <w:rsid w:val="00C03506"/>
    <w:rsid w:val="00C046E3"/>
    <w:rsid w:val="00C05BF1"/>
    <w:rsid w:val="00C139BC"/>
    <w:rsid w:val="00C13C77"/>
    <w:rsid w:val="00C14ACF"/>
    <w:rsid w:val="00C150AB"/>
    <w:rsid w:val="00C16DF7"/>
    <w:rsid w:val="00C21199"/>
    <w:rsid w:val="00C214CD"/>
    <w:rsid w:val="00C26B69"/>
    <w:rsid w:val="00C2766B"/>
    <w:rsid w:val="00C3192C"/>
    <w:rsid w:val="00C36773"/>
    <w:rsid w:val="00C403EE"/>
    <w:rsid w:val="00C44878"/>
    <w:rsid w:val="00C44CB5"/>
    <w:rsid w:val="00C466AF"/>
    <w:rsid w:val="00C47562"/>
    <w:rsid w:val="00C50289"/>
    <w:rsid w:val="00C5091C"/>
    <w:rsid w:val="00C50D7F"/>
    <w:rsid w:val="00C52E70"/>
    <w:rsid w:val="00C5665D"/>
    <w:rsid w:val="00C57815"/>
    <w:rsid w:val="00C6617E"/>
    <w:rsid w:val="00C6625E"/>
    <w:rsid w:val="00C6770E"/>
    <w:rsid w:val="00C6784F"/>
    <w:rsid w:val="00C716C2"/>
    <w:rsid w:val="00C72FF7"/>
    <w:rsid w:val="00C73D6B"/>
    <w:rsid w:val="00C761AD"/>
    <w:rsid w:val="00C76DF7"/>
    <w:rsid w:val="00C77989"/>
    <w:rsid w:val="00C80189"/>
    <w:rsid w:val="00C81D5B"/>
    <w:rsid w:val="00C81EDF"/>
    <w:rsid w:val="00C847EF"/>
    <w:rsid w:val="00C911F7"/>
    <w:rsid w:val="00C919E2"/>
    <w:rsid w:val="00C92235"/>
    <w:rsid w:val="00C93D55"/>
    <w:rsid w:val="00C942E7"/>
    <w:rsid w:val="00CA1700"/>
    <w:rsid w:val="00CA2036"/>
    <w:rsid w:val="00CA25E3"/>
    <w:rsid w:val="00CA3FCB"/>
    <w:rsid w:val="00CA695F"/>
    <w:rsid w:val="00CB035D"/>
    <w:rsid w:val="00CB0D41"/>
    <w:rsid w:val="00CB5461"/>
    <w:rsid w:val="00CB6247"/>
    <w:rsid w:val="00CB649E"/>
    <w:rsid w:val="00CB7B46"/>
    <w:rsid w:val="00CC0529"/>
    <w:rsid w:val="00CC180A"/>
    <w:rsid w:val="00CC2C17"/>
    <w:rsid w:val="00CC3DB7"/>
    <w:rsid w:val="00CC3FB1"/>
    <w:rsid w:val="00CC4A36"/>
    <w:rsid w:val="00CC5447"/>
    <w:rsid w:val="00CC78B1"/>
    <w:rsid w:val="00CD30A5"/>
    <w:rsid w:val="00CD4D1B"/>
    <w:rsid w:val="00CD60D4"/>
    <w:rsid w:val="00CE038D"/>
    <w:rsid w:val="00CE1656"/>
    <w:rsid w:val="00CE1C7E"/>
    <w:rsid w:val="00CE26B7"/>
    <w:rsid w:val="00CE519C"/>
    <w:rsid w:val="00CE6FDD"/>
    <w:rsid w:val="00CF0551"/>
    <w:rsid w:val="00CF76FC"/>
    <w:rsid w:val="00D01AD6"/>
    <w:rsid w:val="00D01F05"/>
    <w:rsid w:val="00D0219E"/>
    <w:rsid w:val="00D023F7"/>
    <w:rsid w:val="00D04D63"/>
    <w:rsid w:val="00D054EE"/>
    <w:rsid w:val="00D0626C"/>
    <w:rsid w:val="00D07F86"/>
    <w:rsid w:val="00D15C92"/>
    <w:rsid w:val="00D202FD"/>
    <w:rsid w:val="00D22A34"/>
    <w:rsid w:val="00D245C8"/>
    <w:rsid w:val="00D24A05"/>
    <w:rsid w:val="00D26C43"/>
    <w:rsid w:val="00D32C66"/>
    <w:rsid w:val="00D33602"/>
    <w:rsid w:val="00D33800"/>
    <w:rsid w:val="00D3393E"/>
    <w:rsid w:val="00D34D46"/>
    <w:rsid w:val="00D4075A"/>
    <w:rsid w:val="00D41C36"/>
    <w:rsid w:val="00D440B5"/>
    <w:rsid w:val="00D4422D"/>
    <w:rsid w:val="00D44B49"/>
    <w:rsid w:val="00D44E41"/>
    <w:rsid w:val="00D50BD0"/>
    <w:rsid w:val="00D5299D"/>
    <w:rsid w:val="00D560EB"/>
    <w:rsid w:val="00D57B5D"/>
    <w:rsid w:val="00D57F26"/>
    <w:rsid w:val="00D630AF"/>
    <w:rsid w:val="00D6409B"/>
    <w:rsid w:val="00D64BB4"/>
    <w:rsid w:val="00D65028"/>
    <w:rsid w:val="00D70B71"/>
    <w:rsid w:val="00D70E3A"/>
    <w:rsid w:val="00D72308"/>
    <w:rsid w:val="00D73F64"/>
    <w:rsid w:val="00D7413F"/>
    <w:rsid w:val="00D749A4"/>
    <w:rsid w:val="00D74C2E"/>
    <w:rsid w:val="00D754E3"/>
    <w:rsid w:val="00D75E20"/>
    <w:rsid w:val="00D76D8D"/>
    <w:rsid w:val="00D76F3C"/>
    <w:rsid w:val="00D818E2"/>
    <w:rsid w:val="00D84413"/>
    <w:rsid w:val="00D94928"/>
    <w:rsid w:val="00D96805"/>
    <w:rsid w:val="00D96A73"/>
    <w:rsid w:val="00DA020E"/>
    <w:rsid w:val="00DA0551"/>
    <w:rsid w:val="00DA074C"/>
    <w:rsid w:val="00DA0CFF"/>
    <w:rsid w:val="00DA114E"/>
    <w:rsid w:val="00DA11BD"/>
    <w:rsid w:val="00DA12FA"/>
    <w:rsid w:val="00DA18F5"/>
    <w:rsid w:val="00DB031B"/>
    <w:rsid w:val="00DB1103"/>
    <w:rsid w:val="00DB55A1"/>
    <w:rsid w:val="00DB5E88"/>
    <w:rsid w:val="00DB6275"/>
    <w:rsid w:val="00DC158F"/>
    <w:rsid w:val="00DC2DCD"/>
    <w:rsid w:val="00DD1C69"/>
    <w:rsid w:val="00DD29FA"/>
    <w:rsid w:val="00DD696F"/>
    <w:rsid w:val="00DD778D"/>
    <w:rsid w:val="00DE005A"/>
    <w:rsid w:val="00DE0740"/>
    <w:rsid w:val="00DE5B5F"/>
    <w:rsid w:val="00DE5DDB"/>
    <w:rsid w:val="00DE6CC6"/>
    <w:rsid w:val="00DF32A0"/>
    <w:rsid w:val="00DF4D2F"/>
    <w:rsid w:val="00DF7127"/>
    <w:rsid w:val="00DF7718"/>
    <w:rsid w:val="00E022C8"/>
    <w:rsid w:val="00E11AC8"/>
    <w:rsid w:val="00E11E9C"/>
    <w:rsid w:val="00E1337B"/>
    <w:rsid w:val="00E152CC"/>
    <w:rsid w:val="00E17D65"/>
    <w:rsid w:val="00E17FBC"/>
    <w:rsid w:val="00E20A1C"/>
    <w:rsid w:val="00E217DA"/>
    <w:rsid w:val="00E21D95"/>
    <w:rsid w:val="00E25E0C"/>
    <w:rsid w:val="00E260F8"/>
    <w:rsid w:val="00E2713C"/>
    <w:rsid w:val="00E273D9"/>
    <w:rsid w:val="00E27C03"/>
    <w:rsid w:val="00E306F0"/>
    <w:rsid w:val="00E3184E"/>
    <w:rsid w:val="00E35199"/>
    <w:rsid w:val="00E35B57"/>
    <w:rsid w:val="00E360C7"/>
    <w:rsid w:val="00E40449"/>
    <w:rsid w:val="00E43741"/>
    <w:rsid w:val="00E4397D"/>
    <w:rsid w:val="00E45429"/>
    <w:rsid w:val="00E46E12"/>
    <w:rsid w:val="00E473A1"/>
    <w:rsid w:val="00E473C7"/>
    <w:rsid w:val="00E5030E"/>
    <w:rsid w:val="00E50D18"/>
    <w:rsid w:val="00E516E7"/>
    <w:rsid w:val="00E517E5"/>
    <w:rsid w:val="00E534EF"/>
    <w:rsid w:val="00E53DC2"/>
    <w:rsid w:val="00E56A9C"/>
    <w:rsid w:val="00E601BF"/>
    <w:rsid w:val="00E60432"/>
    <w:rsid w:val="00E6301E"/>
    <w:rsid w:val="00E640F1"/>
    <w:rsid w:val="00E66442"/>
    <w:rsid w:val="00E70BF7"/>
    <w:rsid w:val="00E73F66"/>
    <w:rsid w:val="00E749FC"/>
    <w:rsid w:val="00E753AB"/>
    <w:rsid w:val="00E76CB8"/>
    <w:rsid w:val="00E84B82"/>
    <w:rsid w:val="00E90C9E"/>
    <w:rsid w:val="00E95778"/>
    <w:rsid w:val="00E971F2"/>
    <w:rsid w:val="00EA3162"/>
    <w:rsid w:val="00EA632D"/>
    <w:rsid w:val="00EA7583"/>
    <w:rsid w:val="00EB01FC"/>
    <w:rsid w:val="00EB204C"/>
    <w:rsid w:val="00EB2233"/>
    <w:rsid w:val="00EB4444"/>
    <w:rsid w:val="00EB4E80"/>
    <w:rsid w:val="00EB4F88"/>
    <w:rsid w:val="00EB5C26"/>
    <w:rsid w:val="00EB5C66"/>
    <w:rsid w:val="00EB7FB7"/>
    <w:rsid w:val="00EC06C6"/>
    <w:rsid w:val="00EC0F6F"/>
    <w:rsid w:val="00EC17CF"/>
    <w:rsid w:val="00EC28EB"/>
    <w:rsid w:val="00EC3A5A"/>
    <w:rsid w:val="00EC64F8"/>
    <w:rsid w:val="00ED0882"/>
    <w:rsid w:val="00ED5325"/>
    <w:rsid w:val="00EE0DFC"/>
    <w:rsid w:val="00EE2040"/>
    <w:rsid w:val="00EE454C"/>
    <w:rsid w:val="00EE50D0"/>
    <w:rsid w:val="00EE5232"/>
    <w:rsid w:val="00EE7C3E"/>
    <w:rsid w:val="00EF23E4"/>
    <w:rsid w:val="00EF4307"/>
    <w:rsid w:val="00EF4FF5"/>
    <w:rsid w:val="00EF5AE7"/>
    <w:rsid w:val="00EF7628"/>
    <w:rsid w:val="00EF76F3"/>
    <w:rsid w:val="00F0014F"/>
    <w:rsid w:val="00F021A6"/>
    <w:rsid w:val="00F12213"/>
    <w:rsid w:val="00F16451"/>
    <w:rsid w:val="00F208F2"/>
    <w:rsid w:val="00F24A4B"/>
    <w:rsid w:val="00F252A1"/>
    <w:rsid w:val="00F27501"/>
    <w:rsid w:val="00F31AE9"/>
    <w:rsid w:val="00F36AA8"/>
    <w:rsid w:val="00F36E8C"/>
    <w:rsid w:val="00F46740"/>
    <w:rsid w:val="00F53717"/>
    <w:rsid w:val="00F544FF"/>
    <w:rsid w:val="00F57B16"/>
    <w:rsid w:val="00F60261"/>
    <w:rsid w:val="00F631A5"/>
    <w:rsid w:val="00F63A2A"/>
    <w:rsid w:val="00F63EF0"/>
    <w:rsid w:val="00F642EA"/>
    <w:rsid w:val="00F660BC"/>
    <w:rsid w:val="00F66CEB"/>
    <w:rsid w:val="00F67B5B"/>
    <w:rsid w:val="00F74DDA"/>
    <w:rsid w:val="00F755A7"/>
    <w:rsid w:val="00F759E7"/>
    <w:rsid w:val="00F801C4"/>
    <w:rsid w:val="00F8029F"/>
    <w:rsid w:val="00F82ACD"/>
    <w:rsid w:val="00F82CBC"/>
    <w:rsid w:val="00F838EB"/>
    <w:rsid w:val="00F87926"/>
    <w:rsid w:val="00F900FA"/>
    <w:rsid w:val="00F9022B"/>
    <w:rsid w:val="00F92187"/>
    <w:rsid w:val="00F94C82"/>
    <w:rsid w:val="00F96540"/>
    <w:rsid w:val="00F97490"/>
    <w:rsid w:val="00F97C1F"/>
    <w:rsid w:val="00FA0D87"/>
    <w:rsid w:val="00FA117D"/>
    <w:rsid w:val="00FA2F41"/>
    <w:rsid w:val="00FA3874"/>
    <w:rsid w:val="00FA5629"/>
    <w:rsid w:val="00FA687A"/>
    <w:rsid w:val="00FA6EDB"/>
    <w:rsid w:val="00FB0871"/>
    <w:rsid w:val="00FB0B63"/>
    <w:rsid w:val="00FB3095"/>
    <w:rsid w:val="00FB3535"/>
    <w:rsid w:val="00FB49B1"/>
    <w:rsid w:val="00FB51F8"/>
    <w:rsid w:val="00FB77DB"/>
    <w:rsid w:val="00FC0F3D"/>
    <w:rsid w:val="00FC1057"/>
    <w:rsid w:val="00FC1352"/>
    <w:rsid w:val="00FC4942"/>
    <w:rsid w:val="00FC636E"/>
    <w:rsid w:val="00FC65C7"/>
    <w:rsid w:val="00FC6F2C"/>
    <w:rsid w:val="00FC715D"/>
    <w:rsid w:val="00FC7C9E"/>
    <w:rsid w:val="00FD3AD2"/>
    <w:rsid w:val="00FD6C66"/>
    <w:rsid w:val="00FE0380"/>
    <w:rsid w:val="00FE605C"/>
    <w:rsid w:val="00FE6E21"/>
    <w:rsid w:val="00FF01F8"/>
    <w:rsid w:val="00FF1906"/>
    <w:rsid w:val="00FF4464"/>
    <w:rsid w:val="00FF4B2D"/>
    <w:rsid w:val="00FF5348"/>
    <w:rsid w:val="00FF5355"/>
    <w:rsid w:val="023514D8"/>
    <w:rsid w:val="6F06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14"/>
    <w:qFormat/>
    <w:uiPriority w:val="9"/>
    <w:pPr>
      <w:keepNext/>
      <w:keepLines/>
      <w:ind w:firstLine="0" w:firstLineChars="0"/>
      <w:jc w:val="center"/>
      <w:outlineLvl w:val="0"/>
    </w:pPr>
    <w:rPr>
      <w:rFonts w:eastAsia="黑体"/>
      <w:bCs/>
      <w:kern w:val="44"/>
      <w:szCs w:val="44"/>
    </w:rPr>
  </w:style>
  <w:style w:type="paragraph" w:styleId="3">
    <w:name w:val="heading 2"/>
    <w:basedOn w:val="1"/>
    <w:next w:val="1"/>
    <w:link w:val="16"/>
    <w:unhideWhenUsed/>
    <w:qFormat/>
    <w:uiPriority w:val="9"/>
    <w:pPr>
      <w:keepNext/>
      <w:keepLines/>
      <w:ind w:firstLine="0" w:firstLineChars="0"/>
      <w:outlineLvl w:val="1"/>
    </w:pPr>
    <w:rPr>
      <w:rFonts w:eastAsia="楷体" w:cstheme="majorBidi"/>
      <w:b/>
      <w:bCs/>
      <w:szCs w:val="32"/>
    </w:rPr>
  </w:style>
  <w:style w:type="paragraph" w:styleId="4">
    <w:name w:val="heading 3"/>
    <w:basedOn w:val="1"/>
    <w:next w:val="1"/>
    <w:link w:val="17"/>
    <w:unhideWhenUsed/>
    <w:qFormat/>
    <w:uiPriority w:val="9"/>
    <w:pPr>
      <w:keepNext/>
      <w:keepLines/>
      <w:outlineLvl w:val="2"/>
    </w:pPr>
    <w:rPr>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ind w:left="1280" w:leftChars="400" w:firstLine="0" w:firstLineChars="0"/>
    </w:pPr>
  </w:style>
  <w:style w:type="paragraph" w:styleId="6">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8"/>
    <w:unhideWhenUsed/>
    <w:qFormat/>
    <w:uiPriority w:val="99"/>
    <w:pPr>
      <w:tabs>
        <w:tab w:val="center" w:pos="4153"/>
        <w:tab w:val="right" w:pos="8306"/>
      </w:tabs>
      <w:snapToGrid w:val="0"/>
      <w:spacing w:line="240" w:lineRule="atLeast"/>
      <w:jc w:val="center"/>
    </w:pPr>
    <w:rPr>
      <w:sz w:val="18"/>
      <w:szCs w:val="18"/>
    </w:rPr>
  </w:style>
  <w:style w:type="paragraph" w:styleId="8">
    <w:name w:val="toc 1"/>
    <w:basedOn w:val="1"/>
    <w:next w:val="1"/>
    <w:unhideWhenUsed/>
    <w:qFormat/>
    <w:uiPriority w:val="39"/>
    <w:pPr>
      <w:tabs>
        <w:tab w:val="right" w:leader="dot" w:pos="8296"/>
      </w:tabs>
      <w:ind w:firstLine="0" w:firstLineChars="0"/>
    </w:pPr>
    <w:rPr>
      <w:rFonts w:ascii="黑体" w:hAnsi="黑体" w:eastAsia="黑体"/>
    </w:rPr>
  </w:style>
  <w:style w:type="paragraph" w:styleId="9">
    <w:name w:val="toc 2"/>
    <w:basedOn w:val="1"/>
    <w:next w:val="1"/>
    <w:unhideWhenUsed/>
    <w:qFormat/>
    <w:uiPriority w:val="39"/>
    <w:pPr>
      <w:tabs>
        <w:tab w:val="right" w:leader="dot" w:pos="8296"/>
      </w:tabs>
      <w:ind w:left="640" w:leftChars="200" w:firstLine="0" w:firstLineChars="0"/>
    </w:pPr>
    <w:rPr>
      <w:rFonts w:ascii="楷体" w:hAnsi="楷体" w:eastAsia="楷体"/>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字符"/>
    <w:basedOn w:val="12"/>
    <w:link w:val="2"/>
    <w:qFormat/>
    <w:uiPriority w:val="9"/>
    <w:rPr>
      <w:rFonts w:ascii="Times New Roman" w:hAnsi="Times New Roman" w:eastAsia="黑体"/>
      <w:bCs/>
      <w:kern w:val="44"/>
      <w:sz w:val="32"/>
      <w:szCs w:val="44"/>
    </w:rPr>
  </w:style>
  <w:style w:type="paragraph" w:styleId="15">
    <w:name w:val="List Paragraph"/>
    <w:basedOn w:val="1"/>
    <w:qFormat/>
    <w:uiPriority w:val="34"/>
    <w:pPr>
      <w:ind w:firstLine="420"/>
    </w:pPr>
  </w:style>
  <w:style w:type="character" w:customStyle="1" w:styleId="16">
    <w:name w:val="标题 2 字符"/>
    <w:basedOn w:val="12"/>
    <w:link w:val="3"/>
    <w:qFormat/>
    <w:uiPriority w:val="9"/>
    <w:rPr>
      <w:rFonts w:ascii="Times New Roman" w:hAnsi="Times New Roman" w:eastAsia="楷体" w:cstheme="majorBidi"/>
      <w:b/>
      <w:bCs/>
      <w:sz w:val="32"/>
      <w:szCs w:val="32"/>
    </w:rPr>
  </w:style>
  <w:style w:type="character" w:customStyle="1" w:styleId="17">
    <w:name w:val="标题 3 字符"/>
    <w:basedOn w:val="12"/>
    <w:link w:val="4"/>
    <w:qFormat/>
    <w:uiPriority w:val="9"/>
    <w:rPr>
      <w:rFonts w:ascii="Times New Roman" w:hAnsi="Times New Roman" w:eastAsia="仿宋"/>
      <w:bCs/>
      <w:sz w:val="32"/>
      <w:szCs w:val="32"/>
    </w:rPr>
  </w:style>
  <w:style w:type="character" w:customStyle="1" w:styleId="18">
    <w:name w:val="页眉 字符"/>
    <w:basedOn w:val="12"/>
    <w:link w:val="7"/>
    <w:qFormat/>
    <w:uiPriority w:val="99"/>
    <w:rPr>
      <w:rFonts w:ascii="Times New Roman" w:hAnsi="Times New Roman" w:eastAsia="仿宋"/>
      <w:sz w:val="18"/>
      <w:szCs w:val="18"/>
    </w:rPr>
  </w:style>
  <w:style w:type="character" w:customStyle="1" w:styleId="19">
    <w:name w:val="页脚 字符"/>
    <w:basedOn w:val="12"/>
    <w:link w:val="6"/>
    <w:qFormat/>
    <w:uiPriority w:val="99"/>
    <w:rPr>
      <w:rFonts w:ascii="Times New Roman" w:hAnsi="Times New Roman" w:eastAsia="仿宋"/>
      <w:sz w:val="18"/>
      <w:szCs w:val="18"/>
    </w:rPr>
  </w:style>
  <w:style w:type="paragraph" w:customStyle="1" w:styleId="20">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C425-90E6-4404-A7AF-DA1E0392206B}">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7206</Words>
  <Characters>41075</Characters>
  <Lines>342</Lines>
  <Paragraphs>96</Paragraphs>
  <TotalTime>10455</TotalTime>
  <ScaleCrop>false</ScaleCrop>
  <LinksUpToDate>false</LinksUpToDate>
  <CharactersWithSpaces>48185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2023-07-09T14:43:00Z</dcterms:created>
  <dc:creator>张 志伟</dc:creator>
  <cp:lastModifiedBy>三木</cp:lastModifiedBy>
  <cp:lastPrinted>2023-10-10T07:08:00Z</cp:lastPrinted>
  <dcterms:modified xsi:type="dcterms:W3CDTF">2023-10-23T01:58:25Z</dcterms:modified>
  <cp:revision>1200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C64E210C679247888BB92AD04876B9FB_13</vt:lpwstr>
  </property>
</Properties>
</file>