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kinsoku/>
        <w:wordWrap/>
        <w:overflowPunct w:val="0"/>
        <w:topLinePunct w:val="0"/>
        <w:autoSpaceDE w:val="0"/>
        <w:autoSpaceDN/>
        <w:bidi w:val="0"/>
        <w:adjustRightInd/>
        <w:snapToGrid/>
        <w:spacing w:before="0" w:beforeAutospacing="0" w:after="0" w:afterAutospacing="0" w:line="600" w:lineRule="exact"/>
        <w:ind w:left="0" w:right="0" w:firstLine="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萧县应急管理局</w:t>
      </w:r>
      <w:r>
        <w:rPr>
          <w:rFonts w:hint="default" w:ascii="Times New Roman" w:hAnsi="Times New Roman" w:eastAsia="方正小标宋_GBK" w:cs="Times New Roman"/>
          <w:sz w:val="44"/>
          <w:szCs w:val="44"/>
        </w:rPr>
        <w:t>2023</w:t>
      </w:r>
      <w:r>
        <w:rPr>
          <w:rFonts w:hint="eastAsia" w:ascii="方正小标宋_GBK" w:hAnsi="方正小标宋_GBK" w:eastAsia="方正小标宋_GBK" w:cs="方正小标宋_GBK"/>
          <w:sz w:val="44"/>
          <w:szCs w:val="44"/>
        </w:rPr>
        <w:t>年政府信息公开工作年度报告</w:t>
      </w:r>
    </w:p>
    <w:p>
      <w:pPr>
        <w:pStyle w:val="2"/>
        <w:keepNext w:val="0"/>
        <w:keepLines w:val="0"/>
        <w:pageBreakBefore w:val="0"/>
        <w:widowControl/>
        <w:suppressLineNumbers w:val="0"/>
        <w:kinsoku/>
        <w:wordWrap/>
        <w:overflowPunct w:val="0"/>
        <w:topLinePunct w:val="0"/>
        <w:autoSpaceDE w:val="0"/>
        <w:autoSpaceDN/>
        <w:bidi w:val="0"/>
        <w:adjustRightInd/>
        <w:snapToGrid/>
        <w:spacing w:before="0" w:beforeAutospacing="0" w:after="0" w:afterAutospacing="0" w:line="600" w:lineRule="exact"/>
        <w:ind w:left="0" w:right="0" w:firstLine="640"/>
        <w:jc w:val="both"/>
        <w:textAlignment w:val="auto"/>
        <w:rPr>
          <w:rFonts w:hint="eastAsia" w:ascii="宋体" w:hAnsi="宋体" w:eastAsia="宋体" w:cs="宋体"/>
          <w:sz w:val="24"/>
          <w:szCs w:val="24"/>
        </w:rPr>
      </w:pPr>
      <w:r>
        <w:rPr>
          <w:rFonts w:hint="eastAsia" w:ascii="宋体" w:hAnsi="宋体" w:eastAsia="宋体" w:cs="宋体"/>
          <w:sz w:val="24"/>
          <w:szCs w:val="24"/>
        </w:rPr>
        <w:t> </w:t>
      </w:r>
    </w:p>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宋体" w:hAnsi="宋体" w:eastAsia="宋体" w:cs="宋体"/>
          <w:sz w:val="24"/>
          <w:szCs w:val="24"/>
        </w:rPr>
      </w:pPr>
      <w:r>
        <w:rPr>
          <w:rFonts w:ascii="方正仿宋_GBK" w:hAnsi="方正仿宋_GBK" w:eastAsia="方正仿宋_GBK" w:cs="方正仿宋_GBK"/>
          <w:b w:val="0"/>
          <w:bCs w:val="0"/>
          <w:i w:val="0"/>
          <w:iCs w:val="0"/>
          <w:color w:val="000000"/>
          <w:spacing w:val="0"/>
          <w:sz w:val="32"/>
          <w:szCs w:val="32"/>
        </w:rPr>
        <w:t>根据《中华人民共和国政府信息公开条例》（国务院令第</w:t>
      </w:r>
      <w:r>
        <w:rPr>
          <w:rFonts w:hint="default" w:ascii="Times New Roman" w:hAnsi="Times New Roman" w:eastAsia="方正仿宋_GBK" w:cs="Times New Roman"/>
          <w:b w:val="0"/>
          <w:bCs w:val="0"/>
          <w:i w:val="0"/>
          <w:iCs w:val="0"/>
          <w:color w:val="000000"/>
          <w:spacing w:val="0"/>
          <w:sz w:val="32"/>
          <w:szCs w:val="32"/>
        </w:rPr>
        <w:t>711</w:t>
      </w:r>
      <w:r>
        <w:rPr>
          <w:rFonts w:hint="default" w:ascii="方正仿宋_GBK" w:hAnsi="方正仿宋_GBK" w:eastAsia="方正仿宋_GBK" w:cs="方正仿宋_GBK"/>
          <w:b w:val="0"/>
          <w:bCs w:val="0"/>
          <w:i w:val="0"/>
          <w:iCs w:val="0"/>
          <w:color w:val="000000"/>
          <w:spacing w:val="0"/>
          <w:sz w:val="32"/>
          <w:szCs w:val="32"/>
        </w:rPr>
        <w:t>号）规定，现发布《萧县应急管理局</w:t>
      </w:r>
      <w:r>
        <w:rPr>
          <w:rFonts w:hint="default" w:ascii="Times New Roman" w:hAnsi="Times New Roman" w:eastAsia="方正仿宋_GBK" w:cs="Times New Roman"/>
          <w:b w:val="0"/>
          <w:bCs w:val="0"/>
          <w:i w:val="0"/>
          <w:iCs w:val="0"/>
          <w:color w:val="000000"/>
          <w:spacing w:val="0"/>
          <w:sz w:val="32"/>
          <w:szCs w:val="32"/>
        </w:rPr>
        <w:t>2023</w:t>
      </w:r>
      <w:r>
        <w:rPr>
          <w:rFonts w:hint="default" w:ascii="方正仿宋_GBK" w:hAnsi="方正仿宋_GBK" w:eastAsia="方正仿宋_GBK" w:cs="方正仿宋_GBK"/>
          <w:b w:val="0"/>
          <w:bCs w:val="0"/>
          <w:i w:val="0"/>
          <w:iCs w:val="0"/>
          <w:color w:val="000000"/>
          <w:spacing w:val="0"/>
          <w:sz w:val="32"/>
          <w:szCs w:val="32"/>
        </w:rPr>
        <w:t>年政府信息公开工作年度报告》。本年度报告电子版可从</w:t>
      </w:r>
      <w:r>
        <w:rPr>
          <w:rFonts w:hint="default" w:ascii="方正仿宋_GBK" w:hAnsi="方正仿宋_GBK" w:eastAsia="方正仿宋_GBK" w:cs="方正仿宋_GBK"/>
          <w:i w:val="0"/>
          <w:iCs w:val="0"/>
          <w:caps w:val="0"/>
          <w:color w:val="000000"/>
          <w:spacing w:val="0"/>
          <w:sz w:val="32"/>
          <w:szCs w:val="32"/>
          <w:shd w:val="clear" w:fill="FFFFFF"/>
        </w:rPr>
        <w:t>萧县人民政府网</w:t>
      </w:r>
      <w:r>
        <w:rPr>
          <w:rFonts w:hint="default" w:ascii="方正仿宋_GBK" w:hAnsi="方正仿宋_GBK" w:eastAsia="方正仿宋_GBK" w:cs="方正仿宋_GBK"/>
          <w:b w:val="0"/>
          <w:bCs w:val="0"/>
          <w:i w:val="0"/>
          <w:iCs w:val="0"/>
          <w:color w:val="000000"/>
          <w:spacing w:val="0"/>
          <w:sz w:val="32"/>
          <w:szCs w:val="32"/>
        </w:rPr>
        <w:t>（</w:t>
      </w:r>
      <w:r>
        <w:rPr>
          <w:rFonts w:hint="default" w:ascii="Times New Roman" w:hAnsi="Times New Roman" w:eastAsia="宋体" w:cs="Times New Roman"/>
          <w:i w:val="0"/>
          <w:iCs w:val="0"/>
          <w:caps w:val="0"/>
          <w:color w:val="000000"/>
          <w:spacing w:val="0"/>
          <w:sz w:val="32"/>
          <w:szCs w:val="32"/>
          <w:shd w:val="clear" w:fill="FFFFFF"/>
        </w:rPr>
        <w:t>http://www.ahxx.gov.cn/</w:t>
      </w:r>
      <w:r>
        <w:rPr>
          <w:rFonts w:hint="default" w:ascii="方正仿宋_GBK" w:hAnsi="方正仿宋_GBK" w:eastAsia="方正仿宋_GBK" w:cs="方正仿宋_GBK"/>
          <w:b w:val="0"/>
          <w:bCs w:val="0"/>
          <w:i w:val="0"/>
          <w:iCs w:val="0"/>
          <w:color w:val="000000"/>
          <w:spacing w:val="0"/>
          <w:sz w:val="32"/>
          <w:szCs w:val="32"/>
        </w:rPr>
        <w:t>）下载。</w:t>
      </w:r>
    </w:p>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宋体" w:hAnsi="宋体" w:eastAsia="宋体" w:cs="宋体"/>
          <w:sz w:val="32"/>
          <w:szCs w:val="32"/>
        </w:rPr>
      </w:pPr>
      <w:r>
        <w:rPr>
          <w:rFonts w:ascii="方正黑体_GBK" w:hAnsi="方正黑体_GBK" w:eastAsia="方正黑体_GBK" w:cs="方正黑体_GBK"/>
          <w:b w:val="0"/>
          <w:bCs w:val="0"/>
          <w:i w:val="0"/>
          <w:iCs w:val="0"/>
          <w:color w:val="000000"/>
          <w:spacing w:val="0"/>
          <w:sz w:val="32"/>
          <w:szCs w:val="32"/>
        </w:rPr>
        <w:t>一、总体情况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楷体_GBK" w:hAnsi="方正楷体_GBK" w:eastAsia="方正楷体_GBK" w:cs="方正楷体_GBK"/>
          <w:sz w:val="32"/>
          <w:szCs w:val="32"/>
        </w:rPr>
      </w:pPr>
      <w:r>
        <w:rPr>
          <w:rFonts w:hint="eastAsia" w:ascii="方正楷体_GBK" w:hAnsi="方正楷体_GBK" w:eastAsia="方正楷体_GBK" w:cs="方正楷体_GBK"/>
          <w:b w:val="0"/>
          <w:bCs w:val="0"/>
          <w:i w:val="0"/>
          <w:iCs w:val="0"/>
          <w:color w:val="000000"/>
          <w:spacing w:val="0"/>
          <w:sz w:val="32"/>
          <w:szCs w:val="32"/>
        </w:rPr>
        <w:t>（一）主动公开情况。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宋体" w:hAnsi="宋体" w:eastAsia="宋体" w:cs="宋体"/>
          <w:sz w:val="24"/>
          <w:szCs w:val="24"/>
        </w:rPr>
      </w:pPr>
      <w:r>
        <w:rPr>
          <w:rFonts w:hint="eastAsia" w:ascii="Times New Roman" w:hAnsi="Times New Roman" w:eastAsia="方正仿宋_GBK" w:cs="Times New Roman"/>
          <w:b w:val="0"/>
          <w:bCs w:val="0"/>
          <w:i w:val="0"/>
          <w:iCs w:val="0"/>
          <w:color w:val="000000"/>
          <w:spacing w:val="0"/>
          <w:sz w:val="32"/>
          <w:szCs w:val="32"/>
        </w:rPr>
        <w:t>2023</w:t>
      </w:r>
      <w:r>
        <w:rPr>
          <w:rFonts w:hint="eastAsia" w:ascii="方正仿宋_GBK" w:hAnsi="方正仿宋_GBK" w:eastAsia="方正仿宋_GBK" w:cs="方正仿宋_GBK"/>
          <w:b w:val="0"/>
          <w:bCs w:val="0"/>
          <w:i w:val="0"/>
          <w:iCs w:val="0"/>
          <w:color w:val="000000"/>
          <w:spacing w:val="0"/>
          <w:sz w:val="32"/>
          <w:szCs w:val="32"/>
        </w:rPr>
        <w:t>年以来累计发布政务公开信息</w:t>
      </w:r>
      <w:r>
        <w:rPr>
          <w:rFonts w:hint="eastAsia" w:ascii="Times New Roman" w:hAnsi="Times New Roman" w:eastAsia="方正仿宋_GBK" w:cs="Times New Roman"/>
          <w:b w:val="0"/>
          <w:bCs w:val="0"/>
          <w:i w:val="0"/>
          <w:iCs w:val="0"/>
          <w:color w:val="000000"/>
          <w:spacing w:val="0"/>
          <w:sz w:val="32"/>
          <w:szCs w:val="32"/>
        </w:rPr>
        <w:t>300</w:t>
      </w:r>
      <w:r>
        <w:rPr>
          <w:rFonts w:hint="eastAsia" w:ascii="方正仿宋_GBK" w:hAnsi="方正仿宋_GBK" w:eastAsia="方正仿宋_GBK" w:cs="方正仿宋_GBK"/>
          <w:b w:val="0"/>
          <w:bCs w:val="0"/>
          <w:i w:val="0"/>
          <w:iCs w:val="0"/>
          <w:color w:val="000000"/>
          <w:spacing w:val="0"/>
          <w:sz w:val="32"/>
          <w:szCs w:val="32"/>
        </w:rPr>
        <w:t>余条，扎实推进安全生产和救灾领域“两化”创建工作，不断完善公开栏目、公开内容，强化发布内容的及时性、准确性、真实性，积极完成“两化”创建各项工作任务。发布安全生产两化领域信息</w:t>
      </w:r>
      <w:r>
        <w:rPr>
          <w:rFonts w:hint="eastAsia" w:ascii="Times New Roman" w:hAnsi="Times New Roman" w:eastAsia="方正仿宋_GBK" w:cs="Times New Roman"/>
          <w:b w:val="0"/>
          <w:bCs w:val="0"/>
          <w:i w:val="0"/>
          <w:iCs w:val="0"/>
          <w:color w:val="000000"/>
          <w:spacing w:val="0"/>
          <w:sz w:val="32"/>
          <w:szCs w:val="32"/>
        </w:rPr>
        <w:t>150</w:t>
      </w:r>
      <w:r>
        <w:rPr>
          <w:rFonts w:hint="eastAsia" w:ascii="方正仿宋_GBK" w:hAnsi="方正仿宋_GBK" w:eastAsia="方正仿宋_GBK" w:cs="方正仿宋_GBK"/>
          <w:b w:val="0"/>
          <w:bCs w:val="0"/>
          <w:i w:val="0"/>
          <w:iCs w:val="0"/>
          <w:color w:val="000000"/>
          <w:spacing w:val="0"/>
          <w:sz w:val="32"/>
          <w:szCs w:val="32"/>
        </w:rPr>
        <w:t>余条，救灾两化领域信息</w:t>
      </w:r>
      <w:r>
        <w:rPr>
          <w:rFonts w:hint="eastAsia" w:ascii="Times New Roman" w:hAnsi="Times New Roman" w:eastAsia="方正仿宋_GBK" w:cs="Times New Roman"/>
          <w:b w:val="0"/>
          <w:bCs w:val="0"/>
          <w:i w:val="0"/>
          <w:iCs w:val="0"/>
          <w:color w:val="000000"/>
          <w:spacing w:val="0"/>
          <w:sz w:val="32"/>
          <w:szCs w:val="32"/>
        </w:rPr>
        <w:t>130</w:t>
      </w:r>
      <w:r>
        <w:rPr>
          <w:rFonts w:hint="eastAsia" w:ascii="方正仿宋_GBK" w:hAnsi="方正仿宋_GBK" w:eastAsia="方正仿宋_GBK" w:cs="方正仿宋_GBK"/>
          <w:b w:val="0"/>
          <w:bCs w:val="0"/>
          <w:i w:val="0"/>
          <w:iCs w:val="0"/>
          <w:color w:val="000000"/>
          <w:spacing w:val="0"/>
          <w:sz w:val="32"/>
          <w:szCs w:val="32"/>
        </w:rPr>
        <w:t>余条。</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楷体_GBK" w:hAnsi="方正楷体_GBK" w:eastAsia="方正楷体_GBK" w:cs="方正楷体_GBK"/>
          <w:b w:val="0"/>
          <w:bCs w:val="0"/>
          <w:i w:val="0"/>
          <w:iCs w:val="0"/>
          <w:color w:val="000000"/>
          <w:spacing w:val="0"/>
          <w:sz w:val="32"/>
          <w:szCs w:val="32"/>
        </w:rPr>
      </w:pPr>
      <w:r>
        <w:rPr>
          <w:rFonts w:hint="default" w:ascii="方正楷体_GBK" w:hAnsi="方正楷体_GBK" w:eastAsia="方正楷体_GBK" w:cs="方正楷体_GBK"/>
          <w:b w:val="0"/>
          <w:bCs w:val="0"/>
          <w:i w:val="0"/>
          <w:iCs w:val="0"/>
          <w:color w:val="000000"/>
          <w:spacing w:val="0"/>
          <w:sz w:val="32"/>
          <w:szCs w:val="32"/>
        </w:rPr>
        <w:t>（二）依申请公开情况。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仿宋_GBK" w:hAnsi="方正仿宋_GBK" w:eastAsia="方正仿宋_GBK" w:cs="方正仿宋_GBK"/>
          <w:b w:val="0"/>
          <w:bCs w:val="0"/>
          <w:i w:val="0"/>
          <w:iCs w:val="0"/>
          <w:color w:val="000000"/>
          <w:spacing w:val="0"/>
          <w:sz w:val="32"/>
          <w:szCs w:val="32"/>
        </w:rPr>
      </w:pPr>
      <w:r>
        <w:rPr>
          <w:rFonts w:hint="default" w:ascii="方正仿宋_GBK" w:hAnsi="方正仿宋_GBK" w:eastAsia="方正仿宋_GBK" w:cs="方正仿宋_GBK"/>
          <w:b w:val="0"/>
          <w:bCs w:val="0"/>
          <w:i w:val="0"/>
          <w:iCs w:val="0"/>
          <w:color w:val="000000"/>
          <w:spacing w:val="0"/>
          <w:sz w:val="32"/>
          <w:szCs w:val="32"/>
        </w:rPr>
        <w:t>县应急局严格落实</w:t>
      </w:r>
      <w:r>
        <w:rPr>
          <w:rFonts w:hint="eastAsia" w:ascii="方正仿宋_GBK" w:hAnsi="方正仿宋_GBK" w:eastAsia="方正仿宋_GBK" w:cs="方正仿宋_GBK"/>
          <w:b w:val="0"/>
          <w:bCs w:val="0"/>
          <w:i w:val="0"/>
          <w:iCs w:val="0"/>
          <w:color w:val="000000"/>
          <w:spacing w:val="0"/>
          <w:sz w:val="32"/>
          <w:szCs w:val="32"/>
        </w:rPr>
        <w:t>依申请公开办理制度</w:t>
      </w:r>
      <w:r>
        <w:rPr>
          <w:rFonts w:hint="default" w:ascii="方正仿宋_GBK" w:hAnsi="方正仿宋_GBK" w:eastAsia="方正仿宋_GBK" w:cs="方正仿宋_GBK"/>
          <w:b w:val="0"/>
          <w:bCs w:val="0"/>
          <w:i w:val="0"/>
          <w:iCs w:val="0"/>
          <w:color w:val="000000"/>
          <w:spacing w:val="0"/>
          <w:sz w:val="32"/>
          <w:szCs w:val="32"/>
        </w:rPr>
        <w:t>，</w:t>
      </w:r>
      <w:r>
        <w:rPr>
          <w:rFonts w:hint="default" w:ascii="Times New Roman" w:hAnsi="Times New Roman" w:eastAsia="方正仿宋_GBK" w:cs="Times New Roman"/>
          <w:b w:val="0"/>
          <w:bCs w:val="0"/>
          <w:i w:val="0"/>
          <w:iCs w:val="0"/>
          <w:color w:val="000000"/>
          <w:spacing w:val="0"/>
          <w:sz w:val="32"/>
          <w:szCs w:val="32"/>
        </w:rPr>
        <w:t>2023</w:t>
      </w:r>
      <w:r>
        <w:rPr>
          <w:rFonts w:hint="default" w:ascii="方正仿宋_GBK" w:hAnsi="方正仿宋_GBK" w:eastAsia="方正仿宋_GBK" w:cs="方正仿宋_GBK"/>
          <w:b w:val="0"/>
          <w:bCs w:val="0"/>
          <w:i w:val="0"/>
          <w:iCs w:val="0"/>
          <w:color w:val="000000"/>
          <w:spacing w:val="0"/>
          <w:sz w:val="32"/>
          <w:szCs w:val="32"/>
        </w:rPr>
        <w:t>年度收到信息公开申请一条，已按要求进行答复。</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楷体_GBK" w:hAnsi="方正楷体_GBK" w:eastAsia="方正楷体_GBK" w:cs="方正楷体_GBK"/>
          <w:b w:val="0"/>
          <w:bCs w:val="0"/>
          <w:i w:val="0"/>
          <w:iCs w:val="0"/>
          <w:color w:val="000000"/>
          <w:spacing w:val="0"/>
          <w:sz w:val="32"/>
          <w:szCs w:val="32"/>
        </w:rPr>
      </w:pPr>
      <w:r>
        <w:rPr>
          <w:rFonts w:hint="default" w:ascii="方正楷体_GBK" w:hAnsi="方正楷体_GBK" w:eastAsia="方正楷体_GBK" w:cs="方正楷体_GBK"/>
          <w:b w:val="0"/>
          <w:bCs w:val="0"/>
          <w:i w:val="0"/>
          <w:iCs w:val="0"/>
          <w:color w:val="000000"/>
          <w:spacing w:val="0"/>
          <w:sz w:val="32"/>
          <w:szCs w:val="32"/>
        </w:rPr>
        <w:t>（三）政府信息管理情况。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仿宋_GBK" w:hAnsi="方正仿宋_GBK" w:eastAsia="方正仿宋_GBK" w:cs="方正仿宋_GBK"/>
          <w:b w:val="0"/>
          <w:bCs w:val="0"/>
          <w:i w:val="0"/>
          <w:iCs w:val="0"/>
          <w:color w:val="000000"/>
          <w:spacing w:val="0"/>
          <w:sz w:val="32"/>
          <w:szCs w:val="32"/>
        </w:rPr>
      </w:pPr>
      <w:r>
        <w:rPr>
          <w:rFonts w:hint="default" w:ascii="Times New Roman" w:hAnsi="Times New Roman" w:eastAsia="方正仿宋_GBK" w:cs="Times New Roman"/>
          <w:b w:val="0"/>
          <w:bCs w:val="0"/>
          <w:i w:val="0"/>
          <w:iCs w:val="0"/>
          <w:color w:val="000000"/>
          <w:spacing w:val="0"/>
          <w:sz w:val="32"/>
          <w:szCs w:val="32"/>
        </w:rPr>
        <w:t>2023</w:t>
      </w:r>
      <w:r>
        <w:rPr>
          <w:rFonts w:hint="default" w:ascii="方正仿宋_GBK" w:hAnsi="方正仿宋_GBK" w:eastAsia="方正仿宋_GBK" w:cs="方正仿宋_GBK"/>
          <w:b w:val="0"/>
          <w:bCs w:val="0"/>
          <w:i w:val="0"/>
          <w:iCs w:val="0"/>
          <w:color w:val="000000"/>
          <w:spacing w:val="0"/>
          <w:sz w:val="32"/>
          <w:szCs w:val="32"/>
        </w:rPr>
        <w:t>年以来县应急局严格按照《中华人民共和国政府信息公开条例》和“应公开、尽公开”“涉密不上网、上网不涉密”的原则，严格落实“三审”制度，不断规范政府信息发布和管理，细化信息公开任务分解，压实工作责任，加强信息发布审核把关。同时，强化文件清理、涉密涉敏和错敏词修改提高信息准确性。</w:t>
      </w:r>
    </w:p>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宋体" w:hAnsi="宋体" w:eastAsia="宋体" w:cs="宋体"/>
          <w:sz w:val="24"/>
          <w:szCs w:val="24"/>
        </w:rPr>
      </w:pPr>
      <w:r>
        <w:rPr>
          <w:rFonts w:hint="default" w:ascii="方正楷体_GBK" w:hAnsi="方正楷体_GBK" w:eastAsia="方正楷体_GBK" w:cs="方正楷体_GBK"/>
          <w:b w:val="0"/>
          <w:bCs w:val="0"/>
          <w:i w:val="0"/>
          <w:iCs w:val="0"/>
          <w:color w:val="000000"/>
          <w:spacing w:val="0"/>
          <w:sz w:val="32"/>
          <w:szCs w:val="32"/>
        </w:rPr>
        <w:t>（四）政府信息公开平台建设情况。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仿宋_GBK" w:hAnsi="方正仿宋_GBK" w:eastAsia="方正仿宋_GBK" w:cs="方正仿宋_GBK"/>
          <w:b w:val="0"/>
          <w:bCs w:val="0"/>
          <w:i w:val="0"/>
          <w:iCs w:val="0"/>
          <w:color w:val="000000"/>
          <w:spacing w:val="0"/>
          <w:sz w:val="32"/>
          <w:szCs w:val="32"/>
        </w:rPr>
      </w:pPr>
      <w:r>
        <w:rPr>
          <w:rFonts w:hint="default" w:ascii="方正仿宋_GBK" w:hAnsi="方正仿宋_GBK" w:eastAsia="方正仿宋_GBK" w:cs="方正仿宋_GBK"/>
          <w:b w:val="0"/>
          <w:bCs w:val="0"/>
          <w:i w:val="0"/>
          <w:iCs w:val="0"/>
          <w:color w:val="000000"/>
          <w:spacing w:val="0"/>
          <w:sz w:val="32"/>
          <w:szCs w:val="32"/>
        </w:rPr>
        <w:t>充分依托政府部门网站，结合应急管理工作实际，进一步加强公开力度，畅通政府和群众互动渠道，主动推进社会公众对应急管理工作的了解和监督。二是按照县直部门政府信息主动公开目录规范进一步完善信息专栏建设。</w:t>
      </w:r>
    </w:p>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方正楷体_GBK" w:hAnsi="方正楷体_GBK" w:eastAsia="方正楷体_GBK" w:cs="方正楷体_GBK"/>
          <w:b w:val="0"/>
          <w:bCs w:val="0"/>
          <w:i w:val="0"/>
          <w:iCs w:val="0"/>
          <w:color w:val="000000"/>
          <w:spacing w:val="0"/>
          <w:sz w:val="32"/>
          <w:szCs w:val="32"/>
        </w:rPr>
      </w:pPr>
      <w:r>
        <w:rPr>
          <w:rFonts w:hint="default" w:ascii="方正楷体_GBK" w:hAnsi="方正楷体_GBK" w:eastAsia="方正楷体_GBK" w:cs="方正楷体_GBK"/>
          <w:b w:val="0"/>
          <w:bCs w:val="0"/>
          <w:i w:val="0"/>
          <w:iCs w:val="0"/>
          <w:color w:val="000000"/>
          <w:spacing w:val="0"/>
          <w:sz w:val="32"/>
          <w:szCs w:val="32"/>
        </w:rPr>
        <w:t>（五）监督保障情况。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仿宋_GBK" w:hAnsi="方正仿宋_GBK" w:eastAsia="方正仿宋_GBK" w:cs="方正仿宋_GBK"/>
          <w:b w:val="0"/>
          <w:bCs w:val="0"/>
          <w:i w:val="0"/>
          <w:iCs w:val="0"/>
          <w:color w:val="000000"/>
          <w:spacing w:val="0"/>
          <w:sz w:val="32"/>
          <w:szCs w:val="32"/>
        </w:rPr>
      </w:pPr>
      <w:r>
        <w:rPr>
          <w:rFonts w:hint="default" w:ascii="方正仿宋_GBK" w:hAnsi="方正仿宋_GBK" w:eastAsia="方正仿宋_GBK" w:cs="方正仿宋_GBK"/>
          <w:b w:val="0"/>
          <w:bCs w:val="0"/>
          <w:i w:val="0"/>
          <w:iCs w:val="0"/>
          <w:color w:val="000000"/>
          <w:spacing w:val="0"/>
          <w:sz w:val="32"/>
          <w:szCs w:val="32"/>
        </w:rPr>
        <w:t>一是及时调整政务公开工作领导小组，细化工作分工，明确工作责任，定期考核督促，有序推进政务公开工作。二是坚持政务信息公开内容定期“体检”，及时发现问题及时整改问题，以压实问题整改来提高信息公开质量。三是严格按照政务公开目录指引细化梳理公开内容，明确各栏目工作要点，公开要求，确保各栏目质量。</w:t>
      </w:r>
      <w:r>
        <w:rPr>
          <w:rFonts w:hint="default" w:ascii="Times New Roman" w:hAnsi="Times New Roman" w:eastAsia="方正仿宋_GBK" w:cs="Times New Roman"/>
          <w:b w:val="0"/>
          <w:bCs w:val="0"/>
          <w:i w:val="0"/>
          <w:iCs w:val="0"/>
          <w:color w:val="000000"/>
          <w:spacing w:val="0"/>
          <w:sz w:val="32"/>
          <w:szCs w:val="32"/>
        </w:rPr>
        <w:t>2023</w:t>
      </w:r>
      <w:r>
        <w:rPr>
          <w:rFonts w:hint="default" w:ascii="方正仿宋_GBK" w:hAnsi="方正仿宋_GBK" w:eastAsia="方正仿宋_GBK" w:cs="方正仿宋_GBK"/>
          <w:b w:val="0"/>
          <w:bCs w:val="0"/>
          <w:i w:val="0"/>
          <w:iCs w:val="0"/>
          <w:color w:val="000000"/>
          <w:spacing w:val="0"/>
          <w:sz w:val="32"/>
          <w:szCs w:val="32"/>
        </w:rPr>
        <w:t>年未发生追责情况。</w:t>
      </w:r>
    </w:p>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方正黑体_GBK" w:hAnsi="方正黑体_GBK" w:eastAsia="方正黑体_GBK" w:cs="方正黑体_GBK"/>
          <w:b w:val="0"/>
          <w:bCs w:val="0"/>
          <w:i w:val="0"/>
          <w:iCs w:val="0"/>
          <w:color w:val="000000"/>
          <w:spacing w:val="0"/>
          <w:sz w:val="32"/>
          <w:szCs w:val="32"/>
        </w:rPr>
      </w:pPr>
      <w:r>
        <w:rPr>
          <w:rFonts w:hint="default" w:ascii="方正黑体_GBK" w:hAnsi="方正黑体_GBK" w:eastAsia="方正黑体_GBK" w:cs="方正黑体_GBK"/>
          <w:b w:val="0"/>
          <w:bCs w:val="0"/>
          <w:i w:val="0"/>
          <w:iCs w:val="0"/>
          <w:color w:val="000000"/>
          <w:spacing w:val="0"/>
          <w:sz w:val="32"/>
          <w:szCs w:val="32"/>
        </w:rPr>
        <w:t>二、主动公开政府信息情况</w:t>
      </w:r>
    </w:p>
    <w:tbl>
      <w:tblPr>
        <w:tblStyle w:val="3"/>
        <w:tblW w:w="9473"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2435"/>
        <w:gridCol w:w="2435"/>
        <w:gridCol w:w="2435"/>
        <w:gridCol w:w="2168"/>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jc w:val="center"/>
        </w:trPr>
        <w:tc>
          <w:tcPr>
            <w:tcW w:w="9473" w:type="dxa"/>
            <w:gridSpan w:val="4"/>
            <w:tcBorders>
              <w:top w:val="single" w:color="auto" w:sz="8" w:space="0"/>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第二十条第（一）项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本年制发件数</w:t>
            </w:r>
          </w:p>
        </w:tc>
        <w:tc>
          <w:tcPr>
            <w:tcW w:w="2435"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本年废止件数</w:t>
            </w:r>
          </w:p>
        </w:tc>
        <w:tc>
          <w:tcPr>
            <w:tcW w:w="216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现行有效件数</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规章</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21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行政规范性文件</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2435"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216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jc w:val="center"/>
        </w:trPr>
        <w:tc>
          <w:tcPr>
            <w:tcW w:w="9473"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第二十条第（五）项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7038"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行政许可</w:t>
            </w:r>
          </w:p>
        </w:tc>
        <w:tc>
          <w:tcPr>
            <w:tcW w:w="7038"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137</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340" w:hRule="atLeast"/>
          <w:jc w:val="center"/>
        </w:trPr>
        <w:tc>
          <w:tcPr>
            <w:tcW w:w="9473"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第二十条第（六）项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7038" w:type="dxa"/>
            <w:gridSpan w:val="3"/>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本年处理决定数量</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行政处罚</w:t>
            </w:r>
          </w:p>
        </w:tc>
        <w:tc>
          <w:tcPr>
            <w:tcW w:w="7038"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18</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行政强制</w:t>
            </w:r>
          </w:p>
        </w:tc>
        <w:tc>
          <w:tcPr>
            <w:tcW w:w="7038" w:type="dxa"/>
            <w:gridSpan w:val="3"/>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9473" w:type="dxa"/>
            <w:gridSpan w:val="4"/>
            <w:tcBorders>
              <w:top w:val="nil"/>
              <w:left w:val="single" w:color="auto" w:sz="8" w:space="0"/>
              <w:bottom w:val="single" w:color="auto" w:sz="8" w:space="0"/>
              <w:right w:val="single" w:color="auto" w:sz="8" w:space="0"/>
            </w:tcBorders>
            <w:shd w:val="clear" w:color="auto" w:fill="C6D9F1"/>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第二十条第（八）项</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信息内容</w:t>
            </w:r>
          </w:p>
        </w:tc>
        <w:tc>
          <w:tcPr>
            <w:tcW w:w="7038"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本年收费金额（单位：万元）</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340" w:hRule="atLeast"/>
          <w:jc w:val="center"/>
        </w:trPr>
        <w:tc>
          <w:tcPr>
            <w:tcW w:w="2435" w:type="dxa"/>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行政事业性收费</w:t>
            </w:r>
          </w:p>
        </w:tc>
        <w:tc>
          <w:tcPr>
            <w:tcW w:w="7038" w:type="dxa"/>
            <w:gridSpan w:val="3"/>
            <w:tcBorders>
              <w:top w:val="nil"/>
              <w:left w:val="nil"/>
              <w:bottom w:val="single" w:color="auto" w:sz="8" w:space="0"/>
              <w:right w:val="single" w:color="000000"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bl>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宋体" w:hAnsi="宋体" w:eastAsia="宋体" w:cs="宋体"/>
          <w:sz w:val="24"/>
          <w:szCs w:val="24"/>
        </w:rPr>
      </w:pPr>
      <w:r>
        <w:rPr>
          <w:rFonts w:hint="default" w:ascii="方正黑体_GBK" w:hAnsi="方正黑体_GBK" w:eastAsia="方正黑体_GBK" w:cs="方正黑体_GBK"/>
          <w:b w:val="0"/>
          <w:bCs w:val="0"/>
          <w:i w:val="0"/>
          <w:iCs w:val="0"/>
          <w:color w:val="000000"/>
          <w:spacing w:val="0"/>
          <w:sz w:val="32"/>
          <w:szCs w:val="32"/>
        </w:rPr>
        <w:t>三、收到和处理政府信息公开申请情况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768"/>
        <w:gridCol w:w="943"/>
        <w:gridCol w:w="3220"/>
        <w:gridCol w:w="688"/>
        <w:gridCol w:w="688"/>
        <w:gridCol w:w="688"/>
        <w:gridCol w:w="688"/>
        <w:gridCol w:w="688"/>
        <w:gridCol w:w="688"/>
        <w:gridCol w:w="689"/>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restart"/>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ascii="楷体" w:hAnsi="楷体" w:eastAsia="楷体" w:cs="楷体"/>
                <w:color w:val="000000"/>
                <w:sz w:val="20"/>
                <w:szCs w:val="20"/>
              </w:rPr>
              <w:t>（本列数据的勾稽关系为：第一项加第二项之和，等于第三项加第四项之和）</w:t>
            </w:r>
          </w:p>
        </w:tc>
        <w:tc>
          <w:tcPr>
            <w:tcW w:w="4817" w:type="dxa"/>
            <w:gridSpan w:val="7"/>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申请人情况</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restart"/>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自然人</w:t>
            </w:r>
          </w:p>
        </w:tc>
        <w:tc>
          <w:tcPr>
            <w:tcW w:w="3440" w:type="dxa"/>
            <w:gridSpan w:val="5"/>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法人或其他组织</w:t>
            </w:r>
          </w:p>
        </w:tc>
        <w:tc>
          <w:tcPr>
            <w:tcW w:w="689" w:type="dxa"/>
            <w:vMerge w:val="restart"/>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688" w:hRule="atLeast"/>
          <w:jc w:val="center"/>
        </w:trPr>
        <w:tc>
          <w:tcPr>
            <w:tcW w:w="4931" w:type="dxa"/>
            <w:gridSpan w:val="3"/>
            <w:vMerge w:val="continue"/>
            <w:tcBorders>
              <w:top w:val="single" w:color="auto" w:sz="8" w:space="0"/>
              <w:left w:val="single" w:color="auto" w:sz="8" w:space="0"/>
              <w:bottom w:val="outset"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88" w:type="dxa"/>
            <w:vMerge w:val="continue"/>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商业</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企业</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科研</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社会公益组织</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法律服务机构</w:t>
            </w:r>
          </w:p>
        </w:tc>
        <w:tc>
          <w:tcPr>
            <w:tcW w:w="688"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其他</w:t>
            </w:r>
          </w:p>
        </w:tc>
        <w:tc>
          <w:tcPr>
            <w:tcW w:w="689" w:type="dxa"/>
            <w:vMerge w:val="continue"/>
            <w:tcBorders>
              <w:top w:val="single" w:color="auto" w:sz="8" w:space="0"/>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07" w:hRule="atLeast"/>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一、本年新收政府信息公开申请数量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447" w:hRule="atLeast"/>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二、上年结转政府信息公开申请数量</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512" w:hRule="atLeast"/>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三、本年度办理结果</w:t>
            </w: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（一）予以公开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8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（二）部分公开</w:t>
            </w:r>
            <w:r>
              <w:rPr>
                <w:rFonts w:hint="eastAsia" w:ascii="楷体" w:hAnsi="楷体" w:eastAsia="楷体" w:cs="楷体"/>
                <w:color w:val="000000"/>
                <w:sz w:val="20"/>
                <w:szCs w:val="20"/>
              </w:rPr>
              <w:t>（区分处理的，只计这一情形，不计其他情形）</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restart"/>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sz w:val="21"/>
                <w:szCs w:val="21"/>
              </w:rPr>
              <w:t> </w:t>
            </w: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（三）不予公开</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1.</w:t>
            </w:r>
            <w:r>
              <w:rPr>
                <w:rFonts w:hint="eastAsia" w:ascii="宋体" w:hAnsi="宋体" w:eastAsia="宋体" w:cs="宋体"/>
                <w:color w:val="000000"/>
                <w:sz w:val="20"/>
                <w:szCs w:val="20"/>
              </w:rPr>
              <w:t>属于国家秘密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single" w:color="auto" w:sz="8" w:space="0"/>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2.</w:t>
            </w:r>
            <w:r>
              <w:rPr>
                <w:rFonts w:hint="eastAsia" w:ascii="宋体" w:hAnsi="宋体" w:eastAsia="宋体" w:cs="宋体"/>
                <w:color w:val="000000"/>
                <w:sz w:val="20"/>
                <w:szCs w:val="20"/>
              </w:rPr>
              <w:t>其他法律行政法规禁止公开</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3.</w:t>
            </w:r>
            <w:r>
              <w:rPr>
                <w:rFonts w:hint="eastAsia" w:ascii="宋体" w:hAnsi="宋体" w:eastAsia="宋体" w:cs="宋体"/>
                <w:color w:val="000000"/>
                <w:sz w:val="20"/>
                <w:szCs w:val="20"/>
              </w:rPr>
              <w:t>危及</w:t>
            </w:r>
            <w:r>
              <w:rPr>
                <w:rFonts w:hint="default" w:ascii="Times New Roman" w:hAnsi="Times New Roman" w:eastAsia="宋体" w:cs="Times New Roman"/>
                <w:color w:val="000000"/>
                <w:sz w:val="20"/>
                <w:szCs w:val="20"/>
              </w:rPr>
              <w:t>“</w:t>
            </w:r>
            <w:r>
              <w:rPr>
                <w:rFonts w:hint="eastAsia" w:ascii="宋体" w:hAnsi="宋体" w:eastAsia="宋体" w:cs="宋体"/>
                <w:color w:val="000000"/>
                <w:sz w:val="20"/>
                <w:szCs w:val="20"/>
              </w:rPr>
              <w:t>三安全一稳定</w:t>
            </w:r>
            <w:r>
              <w:rPr>
                <w:rFonts w:hint="default" w:ascii="Times New Roman" w:hAnsi="Times New Roman" w:eastAsia="宋体" w:cs="Times New Roman"/>
                <w:color w:val="000000"/>
                <w:sz w:val="20"/>
                <w:szCs w:val="20"/>
              </w:rPr>
              <w:t>”</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4.</w:t>
            </w:r>
            <w:r>
              <w:rPr>
                <w:rFonts w:hint="eastAsia" w:ascii="宋体" w:hAnsi="宋体" w:eastAsia="宋体" w:cs="宋体"/>
                <w:color w:val="000000"/>
                <w:sz w:val="20"/>
                <w:szCs w:val="20"/>
              </w:rPr>
              <w:t>保护第三方合法权益</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5.</w:t>
            </w:r>
            <w:r>
              <w:rPr>
                <w:rFonts w:hint="eastAsia" w:ascii="宋体" w:hAnsi="宋体" w:eastAsia="宋体" w:cs="宋体"/>
                <w:color w:val="000000"/>
                <w:sz w:val="20"/>
                <w:szCs w:val="20"/>
              </w:rPr>
              <w:t>属于三类内部事务信息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6.</w:t>
            </w:r>
            <w:r>
              <w:rPr>
                <w:rFonts w:hint="eastAsia" w:ascii="宋体" w:hAnsi="宋体" w:eastAsia="宋体" w:cs="宋体"/>
                <w:color w:val="000000"/>
                <w:sz w:val="20"/>
                <w:szCs w:val="20"/>
              </w:rPr>
              <w:t>属于四类过程性信息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7.</w:t>
            </w:r>
            <w:r>
              <w:rPr>
                <w:rFonts w:hint="eastAsia" w:ascii="宋体" w:hAnsi="宋体" w:eastAsia="宋体" w:cs="宋体"/>
                <w:color w:val="000000"/>
                <w:sz w:val="20"/>
                <w:szCs w:val="20"/>
              </w:rPr>
              <w:t>属于行政执法案卷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8.</w:t>
            </w:r>
            <w:r>
              <w:rPr>
                <w:rFonts w:hint="eastAsia" w:ascii="宋体" w:hAnsi="宋体" w:eastAsia="宋体" w:cs="宋体"/>
                <w:color w:val="000000"/>
                <w:sz w:val="20"/>
                <w:szCs w:val="20"/>
              </w:rPr>
              <w:t>属于行政查询事项</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（四）无法提供</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1.</w:t>
            </w:r>
            <w:r>
              <w:rPr>
                <w:rFonts w:hint="eastAsia" w:ascii="宋体" w:hAnsi="宋体" w:eastAsia="宋体" w:cs="宋体"/>
                <w:color w:val="000000"/>
                <w:sz w:val="20"/>
                <w:szCs w:val="20"/>
              </w:rPr>
              <w:t>本机关不掌握相关政府信息</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2.</w:t>
            </w:r>
            <w:r>
              <w:rPr>
                <w:rFonts w:hint="eastAsia" w:ascii="宋体" w:hAnsi="宋体" w:eastAsia="宋体" w:cs="宋体"/>
                <w:color w:val="000000"/>
                <w:sz w:val="20"/>
                <w:szCs w:val="20"/>
              </w:rPr>
              <w:t>没有现成信息需要另行制作</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3.</w:t>
            </w:r>
            <w:r>
              <w:rPr>
                <w:rFonts w:hint="eastAsia" w:ascii="宋体" w:hAnsi="宋体" w:eastAsia="宋体" w:cs="宋体"/>
                <w:color w:val="000000"/>
                <w:sz w:val="20"/>
                <w:szCs w:val="20"/>
              </w:rPr>
              <w:t>补正后申请内容仍不明确</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（五）不予处理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1.</w:t>
            </w:r>
            <w:r>
              <w:rPr>
                <w:rFonts w:hint="eastAsia" w:ascii="宋体" w:hAnsi="宋体" w:eastAsia="宋体" w:cs="宋体"/>
                <w:color w:val="000000"/>
                <w:sz w:val="20"/>
                <w:szCs w:val="20"/>
              </w:rPr>
              <w:t>信访举报投诉类申请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2.</w:t>
            </w:r>
            <w:r>
              <w:rPr>
                <w:rFonts w:hint="eastAsia" w:ascii="宋体" w:hAnsi="宋体" w:eastAsia="宋体" w:cs="宋体"/>
                <w:color w:val="000000"/>
                <w:sz w:val="20"/>
                <w:szCs w:val="20"/>
              </w:rPr>
              <w:t>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3.</w:t>
            </w:r>
            <w:r>
              <w:rPr>
                <w:rFonts w:hint="eastAsia" w:ascii="宋体" w:hAnsi="宋体" w:eastAsia="宋体" w:cs="宋体"/>
                <w:color w:val="000000"/>
                <w:sz w:val="20"/>
                <w:szCs w:val="20"/>
              </w:rPr>
              <w:t>要求提供公开出版物</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top"/>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4.</w:t>
            </w:r>
            <w:r>
              <w:rPr>
                <w:rFonts w:hint="eastAsia" w:ascii="宋体" w:hAnsi="宋体" w:eastAsia="宋体" w:cs="宋体"/>
                <w:color w:val="000000"/>
                <w:sz w:val="20"/>
                <w:szCs w:val="20"/>
              </w:rPr>
              <w:t>无正当理由大量反复申请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779" w:hRule="atLeast"/>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5.</w:t>
            </w:r>
            <w:r>
              <w:rPr>
                <w:rFonts w:hint="eastAsia" w:ascii="宋体" w:hAnsi="宋体" w:eastAsia="宋体" w:cs="宋体"/>
                <w:color w:val="000000"/>
                <w:sz w:val="20"/>
                <w:szCs w:val="20"/>
              </w:rPr>
              <w:t>要求行政机关确认或重新出具已获取信息</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restart"/>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（六）其他处理</w:t>
            </w: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1.</w:t>
            </w:r>
            <w:r>
              <w:rPr>
                <w:rFonts w:hint="eastAsia" w:ascii="宋体" w:hAnsi="宋体" w:eastAsia="宋体" w:cs="宋体"/>
                <w:color w:val="000000"/>
                <w:sz w:val="20"/>
                <w:szCs w:val="20"/>
              </w:rPr>
              <w:t>申请人无正当理由逾期不补正、行政机关不再处理其政府信息公开申请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2.</w:t>
            </w:r>
            <w:r>
              <w:rPr>
                <w:rFonts w:hint="eastAsia" w:ascii="宋体" w:hAnsi="宋体" w:eastAsia="宋体" w:cs="宋体"/>
                <w:color w:val="000000"/>
                <w:sz w:val="20"/>
                <w:szCs w:val="20"/>
              </w:rPr>
              <w:t>申请人逾期未按收费通知要求缴纳费用、行政机关不再处理其政府信息公开申请</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943" w:type="dxa"/>
            <w:vMerge w:val="continue"/>
            <w:tcBorders>
              <w:top w:val="nil"/>
              <w:left w:val="nil"/>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3220"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default" w:ascii="Times New Roman" w:hAnsi="Times New Roman" w:eastAsia="宋体" w:cs="Times New Roman"/>
                <w:color w:val="000000"/>
                <w:sz w:val="20"/>
                <w:szCs w:val="20"/>
              </w:rPr>
              <w:t>3.</w:t>
            </w:r>
            <w:r>
              <w:rPr>
                <w:rFonts w:hint="eastAsia" w:ascii="宋体" w:hAnsi="宋体" w:eastAsia="宋体" w:cs="宋体"/>
                <w:color w:val="000000"/>
                <w:sz w:val="20"/>
                <w:szCs w:val="20"/>
              </w:rPr>
              <w:t>其他</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768" w:type="dxa"/>
            <w:vMerge w:val="continue"/>
            <w:tcBorders>
              <w:top w:val="nil"/>
              <w:left w:val="single" w:color="auto" w:sz="8" w:space="0"/>
              <w:bottom w:val="outset" w:color="auto" w:sz="8" w:space="0"/>
              <w:right w:val="single" w:color="auto" w:sz="8" w:space="0"/>
            </w:tcBorders>
            <w:shd w:val="clear" w:color="auto" w:fill="auto"/>
            <w:tcMar>
              <w:top w:w="0" w:type="dxa"/>
              <w:left w:w="57" w:type="dxa"/>
              <w:bottom w:w="0" w:type="dxa"/>
              <w:right w:w="57" w:type="dxa"/>
            </w:tcMar>
            <w:vAlign w:val="center"/>
          </w:tcPr>
          <w:p>
            <w:pPr>
              <w:rPr>
                <w:rFonts w:hint="default" w:ascii="Times New Roman" w:hAnsi="Times New Roman" w:cs="Times New Roman"/>
                <w:sz w:val="20"/>
                <w:szCs w:val="20"/>
              </w:rPr>
            </w:pPr>
          </w:p>
        </w:tc>
        <w:tc>
          <w:tcPr>
            <w:tcW w:w="4163" w:type="dxa"/>
            <w:gridSpan w:val="2"/>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（七）总计</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1</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4931" w:type="dxa"/>
            <w:gridSpan w:val="3"/>
            <w:tcBorders>
              <w:top w:val="nil"/>
              <w:left w:val="single" w:color="auto" w:sz="8" w:space="0"/>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both"/>
              <w:rPr>
                <w:rFonts w:hint="eastAsia" w:ascii="宋体" w:hAnsi="宋体" w:eastAsia="宋体" w:cs="宋体"/>
                <w:sz w:val="24"/>
                <w:szCs w:val="24"/>
              </w:rPr>
            </w:pPr>
            <w:r>
              <w:rPr>
                <w:rFonts w:hint="eastAsia" w:ascii="宋体" w:hAnsi="宋体" w:eastAsia="宋体" w:cs="宋体"/>
                <w:color w:val="000000"/>
                <w:sz w:val="20"/>
                <w:szCs w:val="20"/>
              </w:rPr>
              <w:t>四、结转下年度继续办理</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8"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89" w:type="dxa"/>
            <w:tcBorders>
              <w:top w:val="nil"/>
              <w:left w:val="nil"/>
              <w:bottom w:val="single" w:color="auto" w:sz="8" w:space="0"/>
              <w:right w:val="single" w:color="auto" w:sz="8" w:space="0"/>
            </w:tcBorders>
            <w:shd w:val="clear" w:color="auto" w:fill="auto"/>
            <w:tcMar>
              <w:top w:w="0" w:type="dxa"/>
              <w:left w:w="57" w:type="dxa"/>
              <w:bottom w:w="0" w:type="dxa"/>
              <w:right w:w="57"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bl>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方正黑体_GBK" w:hAnsi="方正黑体_GBK" w:eastAsia="方正黑体_GBK" w:cs="方正黑体_GBK"/>
          <w:b w:val="0"/>
          <w:bCs w:val="0"/>
          <w:i w:val="0"/>
          <w:iCs w:val="0"/>
          <w:color w:val="000000"/>
          <w:spacing w:val="0"/>
          <w:sz w:val="32"/>
          <w:szCs w:val="32"/>
        </w:rPr>
      </w:pPr>
      <w:r>
        <w:rPr>
          <w:rFonts w:hint="default" w:ascii="方正黑体_GBK" w:hAnsi="方正黑体_GBK" w:eastAsia="方正黑体_GBK" w:cs="方正黑体_GBK"/>
          <w:b w:val="0"/>
          <w:bCs w:val="0"/>
          <w:i w:val="0"/>
          <w:iCs w:val="0"/>
          <w:color w:val="000000"/>
          <w:spacing w:val="0"/>
          <w:sz w:val="32"/>
          <w:szCs w:val="32"/>
        </w:rPr>
        <w:t>四、政府信息公开行政复议、行政诉讼情况</w:t>
      </w:r>
    </w:p>
    <w:tbl>
      <w:tblPr>
        <w:tblStyle w:val="3"/>
        <w:tblW w:w="9748" w:type="dxa"/>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Layout w:type="autofit"/>
        <w:tblCellMar>
          <w:top w:w="15" w:type="dxa"/>
          <w:left w:w="15" w:type="dxa"/>
          <w:bottom w:w="15" w:type="dxa"/>
          <w:right w:w="15" w:type="dxa"/>
        </w:tblCellMar>
      </w:tblPr>
      <w:tblGrid>
        <w:gridCol w:w="650"/>
        <w:gridCol w:w="650"/>
        <w:gridCol w:w="650"/>
        <w:gridCol w:w="650"/>
        <w:gridCol w:w="650"/>
        <w:gridCol w:w="649"/>
        <w:gridCol w:w="649"/>
        <w:gridCol w:w="650"/>
        <w:gridCol w:w="650"/>
        <w:gridCol w:w="650"/>
        <w:gridCol w:w="650"/>
        <w:gridCol w:w="650"/>
        <w:gridCol w:w="650"/>
        <w:gridCol w:w="650"/>
        <w:gridCol w:w="65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3250" w:type="dxa"/>
            <w:gridSpan w:val="5"/>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行政复议</w:t>
            </w:r>
          </w:p>
        </w:tc>
        <w:tc>
          <w:tcPr>
            <w:tcW w:w="6498" w:type="dxa"/>
            <w:gridSpan w:val="10"/>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行政诉讼</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jc w:val="center"/>
        </w:trPr>
        <w:tc>
          <w:tcPr>
            <w:tcW w:w="650" w:type="dxa"/>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结果维持</w:t>
            </w:r>
          </w:p>
        </w:tc>
        <w:tc>
          <w:tcPr>
            <w:tcW w:w="650" w:type="dxa"/>
            <w:vMerge w:val="restar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结果</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纠正</w:t>
            </w:r>
          </w:p>
        </w:tc>
        <w:tc>
          <w:tcPr>
            <w:tcW w:w="6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其他</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结果</w:t>
            </w:r>
          </w:p>
        </w:tc>
        <w:tc>
          <w:tcPr>
            <w:tcW w:w="6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尚未</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审结</w:t>
            </w:r>
          </w:p>
        </w:tc>
        <w:tc>
          <w:tcPr>
            <w:tcW w:w="650" w:type="dxa"/>
            <w:vMerge w:val="restart"/>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总计</w:t>
            </w:r>
          </w:p>
        </w:tc>
        <w:tc>
          <w:tcPr>
            <w:tcW w:w="3248"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未经复议直接起诉</w:t>
            </w:r>
          </w:p>
        </w:tc>
        <w:tc>
          <w:tcPr>
            <w:tcW w:w="3250" w:type="dxa"/>
            <w:gridSpan w:val="5"/>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复议后起诉</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jc w:val="center"/>
        </w:trPr>
        <w:tc>
          <w:tcPr>
            <w:tcW w:w="650" w:type="dxa"/>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50" w:type="dxa"/>
            <w:vMerge w:val="continue"/>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50" w:type="dxa"/>
            <w:vMerge w:val="continue"/>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rPr>
                <w:rFonts w:hint="default" w:ascii="Times New Roman" w:hAnsi="Times New Roman" w:cs="Times New Roman"/>
                <w:sz w:val="20"/>
                <w:szCs w:val="20"/>
              </w:rPr>
            </w:pP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结果</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维持</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结果</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其他</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尚未</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总计</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结果</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维持</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结果</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纠正</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其他</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结果</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color w:val="000000"/>
                <w:sz w:val="20"/>
                <w:szCs w:val="20"/>
                <w:lang w:eastAsia="zh-CN"/>
              </w:rPr>
            </w:pPr>
            <w:r>
              <w:rPr>
                <w:rFonts w:hint="eastAsia" w:ascii="宋体" w:hAnsi="宋体" w:eastAsia="宋体" w:cs="宋体"/>
                <w:color w:val="000000"/>
                <w:sz w:val="20"/>
                <w:szCs w:val="20"/>
              </w:rPr>
              <w:t>尚未</w:t>
            </w:r>
          </w:p>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审结</w:t>
            </w:r>
          </w:p>
        </w:tc>
        <w:tc>
          <w:tcPr>
            <w:tcW w:w="650" w:type="dxa"/>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eastAsia" w:ascii="宋体" w:hAnsi="宋体" w:eastAsia="宋体" w:cs="宋体"/>
                <w:color w:val="000000"/>
                <w:sz w:val="20"/>
                <w:szCs w:val="20"/>
              </w:rPr>
              <w:t>总计</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15" w:type="dxa"/>
            <w:left w:w="15" w:type="dxa"/>
            <w:bottom w:w="15" w:type="dxa"/>
            <w:right w:w="15" w:type="dxa"/>
          </w:tblCellMar>
        </w:tblPrEx>
        <w:trPr>
          <w:trHeight w:val="672" w:hRule="atLeast"/>
          <w:jc w:val="center"/>
        </w:trPr>
        <w:tc>
          <w:tcPr>
            <w:tcW w:w="650" w:type="dxa"/>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黑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49"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color w:val="000000"/>
                <w:sz w:val="20"/>
                <w:szCs w:val="20"/>
              </w:rPr>
              <w:t>0</w:t>
            </w:r>
          </w:p>
        </w:tc>
        <w:tc>
          <w:tcPr>
            <w:tcW w:w="650" w:type="dxa"/>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2"/>
              <w:keepNext w:val="0"/>
              <w:keepLines w:val="0"/>
              <w:widowControl/>
              <w:suppressLineNumbers w:val="0"/>
              <w:spacing w:before="0" w:beforeAutospacing="0" w:after="0" w:afterAutospacing="0"/>
              <w:ind w:left="0" w:right="0"/>
              <w:jc w:val="center"/>
              <w:rPr>
                <w:rFonts w:hint="eastAsia" w:ascii="宋体" w:hAnsi="宋体" w:eastAsia="宋体" w:cs="宋体"/>
                <w:sz w:val="24"/>
                <w:szCs w:val="24"/>
              </w:rPr>
            </w:pPr>
            <w:r>
              <w:rPr>
                <w:rFonts w:hint="default" w:ascii="Times New Roman" w:hAnsi="Times New Roman" w:eastAsia="宋体" w:cs="Times New Roman"/>
                <w:sz w:val="21"/>
                <w:szCs w:val="21"/>
              </w:rPr>
              <w:t>0</w:t>
            </w:r>
          </w:p>
        </w:tc>
      </w:tr>
    </w:tbl>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方正黑体_GBK" w:hAnsi="方正黑体_GBK" w:eastAsia="方正黑体_GBK" w:cs="方正黑体_GBK"/>
          <w:b w:val="0"/>
          <w:bCs w:val="0"/>
          <w:i w:val="0"/>
          <w:iCs w:val="0"/>
          <w:color w:val="000000"/>
          <w:spacing w:val="0"/>
          <w:sz w:val="32"/>
          <w:szCs w:val="32"/>
        </w:rPr>
      </w:pPr>
      <w:r>
        <w:rPr>
          <w:rFonts w:hint="default" w:ascii="方正黑体_GBK" w:hAnsi="方正黑体_GBK" w:eastAsia="方正黑体_GBK" w:cs="方正黑体_GBK"/>
          <w:b w:val="0"/>
          <w:bCs w:val="0"/>
          <w:i w:val="0"/>
          <w:iCs w:val="0"/>
          <w:color w:val="000000"/>
          <w:spacing w:val="0"/>
          <w:sz w:val="32"/>
          <w:szCs w:val="32"/>
        </w:rPr>
        <w:t>五、存在的主要问题及改进情况</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仿宋_GBK" w:hAnsi="方正仿宋_GBK" w:eastAsia="方正仿宋_GBK" w:cs="方正仿宋_GBK"/>
          <w:b w:val="0"/>
          <w:bCs w:val="0"/>
          <w:i w:val="0"/>
          <w:iCs w:val="0"/>
          <w:color w:val="000000"/>
          <w:spacing w:val="0"/>
          <w:sz w:val="32"/>
          <w:szCs w:val="32"/>
        </w:rPr>
      </w:pPr>
      <w:r>
        <w:rPr>
          <w:rFonts w:hint="default" w:ascii="方正仿宋_GBK" w:hAnsi="方正仿宋_GBK" w:eastAsia="方正仿宋_GBK" w:cs="方正仿宋_GBK"/>
          <w:b w:val="0"/>
          <w:bCs w:val="0"/>
          <w:i w:val="0"/>
          <w:iCs w:val="0"/>
          <w:color w:val="000000"/>
          <w:spacing w:val="0"/>
          <w:sz w:val="32"/>
          <w:szCs w:val="32"/>
        </w:rPr>
        <w:t>一是部分股室政务信息公开主动性不足，导致报送信息偏少，公开的内容不充实。二是政策解读深度不深，解读方式不够丰富，缺少图片动画等解读形式。改进情况：</w:t>
      </w:r>
      <w:r>
        <w:rPr>
          <w:rFonts w:hint="eastAsia" w:ascii="方正仿宋_GBK" w:hAnsi="方正仿宋_GBK" w:eastAsia="方正仿宋_GBK" w:cs="方正仿宋_GBK"/>
          <w:b w:val="0"/>
          <w:bCs w:val="0"/>
          <w:i w:val="0"/>
          <w:iCs w:val="0"/>
          <w:color w:val="000000"/>
          <w:spacing w:val="0"/>
          <w:sz w:val="32"/>
          <w:szCs w:val="32"/>
          <w:lang w:val="en-US" w:eastAsia="zh-CN"/>
        </w:rPr>
        <w:t>一是</w:t>
      </w:r>
      <w:r>
        <w:rPr>
          <w:rFonts w:hint="default" w:ascii="方正仿宋_GBK" w:hAnsi="方正仿宋_GBK" w:eastAsia="方正仿宋_GBK" w:cs="方正仿宋_GBK"/>
          <w:b w:val="0"/>
          <w:bCs w:val="0"/>
          <w:i w:val="0"/>
          <w:iCs w:val="0"/>
          <w:color w:val="000000"/>
          <w:spacing w:val="0"/>
          <w:sz w:val="32"/>
          <w:szCs w:val="32"/>
        </w:rPr>
        <w:t>明确各栏目责任人、内容、时限、事项等要素，细化各项要求，确保各栏目点对点“连线”到各股室。</w:t>
      </w:r>
      <w:r>
        <w:rPr>
          <w:rFonts w:hint="eastAsia" w:ascii="方正仿宋_GBK" w:hAnsi="方正仿宋_GBK" w:eastAsia="方正仿宋_GBK" w:cs="方正仿宋_GBK"/>
          <w:b w:val="0"/>
          <w:bCs w:val="0"/>
          <w:i w:val="0"/>
          <w:iCs w:val="0"/>
          <w:color w:val="000000"/>
          <w:spacing w:val="0"/>
          <w:sz w:val="32"/>
          <w:szCs w:val="32"/>
          <w:lang w:val="en-US" w:eastAsia="zh-CN"/>
        </w:rPr>
        <w:t>二是</w:t>
      </w:r>
      <w:r>
        <w:rPr>
          <w:rFonts w:hint="default" w:ascii="方正仿宋_GBK" w:hAnsi="方正仿宋_GBK" w:eastAsia="方正仿宋_GBK" w:cs="方正仿宋_GBK"/>
          <w:b w:val="0"/>
          <w:bCs w:val="0"/>
          <w:i w:val="0"/>
          <w:iCs w:val="0"/>
          <w:color w:val="000000"/>
          <w:spacing w:val="0"/>
          <w:sz w:val="32"/>
          <w:szCs w:val="32"/>
        </w:rPr>
        <w:t>进一步加深解读深度，加强解读手段把重大政策文件解读以更生动形象的方式予以解读，便于公众了解政策内容。</w:t>
      </w:r>
    </w:p>
    <w:p>
      <w:pPr>
        <w:pStyle w:val="2"/>
        <w:keepNext w:val="0"/>
        <w:keepLines w:val="0"/>
        <w:widowControl/>
        <w:suppressLineNumbers w:val="0"/>
        <w:overflowPunct w:val="0"/>
        <w:autoSpaceDE w:val="0"/>
        <w:autoSpaceDN/>
        <w:spacing w:before="0" w:beforeAutospacing="0" w:after="0" w:afterAutospacing="0" w:line="600" w:lineRule="atLeast"/>
        <w:ind w:left="0" w:right="0" w:firstLine="640"/>
        <w:jc w:val="both"/>
        <w:rPr>
          <w:rFonts w:hint="eastAsia" w:ascii="方正黑体_GBK" w:hAnsi="方正黑体_GBK" w:eastAsia="方正黑体_GBK" w:cs="方正黑体_GBK"/>
          <w:b w:val="0"/>
          <w:bCs w:val="0"/>
          <w:i w:val="0"/>
          <w:iCs w:val="0"/>
          <w:color w:val="000000"/>
          <w:spacing w:val="0"/>
          <w:sz w:val="32"/>
          <w:szCs w:val="32"/>
        </w:rPr>
      </w:pPr>
      <w:r>
        <w:rPr>
          <w:rFonts w:hint="default" w:ascii="方正黑体_GBK" w:hAnsi="方正黑体_GBK" w:eastAsia="方正黑体_GBK" w:cs="方正黑体_GBK"/>
          <w:b w:val="0"/>
          <w:bCs w:val="0"/>
          <w:i w:val="0"/>
          <w:iCs w:val="0"/>
          <w:color w:val="000000"/>
          <w:spacing w:val="0"/>
          <w:sz w:val="32"/>
          <w:szCs w:val="32"/>
        </w:rPr>
        <w:t>六、其他需要报告的事项</w:t>
      </w:r>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default" w:ascii="方正仿宋_GBK" w:hAnsi="方正仿宋_GBK" w:eastAsia="方正仿宋_GBK" w:cs="方正仿宋_GBK"/>
          <w:b w:val="0"/>
          <w:bCs w:val="0"/>
          <w:i w:val="0"/>
          <w:iCs w:val="0"/>
          <w:color w:val="000000"/>
          <w:spacing w:val="0"/>
          <w:sz w:val="32"/>
          <w:szCs w:val="32"/>
          <w:lang w:val="en-US" w:eastAsia="zh-CN"/>
        </w:rPr>
      </w:pPr>
      <w:r>
        <w:rPr>
          <w:rFonts w:hint="default" w:ascii="方正仿宋_GBK" w:hAnsi="方正仿宋_GBK" w:eastAsia="方正仿宋_GBK" w:cs="方正仿宋_GBK"/>
          <w:b w:val="0"/>
          <w:bCs w:val="0"/>
          <w:i w:val="0"/>
          <w:iCs w:val="0"/>
          <w:color w:val="000000"/>
          <w:spacing w:val="0"/>
          <w:sz w:val="32"/>
          <w:szCs w:val="32"/>
        </w:rPr>
        <w:t>按照《国务院办公厅关于印发〈政府信息公开信息处理费管理办法〉的通知》（国办函〔</w:t>
      </w:r>
      <w:r>
        <w:rPr>
          <w:rFonts w:hint="default" w:ascii="Times New Roman" w:hAnsi="Times New Roman" w:eastAsia="方正仿宋_GBK" w:cs="Times New Roman"/>
          <w:b w:val="0"/>
          <w:bCs w:val="0"/>
          <w:i w:val="0"/>
          <w:iCs w:val="0"/>
          <w:color w:val="000000"/>
          <w:spacing w:val="0"/>
          <w:sz w:val="32"/>
          <w:szCs w:val="32"/>
        </w:rPr>
        <w:t>2020</w:t>
      </w:r>
      <w:r>
        <w:rPr>
          <w:rFonts w:hint="default" w:ascii="方正仿宋_GBK" w:hAnsi="方正仿宋_GBK" w:eastAsia="方正仿宋_GBK" w:cs="方正仿宋_GBK"/>
          <w:b w:val="0"/>
          <w:bCs w:val="0"/>
          <w:i w:val="0"/>
          <w:iCs w:val="0"/>
          <w:color w:val="000000"/>
          <w:spacing w:val="0"/>
          <w:sz w:val="32"/>
          <w:szCs w:val="32"/>
        </w:rPr>
        <w:t>〕</w:t>
      </w:r>
      <w:r>
        <w:rPr>
          <w:rFonts w:hint="default" w:ascii="Times New Roman" w:hAnsi="Times New Roman" w:eastAsia="方正仿宋_GBK" w:cs="Times New Roman"/>
          <w:b w:val="0"/>
          <w:bCs w:val="0"/>
          <w:i w:val="0"/>
          <w:iCs w:val="0"/>
          <w:color w:val="000000"/>
          <w:spacing w:val="0"/>
          <w:sz w:val="32"/>
          <w:szCs w:val="32"/>
        </w:rPr>
        <w:t>109</w:t>
      </w:r>
      <w:r>
        <w:rPr>
          <w:rFonts w:hint="default" w:ascii="方正仿宋_GBK" w:hAnsi="方正仿宋_GBK" w:eastAsia="方正仿宋_GBK" w:cs="方正仿宋_GBK"/>
          <w:b w:val="0"/>
          <w:bCs w:val="0"/>
          <w:i w:val="0"/>
          <w:iCs w:val="0"/>
          <w:color w:val="000000"/>
          <w:spacing w:val="0"/>
          <w:sz w:val="32"/>
          <w:szCs w:val="32"/>
        </w:rPr>
        <w:t>号）规定的按件、按量收费标准，本年度未产生信息公开处理费。</w:t>
      </w:r>
      <w:r>
        <w:rPr>
          <w:rFonts w:hint="eastAsia" w:ascii="方正仿宋_GBK" w:hAnsi="方正仿宋_GBK" w:eastAsia="方正仿宋_GBK" w:cs="方正仿宋_GBK"/>
          <w:b w:val="0"/>
          <w:bCs w:val="0"/>
          <w:i w:val="0"/>
          <w:iCs w:val="0"/>
          <w:color w:val="000000"/>
          <w:spacing w:val="0"/>
          <w:sz w:val="32"/>
          <w:szCs w:val="32"/>
          <w:lang w:val="en-US" w:eastAsia="zh-CN"/>
        </w:rPr>
        <w:t>2023年以来严格落实政务信息审核、排查、整改工作，强化涉密、个人隐私信息排查，针对各级反馈问题及时进行整改，未发生失泄密等问题。</w:t>
      </w:r>
      <w:bookmarkStart w:id="0" w:name="_GoBack"/>
      <w:bookmarkEnd w:id="0"/>
    </w:p>
    <w:p>
      <w:pPr>
        <w:pStyle w:val="2"/>
        <w:keepNext w:val="0"/>
        <w:keepLines w:val="0"/>
        <w:widowControl/>
        <w:suppressLineNumbers w:val="0"/>
        <w:autoSpaceDE w:val="0"/>
        <w:autoSpaceDN/>
        <w:spacing w:before="0" w:beforeAutospacing="0" w:after="0" w:afterAutospacing="0" w:line="640" w:lineRule="atLeast"/>
        <w:ind w:left="0" w:right="0" w:firstLine="640"/>
        <w:jc w:val="left"/>
        <w:rPr>
          <w:rFonts w:hint="eastAsia" w:ascii="方正仿宋_GBK" w:hAnsi="方正仿宋_GBK" w:eastAsia="方正仿宋_GBK" w:cs="方正仿宋_GBK"/>
          <w:b w:val="0"/>
          <w:bCs w:val="0"/>
          <w:i w:val="0"/>
          <w:iCs w:val="0"/>
          <w:color w:val="000000"/>
          <w:spacing w:val="0"/>
          <w:sz w:val="32"/>
          <w:szCs w:val="32"/>
        </w:rPr>
      </w:pPr>
      <w:r>
        <w:rPr>
          <w:rFonts w:hint="default" w:ascii="方正仿宋_GBK" w:hAnsi="方正仿宋_GBK" w:eastAsia="方正仿宋_GBK" w:cs="方正仿宋_GBK"/>
          <w:b w:val="0"/>
          <w:bCs w:val="0"/>
          <w:i w:val="0"/>
          <w:iCs w:val="0"/>
          <w:color w:val="000000"/>
          <w:spacing w:val="0"/>
          <w:sz w:val="32"/>
          <w:szCs w:val="32"/>
        </w:rPr>
        <w:t>如对本报告有疑问，可与萧县</w:t>
      </w:r>
      <w:r>
        <w:rPr>
          <w:rFonts w:hint="eastAsia" w:ascii="方正仿宋_GBK" w:hAnsi="方正仿宋_GBK" w:eastAsia="方正仿宋_GBK" w:cs="方正仿宋_GBK"/>
          <w:b w:val="0"/>
          <w:bCs w:val="0"/>
          <w:i w:val="0"/>
          <w:iCs w:val="0"/>
          <w:color w:val="000000"/>
          <w:spacing w:val="0"/>
          <w:sz w:val="32"/>
          <w:szCs w:val="32"/>
          <w:lang w:val="en-US" w:eastAsia="zh-CN"/>
        </w:rPr>
        <w:t>应急管理局</w:t>
      </w:r>
      <w:r>
        <w:rPr>
          <w:rFonts w:hint="default" w:ascii="方正仿宋_GBK" w:hAnsi="方正仿宋_GBK" w:eastAsia="方正仿宋_GBK" w:cs="方正仿宋_GBK"/>
          <w:b w:val="0"/>
          <w:bCs w:val="0"/>
          <w:i w:val="0"/>
          <w:iCs w:val="0"/>
          <w:color w:val="000000"/>
          <w:spacing w:val="0"/>
          <w:sz w:val="32"/>
          <w:szCs w:val="32"/>
        </w:rPr>
        <w:t>办公室联系（地址：萧县</w:t>
      </w:r>
      <w:r>
        <w:rPr>
          <w:rFonts w:hint="eastAsia" w:ascii="方正仿宋_GBK" w:hAnsi="方正仿宋_GBK" w:eastAsia="方正仿宋_GBK" w:cs="方正仿宋_GBK"/>
          <w:b w:val="0"/>
          <w:bCs w:val="0"/>
          <w:i w:val="0"/>
          <w:iCs w:val="0"/>
          <w:color w:val="000000"/>
          <w:spacing w:val="0"/>
          <w:sz w:val="32"/>
          <w:szCs w:val="32"/>
          <w:lang w:val="en-US" w:eastAsia="zh-CN"/>
        </w:rPr>
        <w:t>瑞祥小区南门东</w:t>
      </w:r>
      <w:r>
        <w:rPr>
          <w:rFonts w:hint="eastAsia" w:ascii="Times New Roman" w:hAnsi="Times New Roman" w:eastAsia="方正仿宋_GBK" w:cs="Times New Roman"/>
          <w:b w:val="0"/>
          <w:bCs w:val="0"/>
          <w:i w:val="0"/>
          <w:iCs w:val="0"/>
          <w:color w:val="000000"/>
          <w:spacing w:val="0"/>
          <w:sz w:val="32"/>
          <w:szCs w:val="32"/>
          <w:lang w:val="en-US" w:eastAsia="zh-CN"/>
        </w:rPr>
        <w:t>150</w:t>
      </w:r>
      <w:r>
        <w:rPr>
          <w:rFonts w:hint="eastAsia" w:ascii="方正仿宋_GBK" w:hAnsi="方正仿宋_GBK" w:eastAsia="方正仿宋_GBK" w:cs="方正仿宋_GBK"/>
          <w:b w:val="0"/>
          <w:bCs w:val="0"/>
          <w:i w:val="0"/>
          <w:iCs w:val="0"/>
          <w:color w:val="000000"/>
          <w:spacing w:val="0"/>
          <w:sz w:val="32"/>
          <w:szCs w:val="32"/>
          <w:lang w:val="en-US" w:eastAsia="zh-CN"/>
        </w:rPr>
        <w:t>米萧县应急管理局四楼办公室</w:t>
      </w:r>
      <w:r>
        <w:rPr>
          <w:rFonts w:hint="eastAsia" w:ascii="方正仿宋_GBK" w:hAnsi="方正仿宋_GBK" w:eastAsia="方正仿宋_GBK" w:cs="方正仿宋_GBK"/>
          <w:b w:val="0"/>
          <w:bCs w:val="0"/>
          <w:i w:val="0"/>
          <w:iCs w:val="0"/>
          <w:color w:val="000000"/>
          <w:spacing w:val="0"/>
          <w:sz w:val="32"/>
          <w:szCs w:val="32"/>
        </w:rPr>
        <w:t>，邮编：</w:t>
      </w:r>
      <w:r>
        <w:rPr>
          <w:rFonts w:hint="default" w:ascii="Times New Roman" w:hAnsi="Times New Roman" w:eastAsia="方正仿宋_GBK" w:cs="Times New Roman"/>
          <w:b w:val="0"/>
          <w:bCs w:val="0"/>
          <w:i w:val="0"/>
          <w:iCs w:val="0"/>
          <w:color w:val="000000"/>
          <w:spacing w:val="0"/>
          <w:sz w:val="32"/>
          <w:szCs w:val="32"/>
        </w:rPr>
        <w:t>235200</w:t>
      </w:r>
      <w:r>
        <w:rPr>
          <w:rFonts w:hint="eastAsia" w:ascii="方正仿宋_GBK" w:hAnsi="方正仿宋_GBK" w:eastAsia="方正仿宋_GBK" w:cs="方正仿宋_GBK"/>
          <w:b w:val="0"/>
          <w:bCs w:val="0"/>
          <w:i w:val="0"/>
          <w:iCs w:val="0"/>
          <w:color w:val="000000"/>
          <w:spacing w:val="0"/>
          <w:sz w:val="32"/>
          <w:szCs w:val="32"/>
        </w:rPr>
        <w:t>，电话：</w:t>
      </w:r>
      <w:r>
        <w:rPr>
          <w:rFonts w:hint="default" w:ascii="Times New Roman" w:hAnsi="Times New Roman" w:eastAsia="方正仿宋_GBK" w:cs="Times New Roman"/>
          <w:b w:val="0"/>
          <w:bCs w:val="0"/>
          <w:i w:val="0"/>
          <w:iCs w:val="0"/>
          <w:color w:val="000000"/>
          <w:spacing w:val="0"/>
          <w:sz w:val="32"/>
          <w:szCs w:val="32"/>
        </w:rPr>
        <w:t>0557-</w:t>
      </w:r>
      <w:r>
        <w:rPr>
          <w:rFonts w:hint="eastAsia" w:ascii="Times New Roman" w:hAnsi="Times New Roman" w:eastAsia="方正仿宋_GBK" w:cs="Times New Roman"/>
          <w:b w:val="0"/>
          <w:bCs w:val="0"/>
          <w:i w:val="0"/>
          <w:iCs w:val="0"/>
          <w:color w:val="000000"/>
          <w:spacing w:val="0"/>
          <w:sz w:val="32"/>
          <w:szCs w:val="32"/>
          <w:lang w:val="en-US" w:eastAsia="zh-CN"/>
        </w:rPr>
        <w:t>5021706</w:t>
      </w:r>
      <w:r>
        <w:rPr>
          <w:rFonts w:hint="eastAsia" w:ascii="方正仿宋_GBK" w:hAnsi="方正仿宋_GBK" w:eastAsia="方正仿宋_GBK" w:cs="方正仿宋_GBK"/>
          <w:b w:val="0"/>
          <w:bCs w:val="0"/>
          <w:i w:val="0"/>
          <w:iCs w:val="0"/>
          <w:color w:val="000000"/>
          <w:spacing w:val="0"/>
          <w:sz w:val="32"/>
          <w:szCs w:val="32"/>
        </w:rPr>
        <w:t>）。</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959D5016-5156-4218-8904-C66AA6D93842}"/>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panose1 w:val="02000000000000000000"/>
    <w:charset w:val="86"/>
    <w:family w:val="auto"/>
    <w:pitch w:val="default"/>
    <w:sig w:usb0="A00002BF" w:usb1="38CF7CFA" w:usb2="00082016" w:usb3="00000000" w:csb0="00040001" w:csb1="00000000"/>
    <w:embedRegular r:id="rId2" w:fontKey="{F8108226-82A9-4D44-BC38-87AA21F6EC53}"/>
  </w:font>
  <w:font w:name="方正仿宋_GBK">
    <w:panose1 w:val="02000000000000000000"/>
    <w:charset w:val="86"/>
    <w:family w:val="auto"/>
    <w:pitch w:val="default"/>
    <w:sig w:usb0="A00002BF" w:usb1="38CF7CFA" w:usb2="00082016" w:usb3="00000000" w:csb0="00040001" w:csb1="00000000"/>
    <w:embedRegular r:id="rId3" w:fontKey="{69E81238-1854-46D0-9EAE-2896CA929179}"/>
  </w:font>
  <w:font w:name="方正黑体_GBK">
    <w:altName w:val="微软雅黑"/>
    <w:panose1 w:val="00000000000000000000"/>
    <w:charset w:val="00"/>
    <w:family w:val="auto"/>
    <w:pitch w:val="default"/>
    <w:sig w:usb0="00000000" w:usb1="00000000" w:usb2="00000000" w:usb3="00000000" w:csb0="00000000" w:csb1="00000000"/>
    <w:embedRegular r:id="rId4" w:fontKey="{7DF58620-69CE-4437-987E-9C8E12E2FFAE}"/>
  </w:font>
  <w:font w:name="方正楷体_GBK">
    <w:panose1 w:val="02000000000000000000"/>
    <w:charset w:val="86"/>
    <w:family w:val="auto"/>
    <w:pitch w:val="default"/>
    <w:sig w:usb0="800002BF" w:usb1="38CF7CFA" w:usb2="00000016" w:usb3="00000000" w:csb0="00040000" w:csb1="00000000"/>
    <w:embedRegular r:id="rId5" w:fontKey="{23889FBE-1CF2-4C4C-9516-8E259122452C}"/>
  </w:font>
  <w:font w:name="楷体">
    <w:panose1 w:val="02010609060101010101"/>
    <w:charset w:val="86"/>
    <w:family w:val="auto"/>
    <w:pitch w:val="default"/>
    <w:sig w:usb0="800002BF" w:usb1="38CF7CFA" w:usb2="00000016" w:usb3="00000000" w:csb0="00040001" w:csb1="00000000"/>
    <w:embedRegular r:id="rId6" w:fontKey="{81B4F940-C99E-40CD-8EB1-91B22ED0026E}"/>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c5ZWU5ZWUzYzRmMWY0ZjNjZjA3YzNhMjkxMzhhODMifQ=="/>
  </w:docVars>
  <w:rsids>
    <w:rsidRoot w:val="071B6D6A"/>
    <w:rsid w:val="071B6D6A"/>
    <w:rsid w:val="30EA30C3"/>
    <w:rsid w:val="32380A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13</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2024-01-31T02:37:00Z</dcterms:created>
  <dc:creator>Mr．D</dc:creator>
  <cp:lastModifiedBy>Mr．D</cp:lastModifiedBy>
  <dcterms:modified xsi:type="dcterms:W3CDTF">2024-02-01T09:32:58Z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F0DDCDAAE7B34AC8877247AB42AEC954_11</vt:lpwstr>
  </property>
</Properties>
</file>